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仿宋_GB2312" w:hAnsi="仿宋_GB2312" w:eastAsia="仿宋_GB2312"/>
          <w:b/>
          <w:bCs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/>
          <w:b/>
          <w:bCs/>
          <w:sz w:val="36"/>
          <w:szCs w:val="36"/>
          <w:lang w:val="en-US" w:eastAsia="zh-CN"/>
        </w:rPr>
        <w:t>关于诸暨市域供水管网优化工程——三环北线DN1000供水管工程的补充公告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eastAsia" w:ascii="仿宋_GB2312" w:hAnsi="仿宋_GB2312" w:eastAsia="仿宋_GB2312"/>
          <w:sz w:val="24"/>
          <w:lang w:val="en-US" w:eastAsia="zh-CN"/>
        </w:rPr>
      </w:pPr>
      <w:r>
        <w:rPr>
          <w:rFonts w:hint="eastAsia" w:ascii="仿宋_GB2312" w:hAnsi="仿宋_GB2312" w:eastAsia="仿宋_GB2312"/>
          <w:sz w:val="24"/>
          <w:lang w:val="en-US" w:eastAsia="zh-CN"/>
        </w:rPr>
        <w:t>一、本工程招标文件第一章招标公告中“16、项目投标保证金：</w:t>
      </w:r>
      <w:r>
        <w:rPr>
          <w:rFonts w:hint="eastAsia" w:ascii="仿宋_GB2312" w:hAnsi="仿宋_GB2312" w:eastAsia="仿宋_GB2312"/>
          <w:sz w:val="24"/>
          <w:u w:val="single"/>
          <w:lang w:val="en-US" w:eastAsia="zh-CN"/>
        </w:rPr>
        <w:t xml:space="preserve"> 6</w:t>
      </w:r>
      <w:r>
        <w:rPr>
          <w:rFonts w:hint="eastAsia" w:ascii="仿宋_GB2312" w:hAnsi="仿宋_GB2312" w:eastAsia="仿宋_GB2312"/>
          <w:sz w:val="24"/>
          <w:lang w:val="en-US" w:eastAsia="zh-CN"/>
        </w:rPr>
        <w:t>万元，到账截止时间：2023年/月/日止（注：每只项目的账号不同，详见招标文件第二章投标人须知前附表（一）第26款）。”</w:t>
      </w:r>
      <w:r>
        <w:rPr>
          <w:rFonts w:hint="eastAsia" w:ascii="仿宋_GB2312" w:hAnsi="仿宋_GB2312" w:eastAsia="仿宋_GB2312"/>
          <w:b/>
          <w:bCs/>
          <w:sz w:val="24"/>
          <w:lang w:val="en-US" w:eastAsia="zh-CN"/>
        </w:rPr>
        <w:t>现改为：</w:t>
      </w:r>
      <w:r>
        <w:rPr>
          <w:rFonts w:hint="eastAsia" w:ascii="仿宋_GB2312" w:hAnsi="仿宋_GB2312" w:eastAsia="仿宋_GB2312"/>
          <w:sz w:val="24"/>
          <w:lang w:val="en-US" w:eastAsia="zh-CN"/>
        </w:rPr>
        <w:t>“16、项目投标保证金：</w:t>
      </w:r>
      <w:r>
        <w:rPr>
          <w:rFonts w:hint="eastAsia" w:ascii="仿宋_GB2312" w:hAnsi="仿宋_GB2312" w:eastAsia="仿宋_GB2312"/>
          <w:sz w:val="24"/>
          <w:u w:val="single"/>
          <w:lang w:val="en-US" w:eastAsia="zh-CN"/>
        </w:rPr>
        <w:t xml:space="preserve"> 0</w:t>
      </w:r>
      <w:r>
        <w:rPr>
          <w:rFonts w:hint="eastAsia" w:ascii="仿宋_GB2312" w:hAnsi="仿宋_GB2312" w:eastAsia="仿宋_GB2312"/>
          <w:sz w:val="24"/>
          <w:lang w:val="en-US" w:eastAsia="zh-CN"/>
        </w:rPr>
        <w:t>万元，到账截止时间：2023年/月/日止（注：每只项目的账号不同，详见招标文件第二章投标人须知前附表（一）第26款）。”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exact"/>
        <w:ind w:firstLine="480" w:firstLineChars="200"/>
        <w:jc w:val="left"/>
        <w:textAlignment w:val="auto"/>
        <w:rPr>
          <w:rFonts w:hint="default" w:ascii="仿宋_GB2312" w:hAnsi="仿宋_GB2312" w:eastAsia="仿宋_GB2312"/>
          <w:sz w:val="24"/>
          <w:lang w:val="en-US" w:eastAsia="zh-CN"/>
        </w:rPr>
      </w:pPr>
      <w:r>
        <w:rPr>
          <w:rFonts w:hint="eastAsia" w:ascii="仿宋_GB2312" w:hAnsi="仿宋_GB2312" w:eastAsia="仿宋_GB2312"/>
          <w:sz w:val="24"/>
          <w:lang w:val="en-US" w:eastAsia="zh-CN"/>
        </w:rPr>
        <w:t>二、本工程招标文件</w:t>
      </w:r>
      <w:bookmarkStart w:id="0" w:name="_Toc1521"/>
      <w:r>
        <w:rPr>
          <w:rFonts w:hint="eastAsia" w:ascii="仿宋_GB2312" w:hAnsi="仿宋_GB2312" w:eastAsia="仿宋_GB2312"/>
          <w:sz w:val="24"/>
          <w:lang w:val="en-US" w:eastAsia="zh-CN"/>
        </w:rPr>
        <w:t>第二章投标人须知</w:t>
      </w:r>
      <w:bookmarkEnd w:id="0"/>
      <w:r>
        <w:rPr>
          <w:rFonts w:hint="eastAsia" w:ascii="仿宋_GB2312" w:hAnsi="仿宋_GB2312" w:eastAsia="仿宋_GB2312"/>
          <w:sz w:val="24"/>
          <w:lang w:val="en-US" w:eastAsia="zh-CN"/>
        </w:rPr>
        <w:t>前附表（一）中</w:t>
      </w:r>
    </w:p>
    <w:tbl>
      <w:tblPr>
        <w:tblStyle w:val="6"/>
        <w:tblW w:w="951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1922"/>
        <w:gridCol w:w="7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26</w:t>
            </w:r>
          </w:p>
        </w:tc>
        <w:tc>
          <w:tcPr>
            <w:tcW w:w="19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投标保证金</w:t>
            </w:r>
          </w:p>
        </w:tc>
        <w:tc>
          <w:tcPr>
            <w:tcW w:w="70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项目投标保证金金额：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  <w:u w:val="single"/>
                <w:lang w:val="en-US" w:eastAsia="zh-CN"/>
              </w:rPr>
              <w:t>6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万元，到账截止时间：/年/月/日/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时止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①从投标人基本账户电汇：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账户名称：/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开户银行：/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账    号：/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投标保证金必须通过投标人基本账户电汇方式缴纳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②投标保证金可以采用电汇、转账、汇票等形式缴纳，其中“等形式”不限于以上已明确的3种形式，可包括法律法规及相关文件明确的其他形式，如保函等。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pacing w:line="360" w:lineRule="exact"/>
        <w:jc w:val="left"/>
        <w:textAlignment w:val="auto"/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现改为：</w:t>
      </w:r>
    </w:p>
    <w:tbl>
      <w:tblPr>
        <w:tblStyle w:val="6"/>
        <w:tblW w:w="9519" w:type="dxa"/>
        <w:tblInd w:w="-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0"/>
        <w:gridCol w:w="1922"/>
        <w:gridCol w:w="701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" w:hRule="atLeast"/>
        </w:trPr>
        <w:tc>
          <w:tcPr>
            <w:tcW w:w="58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26</w:t>
            </w:r>
          </w:p>
        </w:tc>
        <w:tc>
          <w:tcPr>
            <w:tcW w:w="192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center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投标保证金</w:t>
            </w:r>
          </w:p>
        </w:tc>
        <w:tc>
          <w:tcPr>
            <w:tcW w:w="7017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项目投标保证金金额：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  <w:u w:val="single"/>
                <w:lang w:val="en-US" w:eastAsia="zh-CN"/>
              </w:rPr>
              <w:t>0</w:t>
            </w:r>
            <w:r>
              <w:rPr>
                <w:rFonts w:hint="eastAsia" w:ascii="仿宋_GB2312" w:hAnsi="宋体" w:eastAsia="仿宋_GB2312"/>
                <w:sz w:val="24"/>
                <w:u w:val="single"/>
              </w:rPr>
              <w:t xml:space="preserve"> </w:t>
            </w:r>
            <w:r>
              <w:rPr>
                <w:rFonts w:hint="eastAsia" w:ascii="仿宋_GB2312" w:hAnsi="宋体" w:eastAsia="仿宋_GB2312"/>
                <w:sz w:val="24"/>
              </w:rPr>
              <w:t>万元，到账截止时间：/年/月/日/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时止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①从投标人基本账户电汇：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账户名称：/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开户银行：/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账    号：/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投标保证金必须通过投标人基本账户电汇方式缴纳</w:t>
            </w:r>
          </w:p>
          <w:p>
            <w:pPr>
              <w:keepNext w:val="0"/>
              <w:keepLines w:val="0"/>
              <w:pageBreakBefore w:val="0"/>
              <w:widowControl w:val="0"/>
              <w:tabs>
                <w:tab w:val="left" w:pos="1380"/>
              </w:tabs>
              <w:kinsoku/>
              <w:wordWrap/>
              <w:overflowPunct/>
              <w:topLinePunct w:val="0"/>
              <w:autoSpaceDE/>
              <w:autoSpaceDN/>
              <w:bidi w:val="0"/>
              <w:spacing w:line="360" w:lineRule="exact"/>
              <w:textAlignment w:val="auto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仿宋_GB2312" w:eastAsia="仿宋_GB2312"/>
                <w:sz w:val="24"/>
              </w:rPr>
              <w:t>②投标保证金可以采用电汇、转账、汇票等形式缴纳，其中“等形式”不限于以上已明确的3种形式，可包括法律法规及相关文件明确的其他形式，如保函等。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380"/>
        </w:tabs>
        <w:kinsoku/>
        <w:wordWrap/>
        <w:overflowPunct/>
        <w:topLinePunct w:val="0"/>
        <w:autoSpaceDE/>
        <w:autoSpaceDN/>
        <w:bidi w:val="0"/>
        <w:spacing w:line="360" w:lineRule="exact"/>
        <w:ind w:firstLine="480" w:firstLineChars="200"/>
        <w:textAlignment w:val="auto"/>
        <w:rPr>
          <w:rFonts w:hint="default" w:ascii="仿宋_GB2312" w:hAnsi="仿宋_GB2312" w:eastAsia="仿宋_GB2312"/>
          <w:sz w:val="24"/>
          <w:lang w:val="en-US" w:eastAsia="zh-CN"/>
        </w:rPr>
      </w:pPr>
      <w:bookmarkStart w:id="1" w:name="_GoBack"/>
      <w:r>
        <w:rPr>
          <w:rFonts w:hint="eastAsia" w:ascii="仿宋_GB2312" w:hAnsi="仿宋_GB2312" w:eastAsia="仿宋_GB2312"/>
          <w:sz w:val="24"/>
          <w:lang w:val="en-US" w:eastAsia="zh-CN"/>
        </w:rPr>
        <w:t>招标文件其余内容不变，</w:t>
      </w:r>
      <w:bookmarkEnd w:id="1"/>
      <w:r>
        <w:rPr>
          <w:rFonts w:hint="default" w:ascii="仿宋_GB2312" w:hAnsi="仿宋_GB2312" w:eastAsia="仿宋_GB2312"/>
          <w:sz w:val="24"/>
          <w:lang w:val="en-US" w:eastAsia="zh-CN"/>
        </w:rPr>
        <w:t>本补充公告作为招标文件的组成部分，与招标文件具有同等效力。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jc w:val="right"/>
        <w:textAlignment w:val="auto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jc w:val="both"/>
        <w:textAlignment w:val="auto"/>
        <w:rPr>
          <w:rFonts w:hint="eastAsia" w:ascii="仿宋_GB2312" w:eastAsia="仿宋_GB2312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jc w:val="right"/>
        <w:textAlignment w:val="auto"/>
        <w:rPr>
          <w:rFonts w:hint="eastAsia" w:ascii="仿宋_GB2312" w:eastAsia="仿宋_GB2312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jc w:val="right"/>
        <w:textAlignment w:val="auto"/>
        <w:rPr>
          <w:rFonts w:hint="eastAsia" w:ascii="仿宋_GB2312" w:eastAsia="仿宋_GB2312"/>
          <w:sz w:val="24"/>
        </w:rPr>
      </w:pPr>
      <w:r>
        <w:rPr>
          <w:rFonts w:hint="eastAsia" w:ascii="仿宋_GB2312" w:eastAsia="仿宋_GB2312"/>
          <w:sz w:val="24"/>
        </w:rPr>
        <w:t xml:space="preserve">浣江水务股份有限公司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jc w:val="right"/>
        <w:textAlignment w:val="auto"/>
        <w:rPr>
          <w:rFonts w:hint="eastAsia" w:ascii="仿宋" w:hAnsi="仿宋" w:eastAsia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 xml:space="preserve"> </w:t>
      </w:r>
      <w:r>
        <w:rPr>
          <w:rFonts w:hint="eastAsia" w:ascii="仿宋" w:hAnsi="仿宋" w:eastAsia="仿宋"/>
          <w:sz w:val="24"/>
          <w:lang w:eastAsia="zh-CN"/>
        </w:rPr>
        <w:t>杭州信达投资咨询估价监理有限公司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360" w:lineRule="exact"/>
        <w:jc w:val="right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ascii="仿宋_GB2312" w:eastAsia="仿宋_GB2312"/>
          <w:sz w:val="24"/>
        </w:rPr>
        <w:t xml:space="preserve"> </w:t>
      </w:r>
      <w:r>
        <w:rPr>
          <w:rFonts w:hint="eastAsia" w:ascii="仿宋_GB2312" w:eastAsia="仿宋_GB2312"/>
          <w:sz w:val="24"/>
        </w:rPr>
        <w:t>2023年</w:t>
      </w:r>
      <w:r>
        <w:rPr>
          <w:rFonts w:hint="eastAsia" w:ascii="仿宋_GB2312" w:eastAsia="仿宋_GB2312"/>
          <w:sz w:val="24"/>
          <w:lang w:val="en-US" w:eastAsia="zh-CN"/>
        </w:rPr>
        <w:t>12</w:t>
      </w:r>
      <w:r>
        <w:rPr>
          <w:rFonts w:hint="eastAsia" w:ascii="仿宋_GB2312" w:eastAsia="仿宋_GB2312"/>
          <w:sz w:val="24"/>
        </w:rPr>
        <w:t>月</w:t>
      </w:r>
      <w:r>
        <w:rPr>
          <w:rFonts w:hint="eastAsia" w:ascii="仿宋_GB2312" w:eastAsia="仿宋_GB2312"/>
          <w:sz w:val="24"/>
          <w:lang w:val="en-US" w:eastAsia="zh-CN"/>
        </w:rPr>
        <w:t>15</w:t>
      </w:r>
      <w:r>
        <w:rPr>
          <w:rFonts w:hint="eastAsia" w:ascii="仿宋_GB2312" w:eastAsia="仿宋_GB2312"/>
          <w:sz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Y4ZGE3NTQ4YjMzZGZkYTFiMDY3YzEzNGQyYTUxNjYifQ=="/>
  </w:docVars>
  <w:rsids>
    <w:rsidRoot w:val="62DE7646"/>
    <w:rsid w:val="047A14E6"/>
    <w:rsid w:val="3D9C7AF2"/>
    <w:rsid w:val="55DC5700"/>
    <w:rsid w:val="62DE7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beforeLines="0" w:after="330" w:afterLines="0" w:line="576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</w:style>
  <w:style w:type="paragraph" w:styleId="3">
    <w:name w:val="Body Text"/>
    <w:basedOn w:val="1"/>
    <w:uiPriority w:val="0"/>
    <w:pPr>
      <w:adjustRightInd w:val="0"/>
      <w:spacing w:after="60" w:afterLines="0" w:line="360" w:lineRule="atLeast"/>
      <w:ind w:left="72" w:leftChars="30" w:right="30" w:rightChars="30"/>
      <w:jc w:val="center"/>
      <w:textAlignment w:val="baseline"/>
    </w:pPr>
    <w:rPr>
      <w:rFonts w:ascii="Times New Roman" w:hAnsi="Times New Roman"/>
    </w:rPr>
  </w:style>
  <w:style w:type="paragraph" w:styleId="5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  <w:bCs/>
    </w:rPr>
  </w:style>
  <w:style w:type="character" w:styleId="9">
    <w:name w:val="FollowedHyperlink"/>
    <w:basedOn w:val="7"/>
    <w:qFormat/>
    <w:uiPriority w:val="0"/>
    <w:rPr>
      <w:color w:val="800080"/>
      <w:u w:val="none"/>
    </w:rPr>
  </w:style>
  <w:style w:type="character" w:styleId="10">
    <w:name w:val="Hyperlink"/>
    <w:basedOn w:val="7"/>
    <w:qFormat/>
    <w:uiPriority w:val="0"/>
    <w:rPr>
      <w:color w:val="0000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2023-12-15T02:05:00Z</dcterms:created>
  <dc:creator>打打酱油跳跳舞</dc:creator>
  <cp:lastModifiedBy>打打酱油跳跳舞</cp:lastModifiedBy>
  <dcterms:modified xsi:type="dcterms:W3CDTF">2023-12-15T02:24:21Z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80C9127991854B66BA591568B3DAA304_13</vt:lpwstr>
  </property>
</Properties>
</file>