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color w:val="000000" w:themeColor="text1"/>
          <w14:textFill>
            <w14:solidFill>
              <w14:schemeClr w14:val="tx1"/>
            </w14:solidFill>
          </w14:textFill>
        </w:rPr>
      </w:pPr>
    </w:p>
    <w:p>
      <w:pPr>
        <w:tabs>
          <w:tab w:val="left" w:pos="2909"/>
        </w:tabs>
        <w:spacing w:before="114" w:line="227" w:lineRule="auto"/>
        <w:ind w:left="138"/>
        <w:jc w:val="center"/>
        <w:rPr>
          <w:rFonts w:ascii="黑体" w:hAnsi="黑体" w:eastAsia="黑体" w:cs="黑体"/>
          <w:color w:val="000000" w:themeColor="text1"/>
          <w:sz w:val="35"/>
          <w:szCs w:val="35"/>
          <w14:textFill>
            <w14:solidFill>
              <w14:schemeClr w14:val="tx1"/>
            </w14:solidFill>
          </w14:textFill>
        </w:rPr>
      </w:pPr>
      <w:r>
        <w:rPr>
          <w:rFonts w:hint="eastAsia" w:ascii="黑体" w:hAnsi="黑体" w:eastAsia="黑体" w:cs="黑体"/>
          <w:color w:val="000000" w:themeColor="text1"/>
          <w:sz w:val="35"/>
          <w:szCs w:val="35"/>
          <w:u w:val="single"/>
          <w14:textOutline w14:w="6210" w14:cap="sq" w14:cmpd="sng" w14:algn="ctr">
            <w14:solidFill>
              <w14:srgbClr w14:val="000000"/>
            </w14:solidFill>
            <w14:prstDash w14:val="solid"/>
            <w14:bevel/>
          </w14:textOutline>
          <w14:textFill>
            <w14:solidFill>
              <w14:schemeClr w14:val="tx1"/>
            </w14:solidFill>
          </w14:textFill>
        </w:rPr>
        <w:t>诸暨市人民医院二期建设工程—医疗综合体扩改建工程电梯设备采购及安装项目</w:t>
      </w:r>
    </w:p>
    <w:p>
      <w:pPr>
        <w:spacing w:line="250" w:lineRule="auto"/>
        <w:jc w:val="both"/>
        <w:rPr>
          <w:color w:val="000000" w:themeColor="text1"/>
          <w14:textFill>
            <w14:solidFill>
              <w14:schemeClr w14:val="tx1"/>
            </w14:solidFill>
          </w14:textFill>
        </w:rPr>
      </w:pPr>
    </w:p>
    <w:p>
      <w:pPr>
        <w:spacing w:line="250" w:lineRule="auto"/>
        <w:jc w:val="center"/>
        <w:rPr>
          <w:rFonts w:hint="eastAsia" w:eastAsia="宋体"/>
          <w:color w:val="000000" w:themeColor="text1"/>
          <w:lang w:eastAsia="zh-CN"/>
          <w14:textFill>
            <w14:solidFill>
              <w14:schemeClr w14:val="tx1"/>
            </w14:solidFill>
          </w14:textFill>
        </w:rPr>
      </w:pPr>
      <w:r>
        <w:rPr>
          <w:rFonts w:hint="eastAsia" w:ascii="黑体" w:hAnsi="黑体" w:eastAsia="黑体" w:cs="黑体"/>
          <w:color w:val="000000" w:themeColor="text1"/>
          <w:sz w:val="31"/>
          <w:szCs w:val="31"/>
          <w:u w:val="single"/>
          <w:lang w:eastAsia="zh-CN"/>
          <w14:textFill>
            <w14:solidFill>
              <w14:schemeClr w14:val="tx1"/>
            </w14:solidFill>
          </w14:textFill>
        </w:rPr>
        <w:t>（</w:t>
      </w:r>
      <w:r>
        <w:rPr>
          <w:rFonts w:hint="eastAsia" w:ascii="黑体" w:hAnsi="黑体" w:eastAsia="黑体" w:cs="黑体"/>
          <w:color w:val="000000" w:themeColor="text1"/>
          <w:sz w:val="31"/>
          <w:szCs w:val="31"/>
          <w:u w:val="single"/>
          <w:lang w:val="en-US" w:eastAsia="zh-CN"/>
          <w14:textFill>
            <w14:solidFill>
              <w14:schemeClr w14:val="tx1"/>
            </w14:solidFill>
          </w14:textFill>
        </w:rPr>
        <w:t>诸货招-2024-1</w:t>
      </w:r>
      <w:r>
        <w:rPr>
          <w:rFonts w:hint="eastAsia" w:ascii="黑体" w:hAnsi="黑体" w:eastAsia="黑体" w:cs="黑体"/>
          <w:color w:val="000000" w:themeColor="text1"/>
          <w:sz w:val="31"/>
          <w:szCs w:val="31"/>
          <w:u w:val="single"/>
          <w:lang w:eastAsia="zh-CN"/>
          <w14:textFill>
            <w14:solidFill>
              <w14:schemeClr w14:val="tx1"/>
            </w14:solidFill>
          </w14:textFill>
        </w:rPr>
        <w:t>）</w:t>
      </w:r>
    </w:p>
    <w:p>
      <w:pPr>
        <w:spacing w:line="250" w:lineRule="auto"/>
        <w:jc w:val="both"/>
        <w:rPr>
          <w:color w:val="000000" w:themeColor="text1"/>
          <w14:textFill>
            <w14:solidFill>
              <w14:schemeClr w14:val="tx1"/>
            </w14:solidFill>
          </w14:textFill>
        </w:rPr>
      </w:pPr>
    </w:p>
    <w:p>
      <w:pPr>
        <w:spacing w:line="250" w:lineRule="auto"/>
        <w:jc w:val="both"/>
        <w:rPr>
          <w:rFonts w:eastAsiaTheme="minorEastAsia"/>
          <w:color w:val="000000" w:themeColor="text1"/>
          <w14:textFill>
            <w14:solidFill>
              <w14:schemeClr w14:val="tx1"/>
            </w14:solidFill>
          </w14:textFill>
        </w:rPr>
      </w:pPr>
    </w:p>
    <w:p>
      <w:pPr>
        <w:pStyle w:val="12"/>
        <w:jc w:val="both"/>
        <w:rPr>
          <w:color w:val="000000" w:themeColor="text1"/>
          <w14:textFill>
            <w14:solidFill>
              <w14:schemeClr w14:val="tx1"/>
            </w14:solidFill>
          </w14:textFill>
        </w:rPr>
      </w:pPr>
    </w:p>
    <w:p>
      <w:pPr>
        <w:pStyle w:val="13"/>
        <w:jc w:val="both"/>
        <w:rPr>
          <w:color w:val="000000" w:themeColor="text1"/>
          <w:spacing w:val="0"/>
          <w14:textFill>
            <w14:solidFill>
              <w14:schemeClr w14:val="tx1"/>
            </w14:solidFill>
          </w14:textFill>
        </w:rPr>
      </w:pPr>
    </w:p>
    <w:p>
      <w:pPr>
        <w:pStyle w:val="13"/>
        <w:jc w:val="both"/>
        <w:rPr>
          <w:color w:val="000000" w:themeColor="text1"/>
          <w:spacing w:val="0"/>
          <w14:textFill>
            <w14:solidFill>
              <w14:schemeClr w14:val="tx1"/>
            </w14:solidFill>
          </w14:textFill>
        </w:rPr>
      </w:pPr>
    </w:p>
    <w:p>
      <w:pPr>
        <w:spacing w:line="250" w:lineRule="auto"/>
        <w:jc w:val="both"/>
        <w:rPr>
          <w:color w:val="000000" w:themeColor="text1"/>
          <w14:textFill>
            <w14:solidFill>
              <w14:schemeClr w14:val="tx1"/>
            </w14:solidFill>
          </w14:textFill>
        </w:rPr>
      </w:pPr>
    </w:p>
    <w:p>
      <w:pPr>
        <w:spacing w:line="250" w:lineRule="auto"/>
        <w:jc w:val="both"/>
        <w:rPr>
          <w:rFonts w:eastAsiaTheme="minorEastAsia"/>
          <w:color w:val="000000" w:themeColor="text1"/>
          <w14:textFill>
            <w14:solidFill>
              <w14:schemeClr w14:val="tx1"/>
            </w14:solidFill>
          </w14:textFill>
        </w:rPr>
      </w:pPr>
    </w:p>
    <w:p>
      <w:pPr>
        <w:pStyle w:val="12"/>
        <w:jc w:val="both"/>
        <w:rPr>
          <w:color w:val="000000" w:themeColor="text1"/>
          <w14:textFill>
            <w14:solidFill>
              <w14:schemeClr w14:val="tx1"/>
            </w14:solidFill>
          </w14:textFill>
        </w:rPr>
      </w:pPr>
    </w:p>
    <w:p>
      <w:pPr>
        <w:pStyle w:val="13"/>
        <w:jc w:val="both"/>
        <w:rPr>
          <w:color w:val="000000" w:themeColor="text1"/>
          <w:spacing w:val="0"/>
          <w14:textFill>
            <w14:solidFill>
              <w14:schemeClr w14:val="tx1"/>
            </w14:solidFill>
          </w14:textFill>
        </w:rPr>
      </w:pPr>
    </w:p>
    <w:p>
      <w:pPr>
        <w:pStyle w:val="13"/>
        <w:jc w:val="both"/>
        <w:rPr>
          <w:color w:val="000000" w:themeColor="text1"/>
          <w:spacing w:val="0"/>
          <w14:textFill>
            <w14:solidFill>
              <w14:schemeClr w14:val="tx1"/>
            </w14:solidFill>
          </w14:textFill>
        </w:rPr>
      </w:pPr>
    </w:p>
    <w:p>
      <w:pPr>
        <w:spacing w:line="250" w:lineRule="auto"/>
        <w:jc w:val="both"/>
        <w:rPr>
          <w:color w:val="000000" w:themeColor="text1"/>
          <w14:textFill>
            <w14:solidFill>
              <w14:schemeClr w14:val="tx1"/>
            </w14:solidFill>
          </w14:textFill>
        </w:rPr>
      </w:pPr>
    </w:p>
    <w:p>
      <w:pPr>
        <w:spacing w:line="250" w:lineRule="auto"/>
        <w:jc w:val="both"/>
        <w:rPr>
          <w:color w:val="000000" w:themeColor="text1"/>
          <w14:textFill>
            <w14:solidFill>
              <w14:schemeClr w14:val="tx1"/>
            </w14:solidFill>
          </w14:textFill>
        </w:rPr>
      </w:pPr>
    </w:p>
    <w:p>
      <w:pPr>
        <w:spacing w:line="251" w:lineRule="auto"/>
        <w:jc w:val="both"/>
        <w:rPr>
          <w:color w:val="000000" w:themeColor="text1"/>
          <w14:textFill>
            <w14:solidFill>
              <w14:schemeClr w14:val="tx1"/>
            </w14:solidFill>
          </w14:textFill>
        </w:rPr>
      </w:pPr>
    </w:p>
    <w:p>
      <w:pPr>
        <w:spacing w:before="231" w:line="224" w:lineRule="auto"/>
        <w:jc w:val="center"/>
        <w:rPr>
          <w:rFonts w:ascii="黑体" w:hAnsi="黑体" w:eastAsia="黑体" w:cs="黑体"/>
          <w:color w:val="000000" w:themeColor="text1"/>
          <w:sz w:val="71"/>
          <w:szCs w:val="71"/>
          <w14:textFill>
            <w14:solidFill>
              <w14:schemeClr w14:val="tx1"/>
            </w14:solidFill>
          </w14:textFill>
        </w:rPr>
      </w:pPr>
      <w:r>
        <w:rPr>
          <w:rFonts w:ascii="黑体" w:hAnsi="黑体" w:eastAsia="黑体" w:cs="黑体"/>
          <w:color w:val="000000" w:themeColor="text1"/>
          <w:sz w:val="71"/>
          <w:szCs w:val="71"/>
          <w14:textFill>
            <w14:solidFill>
              <w14:schemeClr w14:val="tx1"/>
            </w14:solidFill>
          </w14:textFill>
        </w:rPr>
        <w:t>招标文件</w:t>
      </w:r>
    </w:p>
    <w:p>
      <w:pPr>
        <w:spacing w:line="247" w:lineRule="auto"/>
        <w:jc w:val="both"/>
        <w:rPr>
          <w:color w:val="000000" w:themeColor="text1"/>
          <w14:textFill>
            <w14:solidFill>
              <w14:schemeClr w14:val="tx1"/>
            </w14:solidFill>
          </w14:textFill>
        </w:rPr>
      </w:pPr>
    </w:p>
    <w:p>
      <w:pPr>
        <w:spacing w:line="247" w:lineRule="auto"/>
        <w:jc w:val="both"/>
        <w:rPr>
          <w:color w:val="000000" w:themeColor="text1"/>
          <w14:textFill>
            <w14:solidFill>
              <w14:schemeClr w14:val="tx1"/>
            </w14:solidFill>
          </w14:textFill>
        </w:rPr>
      </w:pPr>
    </w:p>
    <w:p>
      <w:pPr>
        <w:spacing w:line="247" w:lineRule="auto"/>
        <w:jc w:val="both"/>
        <w:rPr>
          <w:color w:val="000000" w:themeColor="text1"/>
          <w14:textFill>
            <w14:solidFill>
              <w14:schemeClr w14:val="tx1"/>
            </w14:solidFill>
          </w14:textFill>
        </w:rPr>
      </w:pPr>
    </w:p>
    <w:p>
      <w:pPr>
        <w:spacing w:line="247" w:lineRule="auto"/>
        <w:jc w:val="both"/>
        <w:rPr>
          <w:color w:val="000000" w:themeColor="text1"/>
          <w14:textFill>
            <w14:solidFill>
              <w14:schemeClr w14:val="tx1"/>
            </w14:solidFill>
          </w14:textFill>
        </w:rPr>
      </w:pPr>
    </w:p>
    <w:p>
      <w:pPr>
        <w:spacing w:line="247" w:lineRule="auto"/>
        <w:jc w:val="both"/>
        <w:rPr>
          <w:color w:val="000000" w:themeColor="text1"/>
          <w14:textFill>
            <w14:solidFill>
              <w14:schemeClr w14:val="tx1"/>
            </w14:solidFill>
          </w14:textFill>
        </w:rPr>
      </w:pPr>
    </w:p>
    <w:p>
      <w:pPr>
        <w:spacing w:line="247" w:lineRule="auto"/>
        <w:jc w:val="both"/>
        <w:rPr>
          <w:color w:val="000000" w:themeColor="text1"/>
          <w14:textFill>
            <w14:solidFill>
              <w14:schemeClr w14:val="tx1"/>
            </w14:solidFill>
          </w14:textFill>
        </w:rPr>
      </w:pPr>
    </w:p>
    <w:p>
      <w:pPr>
        <w:spacing w:line="248" w:lineRule="auto"/>
        <w:jc w:val="both"/>
        <w:rPr>
          <w:color w:val="000000" w:themeColor="text1"/>
          <w14:textFill>
            <w14:solidFill>
              <w14:schemeClr w14:val="tx1"/>
            </w14:solidFill>
          </w14:textFill>
        </w:rPr>
      </w:pPr>
    </w:p>
    <w:p>
      <w:pPr>
        <w:spacing w:line="248" w:lineRule="auto"/>
        <w:jc w:val="both"/>
        <w:rPr>
          <w:color w:val="000000" w:themeColor="text1"/>
          <w14:textFill>
            <w14:solidFill>
              <w14:schemeClr w14:val="tx1"/>
            </w14:solidFill>
          </w14:textFill>
        </w:rPr>
      </w:pPr>
    </w:p>
    <w:p>
      <w:pPr>
        <w:spacing w:line="248" w:lineRule="auto"/>
        <w:jc w:val="both"/>
        <w:rPr>
          <w:color w:val="000000" w:themeColor="text1"/>
          <w14:textFill>
            <w14:solidFill>
              <w14:schemeClr w14:val="tx1"/>
            </w14:solidFill>
          </w14:textFill>
        </w:rPr>
      </w:pPr>
    </w:p>
    <w:p>
      <w:pPr>
        <w:spacing w:line="248" w:lineRule="auto"/>
        <w:jc w:val="both"/>
        <w:rPr>
          <w:color w:val="000000" w:themeColor="text1"/>
          <w14:textFill>
            <w14:solidFill>
              <w14:schemeClr w14:val="tx1"/>
            </w14:solidFill>
          </w14:textFill>
        </w:rPr>
      </w:pPr>
    </w:p>
    <w:p>
      <w:pPr>
        <w:spacing w:line="248" w:lineRule="auto"/>
        <w:jc w:val="both"/>
        <w:rPr>
          <w:color w:val="000000" w:themeColor="text1"/>
          <w14:textFill>
            <w14:solidFill>
              <w14:schemeClr w14:val="tx1"/>
            </w14:solidFill>
          </w14:textFill>
        </w:rPr>
      </w:pPr>
    </w:p>
    <w:p>
      <w:pPr>
        <w:spacing w:line="248" w:lineRule="auto"/>
        <w:jc w:val="both"/>
        <w:rPr>
          <w:color w:val="000000" w:themeColor="text1"/>
          <w14:textFill>
            <w14:solidFill>
              <w14:schemeClr w14:val="tx1"/>
            </w14:solidFill>
          </w14:textFill>
        </w:rPr>
      </w:pPr>
    </w:p>
    <w:p>
      <w:pPr>
        <w:spacing w:line="248" w:lineRule="auto"/>
        <w:jc w:val="both"/>
        <w:rPr>
          <w:color w:val="000000" w:themeColor="text1"/>
          <w14:textFill>
            <w14:solidFill>
              <w14:schemeClr w14:val="tx1"/>
            </w14:solidFill>
          </w14:textFill>
        </w:rPr>
      </w:pPr>
    </w:p>
    <w:p>
      <w:pPr>
        <w:spacing w:line="248" w:lineRule="auto"/>
        <w:jc w:val="both"/>
        <w:rPr>
          <w:color w:val="000000" w:themeColor="text1"/>
          <w14:textFill>
            <w14:solidFill>
              <w14:schemeClr w14:val="tx1"/>
            </w14:solidFill>
          </w14:textFill>
        </w:rPr>
      </w:pPr>
    </w:p>
    <w:p>
      <w:pPr>
        <w:spacing w:line="248" w:lineRule="auto"/>
        <w:jc w:val="both"/>
        <w:rPr>
          <w:color w:val="000000" w:themeColor="text1"/>
          <w14:textFill>
            <w14:solidFill>
              <w14:schemeClr w14:val="tx1"/>
            </w14:solidFill>
          </w14:textFill>
        </w:rPr>
      </w:pPr>
    </w:p>
    <w:p>
      <w:pPr>
        <w:spacing w:line="248" w:lineRule="auto"/>
        <w:jc w:val="both"/>
        <w:rPr>
          <w:color w:val="000000" w:themeColor="text1"/>
          <w14:textFill>
            <w14:solidFill>
              <w14:schemeClr w14:val="tx1"/>
            </w14:solidFill>
          </w14:textFill>
        </w:rPr>
      </w:pPr>
    </w:p>
    <w:p>
      <w:pPr>
        <w:spacing w:line="248" w:lineRule="auto"/>
        <w:jc w:val="both"/>
        <w:rPr>
          <w:color w:val="000000" w:themeColor="text1"/>
          <w14:textFill>
            <w14:solidFill>
              <w14:schemeClr w14:val="tx1"/>
            </w14:solidFill>
          </w14:textFill>
        </w:rPr>
      </w:pPr>
    </w:p>
    <w:p>
      <w:pPr>
        <w:spacing w:line="248" w:lineRule="auto"/>
        <w:jc w:val="both"/>
        <w:rPr>
          <w:color w:val="000000" w:themeColor="text1"/>
          <w14:textFill>
            <w14:solidFill>
              <w14:schemeClr w14:val="tx1"/>
            </w14:solidFill>
          </w14:textFill>
        </w:rPr>
      </w:pPr>
    </w:p>
    <w:p>
      <w:pPr>
        <w:spacing w:line="248" w:lineRule="auto"/>
        <w:jc w:val="both"/>
        <w:rPr>
          <w:color w:val="000000" w:themeColor="text1"/>
          <w14:textFill>
            <w14:solidFill>
              <w14:schemeClr w14:val="tx1"/>
            </w14:solidFill>
          </w14:textFill>
        </w:rPr>
      </w:pPr>
    </w:p>
    <w:p>
      <w:pPr>
        <w:spacing w:before="100" w:line="372" w:lineRule="auto"/>
        <w:jc w:val="center"/>
        <w:rPr>
          <w:rFonts w:ascii="黑体" w:hAnsi="黑体" w:eastAsia="黑体" w:cs="黑体"/>
          <w:color w:val="000000" w:themeColor="text1"/>
          <w:sz w:val="31"/>
          <w:szCs w:val="31"/>
          <w14:textFill>
            <w14:solidFill>
              <w14:schemeClr w14:val="tx1"/>
            </w14:solidFill>
          </w14:textFill>
        </w:rPr>
      </w:pPr>
      <w:r>
        <w:rPr>
          <w:rFonts w:ascii="黑体" w:hAnsi="黑体" w:eastAsia="黑体" w:cs="黑体"/>
          <w:color w:val="000000" w:themeColor="text1"/>
          <w:sz w:val="31"/>
          <w:szCs w:val="31"/>
          <w14:textFill>
            <w14:solidFill>
              <w14:schemeClr w14:val="tx1"/>
            </w14:solidFill>
          </w14:textFill>
        </w:rPr>
        <w:t>招标人：</w:t>
      </w:r>
      <w:r>
        <w:rPr>
          <w:rFonts w:ascii="宋体" w:hAnsi="宋体" w:eastAsia="宋体" w:cs="宋体"/>
          <w:color w:val="000000" w:themeColor="text1"/>
          <w:sz w:val="23"/>
          <w:szCs w:val="23"/>
          <w:u w:val="single"/>
          <w14:textFill>
            <w14:solidFill>
              <w14:schemeClr w14:val="tx1"/>
            </w14:solidFill>
          </w14:textFill>
        </w:rPr>
        <w:t xml:space="preserve"> </w:t>
      </w:r>
      <w:r>
        <w:rPr>
          <w:rFonts w:hint="eastAsia" w:ascii="黑体" w:hAnsi="黑体" w:eastAsia="黑体" w:cs="黑体"/>
          <w:color w:val="000000" w:themeColor="text1"/>
          <w:sz w:val="31"/>
          <w:szCs w:val="31"/>
          <w:u w:val="single"/>
          <w14:textFill>
            <w14:solidFill>
              <w14:schemeClr w14:val="tx1"/>
            </w14:solidFill>
          </w14:textFill>
        </w:rPr>
        <w:t>诸暨市人民医院</w:t>
      </w:r>
      <w:r>
        <w:rPr>
          <w:rFonts w:ascii="宋体" w:hAnsi="宋体" w:eastAsia="宋体" w:cs="宋体"/>
          <w:color w:val="000000" w:themeColor="text1"/>
          <w:sz w:val="23"/>
          <w:szCs w:val="23"/>
          <w:u w:val="single"/>
          <w14:textFill>
            <w14:solidFill>
              <w14:schemeClr w14:val="tx1"/>
            </w14:solidFill>
          </w14:textFill>
        </w:rPr>
        <w:t xml:space="preserve"> </w:t>
      </w:r>
      <w:r>
        <w:rPr>
          <w:rFonts w:ascii="黑体" w:hAnsi="黑体" w:eastAsia="黑体" w:cs="黑体"/>
          <w:color w:val="000000" w:themeColor="text1"/>
          <w:sz w:val="31"/>
          <w:szCs w:val="31"/>
          <w14:textFill>
            <w14:solidFill>
              <w14:schemeClr w14:val="tx1"/>
            </w14:solidFill>
          </w14:textFill>
        </w:rPr>
        <w:t>(盖章)</w:t>
      </w:r>
    </w:p>
    <w:p>
      <w:pPr>
        <w:tabs>
          <w:tab w:val="left" w:pos="3427"/>
        </w:tabs>
        <w:spacing w:line="228" w:lineRule="auto"/>
        <w:jc w:val="center"/>
        <w:rPr>
          <w:rFonts w:ascii="黑体" w:hAnsi="黑体" w:eastAsia="黑体" w:cs="黑体"/>
          <w:color w:val="000000" w:themeColor="text1"/>
          <w:sz w:val="31"/>
          <w:szCs w:val="31"/>
          <w14:textFill>
            <w14:solidFill>
              <w14:schemeClr w14:val="tx1"/>
            </w14:solidFill>
          </w14:textFill>
        </w:rPr>
      </w:pPr>
      <w:r>
        <w:rPr>
          <w:rFonts w:hint="eastAsia" w:ascii="黑体" w:hAnsi="黑体" w:eastAsia="黑体" w:cs="黑体"/>
          <w:color w:val="000000" w:themeColor="text1"/>
          <w:sz w:val="31"/>
          <w:szCs w:val="31"/>
          <w:u w:val="single"/>
          <w14:textFill>
            <w14:solidFill>
              <w14:schemeClr w14:val="tx1"/>
            </w14:solidFill>
          </w14:textFill>
        </w:rPr>
        <w:t>2024</w:t>
      </w:r>
      <w:r>
        <w:rPr>
          <w:rFonts w:ascii="黑体" w:hAnsi="黑体" w:eastAsia="黑体" w:cs="黑体"/>
          <w:color w:val="000000" w:themeColor="text1"/>
          <w:sz w:val="31"/>
          <w:szCs w:val="31"/>
          <w14:textFill>
            <w14:solidFill>
              <w14:schemeClr w14:val="tx1"/>
            </w14:solidFill>
          </w14:textFill>
        </w:rPr>
        <w:t>年</w:t>
      </w:r>
      <w:r>
        <w:rPr>
          <w:rFonts w:ascii="宋体" w:hAnsi="宋体" w:eastAsia="宋体" w:cs="宋体"/>
          <w:color w:val="000000" w:themeColor="text1"/>
          <w:sz w:val="23"/>
          <w:szCs w:val="23"/>
          <w:u w:val="single"/>
          <w14:textFill>
            <w14:solidFill>
              <w14:schemeClr w14:val="tx1"/>
            </w14:solidFill>
          </w14:textFill>
        </w:rPr>
        <w:t xml:space="preserve"> </w:t>
      </w:r>
      <w:r>
        <w:rPr>
          <w:rFonts w:hint="eastAsia" w:ascii="黑体" w:hAnsi="黑体" w:eastAsia="黑体" w:cs="黑体"/>
          <w:color w:val="000000" w:themeColor="text1"/>
          <w:sz w:val="31"/>
          <w:szCs w:val="31"/>
          <w:u w:val="single"/>
          <w:lang w:val="en-US" w:eastAsia="zh-CN"/>
          <w14:textFill>
            <w14:solidFill>
              <w14:schemeClr w14:val="tx1"/>
            </w14:solidFill>
          </w14:textFill>
        </w:rPr>
        <w:t>6</w:t>
      </w:r>
      <w:r>
        <w:rPr>
          <w:rFonts w:ascii="宋体" w:hAnsi="宋体" w:eastAsia="宋体" w:cs="宋体"/>
          <w:color w:val="000000" w:themeColor="text1"/>
          <w:sz w:val="23"/>
          <w:szCs w:val="23"/>
          <w:u w:val="single"/>
          <w14:textFill>
            <w14:solidFill>
              <w14:schemeClr w14:val="tx1"/>
            </w14:solidFill>
          </w14:textFill>
        </w:rPr>
        <w:t xml:space="preserve"> </w:t>
      </w:r>
      <w:r>
        <w:rPr>
          <w:rFonts w:ascii="黑体" w:hAnsi="黑体" w:eastAsia="黑体" w:cs="黑体"/>
          <w:color w:val="000000" w:themeColor="text1"/>
          <w:sz w:val="31"/>
          <w:szCs w:val="31"/>
          <w14:textFill>
            <w14:solidFill>
              <w14:schemeClr w14:val="tx1"/>
            </w14:solidFill>
          </w14:textFill>
        </w:rPr>
        <w:t>月</w:t>
      </w:r>
      <w:r>
        <w:rPr>
          <w:rFonts w:ascii="宋体" w:hAnsi="宋体" w:eastAsia="宋体" w:cs="宋体"/>
          <w:color w:val="000000" w:themeColor="text1"/>
          <w:sz w:val="23"/>
          <w:szCs w:val="23"/>
          <w:u w:val="single"/>
          <w14:textFill>
            <w14:solidFill>
              <w14:schemeClr w14:val="tx1"/>
            </w14:solidFill>
          </w14:textFill>
        </w:rPr>
        <w:t xml:space="preserve"> </w:t>
      </w:r>
      <w:r>
        <w:rPr>
          <w:rFonts w:hint="eastAsia" w:ascii="黑体" w:hAnsi="黑体" w:eastAsia="黑体" w:cs="黑体"/>
          <w:color w:val="000000" w:themeColor="text1"/>
          <w:sz w:val="31"/>
          <w:szCs w:val="31"/>
          <w:u w:val="single"/>
          <w:lang w:val="en-US" w:eastAsia="zh-CN"/>
          <w14:textFill>
            <w14:solidFill>
              <w14:schemeClr w14:val="tx1"/>
            </w14:solidFill>
          </w14:textFill>
        </w:rPr>
        <w:t>14</w:t>
      </w:r>
      <w:r>
        <w:rPr>
          <w:rFonts w:ascii="宋体" w:hAnsi="宋体" w:eastAsia="宋体" w:cs="宋体"/>
          <w:color w:val="000000" w:themeColor="text1"/>
          <w:sz w:val="23"/>
          <w:szCs w:val="23"/>
          <w:u w:val="single"/>
          <w14:textFill>
            <w14:solidFill>
              <w14:schemeClr w14:val="tx1"/>
            </w14:solidFill>
          </w14:textFill>
        </w:rPr>
        <w:t xml:space="preserve"> </w:t>
      </w:r>
      <w:r>
        <w:rPr>
          <w:rFonts w:ascii="黑体" w:hAnsi="黑体" w:eastAsia="黑体" w:cs="黑体"/>
          <w:color w:val="000000" w:themeColor="text1"/>
          <w:sz w:val="31"/>
          <w:szCs w:val="31"/>
          <w14:textFill>
            <w14:solidFill>
              <w14:schemeClr w14:val="tx1"/>
            </w14:solidFill>
          </w14:textFill>
        </w:rPr>
        <w:t>日</w:t>
      </w:r>
    </w:p>
    <w:p>
      <w:pPr>
        <w:jc w:val="both"/>
        <w:rPr>
          <w:color w:val="000000" w:themeColor="text1"/>
          <w14:textFill>
            <w14:solidFill>
              <w14:schemeClr w14:val="tx1"/>
            </w14:solidFill>
          </w14:textFill>
        </w:rPr>
        <w:sectPr>
          <w:pgSz w:w="11906" w:h="16839"/>
          <w:pgMar w:top="1418" w:right="1559" w:bottom="1418" w:left="1474" w:header="0" w:footer="0" w:gutter="0"/>
          <w:pgNumType w:start="1"/>
          <w:cols w:space="720" w:num="1"/>
        </w:sectPr>
      </w:pPr>
    </w:p>
    <w:p>
      <w:pPr>
        <w:spacing w:line="259" w:lineRule="auto"/>
        <w:jc w:val="both"/>
        <w:rPr>
          <w:color w:val="000000" w:themeColor="text1"/>
          <w14:textFill>
            <w14:solidFill>
              <w14:schemeClr w14:val="tx1"/>
            </w14:solidFill>
          </w14:textFill>
        </w:rPr>
      </w:pPr>
    </w:p>
    <w:p>
      <w:pPr>
        <w:pStyle w:val="17"/>
        <w:rPr>
          <w:rFonts w:ascii="方正小标宋简体" w:hAnsi="宋体" w:eastAsia="方正小标宋简体" w:cs="Times New Roman"/>
          <w:snapToGrid/>
          <w:color w:val="000000" w:themeColor="text1"/>
          <w:kern w:val="2"/>
          <w:sz w:val="52"/>
          <w:szCs w:val="52"/>
          <w14:textFill>
            <w14:solidFill>
              <w14:schemeClr w14:val="tx1"/>
            </w14:solidFill>
          </w14:textFill>
        </w:rPr>
      </w:pPr>
      <w:r>
        <w:rPr>
          <w:rFonts w:hint="eastAsia" w:ascii="方正小标宋简体" w:hAnsi="宋体" w:eastAsia="方正小标宋简体" w:cs="Times New Roman"/>
          <w:snapToGrid/>
          <w:color w:val="000000" w:themeColor="text1"/>
          <w:kern w:val="2"/>
          <w:sz w:val="52"/>
          <w:szCs w:val="52"/>
          <w14:textFill>
            <w14:solidFill>
              <w14:schemeClr w14:val="tx1"/>
            </w14:solidFill>
          </w14:textFill>
        </w:rPr>
        <w:t>绍兴市房屋建筑和市政基础设施货物</w:t>
      </w:r>
    </w:p>
    <w:p>
      <w:pPr>
        <w:widowControl w:val="0"/>
        <w:kinsoku/>
        <w:autoSpaceDE/>
        <w:autoSpaceDN/>
        <w:adjustRightInd/>
        <w:snapToGrid/>
        <w:jc w:val="center"/>
        <w:textAlignment w:val="auto"/>
        <w:rPr>
          <w:rFonts w:ascii="方正小标宋简体" w:hAnsi="宋体" w:eastAsia="方正小标宋简体" w:cs="Times New Roman"/>
          <w:snapToGrid/>
          <w:color w:val="000000" w:themeColor="text1"/>
          <w:kern w:val="2"/>
          <w:sz w:val="52"/>
          <w:szCs w:val="52"/>
          <w14:textFill>
            <w14:solidFill>
              <w14:schemeClr w14:val="tx1"/>
            </w14:solidFill>
          </w14:textFill>
        </w:rPr>
      </w:pPr>
      <w:r>
        <w:rPr>
          <w:rFonts w:hint="eastAsia" w:ascii="方正小标宋简体" w:hAnsi="宋体" w:eastAsia="方正小标宋简体" w:cs="Times New Roman"/>
          <w:snapToGrid/>
          <w:color w:val="000000" w:themeColor="text1"/>
          <w:kern w:val="2"/>
          <w:sz w:val="52"/>
          <w:szCs w:val="52"/>
          <w14:textFill>
            <w14:solidFill>
              <w14:schemeClr w14:val="tx1"/>
            </w14:solidFill>
          </w14:textFill>
        </w:rPr>
        <w:t>招标文件</w:t>
      </w: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pStyle w:val="9"/>
        <w:rPr>
          <w:rFonts w:eastAsiaTheme="minorEastAsia"/>
          <w:color w:val="000000" w:themeColor="text1"/>
          <w14:textFill>
            <w14:solidFill>
              <w14:schemeClr w14:val="tx1"/>
            </w14:solidFill>
          </w14:textFill>
        </w:rPr>
      </w:pPr>
    </w:p>
    <w:p>
      <w:pPr>
        <w:widowControl w:val="0"/>
        <w:kinsoku/>
        <w:autoSpaceDE/>
        <w:autoSpaceDN/>
        <w:adjustRightInd/>
        <w:snapToGrid/>
        <w:jc w:val="center"/>
        <w:textAlignment w:val="auto"/>
        <w:rPr>
          <w:rFonts w:ascii="宋体" w:hAnsi="宋体" w:eastAsia="宋体" w:cs="Times New Roman"/>
          <w:snapToGrid/>
          <w:color w:val="000000" w:themeColor="text1"/>
          <w:kern w:val="2"/>
          <w:sz w:val="48"/>
          <w:szCs w:val="48"/>
          <w14:textFill>
            <w14:solidFill>
              <w14:schemeClr w14:val="tx1"/>
            </w14:solidFill>
          </w14:textFill>
        </w:rPr>
      </w:pPr>
      <w:r>
        <w:rPr>
          <w:rFonts w:hint="eastAsia" w:ascii="宋体" w:hAnsi="宋体" w:eastAsia="宋体" w:cs="Times New Roman"/>
          <w:snapToGrid/>
          <w:color w:val="000000" w:themeColor="text1"/>
          <w:kern w:val="2"/>
          <w:sz w:val="48"/>
          <w:szCs w:val="48"/>
          <w14:textFill>
            <w14:solidFill>
              <w14:schemeClr w14:val="tx1"/>
            </w14:solidFill>
          </w14:textFill>
        </w:rPr>
        <w:t>（2024-01版）</w:t>
      </w: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tabs>
          <w:tab w:val="left" w:pos="6627"/>
        </w:tabs>
        <w:kinsoku/>
        <w:autoSpaceDE/>
        <w:autoSpaceDN/>
        <w:adjustRightInd/>
        <w:snapToGrid/>
        <w:textAlignment w:val="auto"/>
        <w:rPr>
          <w:rFonts w:ascii="宋体" w:hAnsi="Times New Roman" w:eastAsia="宋体" w:cs="Times New Roman"/>
          <w:b/>
          <w:snapToGrid/>
          <w:color w:val="000000" w:themeColor="text1"/>
          <w:kern w:val="2"/>
          <w:sz w:val="32"/>
          <w:szCs w:val="24"/>
          <w14:textFill>
            <w14:solidFill>
              <w14:schemeClr w14:val="tx1"/>
            </w14:solidFill>
          </w14:textFill>
        </w:rPr>
      </w:pPr>
      <w:r>
        <w:rPr>
          <w:rFonts w:hint="eastAsia" w:ascii="宋体" w:hAnsi="Times New Roman" w:eastAsia="宋体" w:cs="Times New Roman"/>
          <w:b/>
          <w:snapToGrid/>
          <w:color w:val="000000" w:themeColor="text1"/>
          <w:kern w:val="2"/>
          <w:sz w:val="32"/>
          <w:szCs w:val="24"/>
          <w14:textFill>
            <w14:solidFill>
              <w14:schemeClr w14:val="tx1"/>
            </w14:solidFill>
          </w14:textFill>
        </w:rPr>
        <w:tab/>
      </w: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32"/>
          <w:szCs w:val="24"/>
          <w14:textFill>
            <w14:solidFill>
              <w14:schemeClr w14:val="tx1"/>
            </w14:solidFill>
          </w14:textFill>
        </w:rPr>
      </w:pPr>
    </w:p>
    <w:p>
      <w:pPr>
        <w:widowControl w:val="0"/>
        <w:kinsoku/>
        <w:autoSpaceDE/>
        <w:autoSpaceDN/>
        <w:adjustRightInd/>
        <w:snapToGrid/>
        <w:jc w:val="center"/>
        <w:textAlignment w:val="auto"/>
        <w:rPr>
          <w:rFonts w:ascii="宋体" w:hAnsi="Times New Roman" w:eastAsia="宋体" w:cs="Times New Roman"/>
          <w:b/>
          <w:snapToGrid/>
          <w:color w:val="000000" w:themeColor="text1"/>
          <w:kern w:val="2"/>
          <w:sz w:val="44"/>
          <w:szCs w:val="44"/>
          <w14:textFill>
            <w14:solidFill>
              <w14:schemeClr w14:val="tx1"/>
            </w14:solidFill>
          </w14:textFill>
        </w:rPr>
      </w:pPr>
      <w:r>
        <w:rPr>
          <w:rFonts w:hint="eastAsia" w:ascii="宋体" w:hAnsi="Times New Roman" w:eastAsia="宋体" w:cs="Times New Roman"/>
          <w:b/>
          <w:snapToGrid/>
          <w:color w:val="000000" w:themeColor="text1"/>
          <w:kern w:val="2"/>
          <w:sz w:val="44"/>
          <w:szCs w:val="44"/>
          <w14:textFill>
            <w14:solidFill>
              <w14:schemeClr w14:val="tx1"/>
            </w14:solidFill>
          </w14:textFill>
        </w:rPr>
        <w:t>绍兴市政务服务办公室</w:t>
      </w:r>
    </w:p>
    <w:p>
      <w:pPr>
        <w:pStyle w:val="9"/>
        <w:rPr>
          <w:rFonts w:eastAsiaTheme="minorEastAsia"/>
          <w:color w:val="000000" w:themeColor="text1"/>
          <w14:textFill>
            <w14:solidFill>
              <w14:schemeClr w14:val="tx1"/>
            </w14:solidFill>
          </w14:textFill>
        </w:rPr>
      </w:pPr>
    </w:p>
    <w:p>
      <w:pPr>
        <w:pStyle w:val="9"/>
        <w:jc w:val="center"/>
        <w:rPr>
          <w:rFonts w:eastAsiaTheme="minorEastAsia"/>
          <w:color w:val="000000" w:themeColor="text1"/>
          <w14:textFill>
            <w14:solidFill>
              <w14:schemeClr w14:val="tx1"/>
            </w14:solidFill>
          </w14:textFill>
        </w:rPr>
      </w:pPr>
      <w:r>
        <w:rPr>
          <w:rFonts w:hint="eastAsia" w:ascii="宋体"/>
          <w:b/>
          <w:color w:val="000000" w:themeColor="text1"/>
          <w:sz w:val="44"/>
          <w:szCs w:val="44"/>
          <w14:textFill>
            <w14:solidFill>
              <w14:schemeClr w14:val="tx1"/>
            </w14:solidFill>
          </w14:textFill>
        </w:rPr>
        <w:t>二〇二</w:t>
      </w:r>
      <w:r>
        <w:rPr>
          <w:rFonts w:hint="eastAsia" w:asciiTheme="minorEastAsia" w:hAnsiTheme="minorEastAsia" w:eastAsiaTheme="minorEastAsia"/>
          <w:b/>
          <w:color w:val="000000" w:themeColor="text1"/>
          <w:sz w:val="44"/>
          <w:szCs w:val="44"/>
          <w14:textFill>
            <w14:solidFill>
              <w14:schemeClr w14:val="tx1"/>
            </w14:solidFill>
          </w14:textFill>
        </w:rPr>
        <w:t>四</w:t>
      </w:r>
      <w:r>
        <w:rPr>
          <w:rFonts w:hint="eastAsia" w:ascii="宋体"/>
          <w:b/>
          <w:color w:val="000000" w:themeColor="text1"/>
          <w:sz w:val="44"/>
          <w:szCs w:val="44"/>
          <w14:textFill>
            <w14:solidFill>
              <w14:schemeClr w14:val="tx1"/>
            </w14:solidFill>
          </w14:textFill>
        </w:rPr>
        <w:t>年一月</w:t>
      </w:r>
    </w:p>
    <w:p>
      <w:pPr>
        <w:jc w:val="both"/>
        <w:rPr>
          <w:color w:val="000000" w:themeColor="text1"/>
          <w14:textFill>
            <w14:solidFill>
              <w14:schemeClr w14:val="tx1"/>
            </w14:solidFill>
          </w14:textFill>
        </w:rPr>
        <w:sectPr>
          <w:footerReference r:id="rId3" w:type="default"/>
          <w:pgSz w:w="11906" w:h="16839"/>
          <w:pgMar w:top="1417" w:right="1559" w:bottom="1417" w:left="1474" w:header="1134" w:footer="1134" w:gutter="0"/>
          <w:cols w:space="0" w:num="1"/>
        </w:sectPr>
      </w:pPr>
      <w:r>
        <w:rPr>
          <w:rFonts w:ascii="宋体" w:hAnsi="Times New Roman" w:eastAsia="宋体" w:cs="Times New Roman"/>
          <w:b/>
          <w:snapToGrid/>
          <w:color w:val="000000" w:themeColor="text1"/>
          <w:kern w:val="2"/>
          <w:sz w:val="32"/>
          <w:szCs w:val="24"/>
          <w14:textFill>
            <w14:solidFill>
              <w14:schemeClr w14:val="tx1"/>
            </w14:solidFill>
          </w14:textFill>
        </w:rPr>
        <w:br w:type="page"/>
      </w:r>
    </w:p>
    <w:p>
      <w:pPr>
        <w:spacing w:before="336" w:line="225" w:lineRule="auto"/>
        <w:ind w:left="3317"/>
        <w:jc w:val="both"/>
        <w:rPr>
          <w:rFonts w:ascii="黑体" w:hAnsi="黑体" w:eastAsia="黑体" w:cs="黑体"/>
          <w:color w:val="000000" w:themeColor="text1"/>
          <w:sz w:val="43"/>
          <w:szCs w:val="43"/>
          <w14:textFill>
            <w14:solidFill>
              <w14:schemeClr w14:val="tx1"/>
            </w14:solidFill>
          </w14:textFill>
        </w:rPr>
      </w:pPr>
      <w:r>
        <w:rPr>
          <w:rFonts w:ascii="黑体" w:hAnsi="黑体" w:eastAsia="黑体" w:cs="黑体"/>
          <w:color w:val="000000" w:themeColor="text1"/>
          <w:sz w:val="43"/>
          <w:szCs w:val="43"/>
          <w14:textFill>
            <w14:solidFill>
              <w14:schemeClr w14:val="tx1"/>
            </w14:solidFill>
          </w14:textFill>
        </w:rPr>
        <w:t>使用指南</w:t>
      </w:r>
    </w:p>
    <w:p>
      <w:pPr>
        <w:spacing w:line="334" w:lineRule="auto"/>
        <w:jc w:val="both"/>
        <w:rPr>
          <w:color w:val="000000" w:themeColor="text1"/>
          <w14:textFill>
            <w14:solidFill>
              <w14:schemeClr w14:val="tx1"/>
            </w14:solidFill>
          </w14:textFill>
        </w:rPr>
      </w:pPr>
    </w:p>
    <w:p>
      <w:pPr>
        <w:spacing w:line="440" w:lineRule="exact"/>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position w:val="2"/>
          <w:sz w:val="24"/>
          <w:szCs w:val="24"/>
          <w14:textOutline w14:w="4356" w14:cap="sq" w14:cmpd="sng" w14:algn="ctr">
            <w14:solidFill>
              <w14:srgbClr w14:val="000000"/>
            </w14:solidFill>
            <w14:prstDash w14:val="solid"/>
            <w14:bevel/>
          </w14:textOutline>
          <w14:textFill>
            <w14:solidFill>
              <w14:schemeClr w14:val="tx1"/>
            </w14:solidFill>
          </w14:textFill>
        </w:rPr>
        <w:t>一、总体要求</w:t>
      </w:r>
    </w:p>
    <w:p>
      <w:pPr>
        <w:spacing w:line="440" w:lineRule="exact"/>
        <w:ind w:firstLine="496"/>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1.适用范围。</w:t>
      </w:r>
      <w:r>
        <w:rPr>
          <w:rFonts w:hint="eastAsia" w:ascii="宋体" w:hAnsi="宋体" w:eastAsia="宋体" w:cs="宋体"/>
          <w:color w:val="000000" w:themeColor="text1"/>
          <w:sz w:val="24"/>
          <w:szCs w:val="24"/>
          <w14:textFill>
            <w14:solidFill>
              <w14:schemeClr w14:val="tx1"/>
            </w14:solidFill>
          </w14:textFill>
        </w:rPr>
        <w:t>绍兴市行政区域内依法必须招标的</w:t>
      </w:r>
      <w:r>
        <w:rPr>
          <w:rFonts w:ascii="宋体" w:hAnsi="宋体" w:eastAsia="宋体" w:cs="宋体"/>
          <w:color w:val="000000" w:themeColor="text1"/>
          <w:sz w:val="24"/>
          <w:szCs w:val="24"/>
          <w14:textFill>
            <w14:solidFill>
              <w14:schemeClr w14:val="tx1"/>
            </w14:solidFill>
          </w14:textFill>
        </w:rPr>
        <w:t>建设项目的货物类项目招标，招标人应使用本范本编制招标文件。</w:t>
      </w:r>
    </w:p>
    <w:p>
      <w:pPr>
        <w:spacing w:line="440" w:lineRule="exact"/>
        <w:ind w:firstLine="481"/>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2.括号加斜体字部分为提示性内容，招标人选择或填写相关内容后，在定稿的招标文件中应删除。</w:t>
      </w:r>
    </w:p>
    <w:p>
      <w:pPr>
        <w:spacing w:line="440" w:lineRule="exact"/>
        <w:ind w:firstLine="465"/>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3.以“□”前缀部分为选择性内容，在定稿的招标文件中招标人应删除未选择的内容。</w:t>
      </w:r>
    </w:p>
    <w:p>
      <w:pPr>
        <w:spacing w:line="440" w:lineRule="exact"/>
        <w:ind w:firstLine="477"/>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4.下划线和投标人须知前附表空格部分，由招标人根据招标项目实际情况和国家有关法律法规规定进行填写，文字应采用斜体字；确实不需要填写具体内容的，用“/”标示。</w:t>
      </w:r>
    </w:p>
    <w:p>
      <w:pPr>
        <w:spacing w:line="440" w:lineRule="exact"/>
        <w:ind w:firstLine="475"/>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5.除可选择部分和下划线部分由招标人根据以上2、3、4</w:t>
      </w:r>
      <w:r>
        <w:rPr>
          <w:rFonts w:hint="eastAsia" w:ascii="宋体" w:hAnsi="宋体" w:eastAsia="宋体" w:cs="宋体"/>
          <w:color w:val="000000" w:themeColor="text1"/>
          <w:sz w:val="24"/>
          <w:szCs w:val="24"/>
          <w14:textFill>
            <w14:solidFill>
              <w14:schemeClr w14:val="tx1"/>
            </w14:solidFill>
          </w14:textFill>
        </w:rPr>
        <w:t>三</w:t>
      </w:r>
      <w:r>
        <w:rPr>
          <w:rFonts w:ascii="宋体" w:hAnsi="宋体" w:eastAsia="宋体" w:cs="宋体"/>
          <w:color w:val="000000" w:themeColor="text1"/>
          <w:sz w:val="24"/>
          <w:szCs w:val="24"/>
          <w14:textFill>
            <w14:solidFill>
              <w14:schemeClr w14:val="tx1"/>
            </w14:solidFill>
          </w14:textFill>
        </w:rPr>
        <w:t>项进行选择或填写外，其他文字不得改动。</w:t>
      </w:r>
    </w:p>
    <w:p>
      <w:pPr>
        <w:spacing w:line="440" w:lineRule="exact"/>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position w:val="1"/>
          <w:sz w:val="24"/>
          <w:szCs w:val="24"/>
          <w14:textOutline w14:w="4356" w14:cap="sq" w14:cmpd="sng" w14:algn="ctr">
            <w14:solidFill>
              <w14:srgbClr w14:val="000000"/>
            </w14:solidFill>
            <w14:prstDash w14:val="solid"/>
            <w14:bevel/>
          </w14:textOutline>
          <w14:textFill>
            <w14:solidFill>
              <w14:schemeClr w14:val="tx1"/>
            </w14:solidFill>
          </w14:textFill>
        </w:rPr>
        <w:t>二、招标公告部分</w:t>
      </w:r>
    </w:p>
    <w:p>
      <w:pPr>
        <w:spacing w:line="440" w:lineRule="exact"/>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(一)招标项目基本信息</w:t>
      </w:r>
    </w:p>
    <w:p>
      <w:pPr>
        <w:spacing w:line="440" w:lineRule="exact"/>
        <w:ind w:firstLine="477"/>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1.项目名称、文号。应与项目工可批复或初步设计批复</w:t>
      </w:r>
      <w:r>
        <w:rPr>
          <w:rFonts w:hint="eastAsia" w:ascii="宋体" w:hAnsi="宋体" w:eastAsia="宋体" w:cs="宋体"/>
          <w:color w:val="000000" w:themeColor="text1"/>
          <w:sz w:val="24"/>
          <w:szCs w:val="24"/>
          <w14:textFill>
            <w14:solidFill>
              <w14:schemeClr w14:val="tx1"/>
            </w14:solidFill>
          </w14:textFill>
        </w:rPr>
        <w:t>或企业信息赋码表中</w:t>
      </w:r>
      <w:r>
        <w:rPr>
          <w:rFonts w:ascii="宋体" w:hAnsi="宋体" w:eastAsia="宋体" w:cs="宋体"/>
          <w:color w:val="000000" w:themeColor="text1"/>
          <w:sz w:val="24"/>
          <w:szCs w:val="24"/>
          <w14:textFill>
            <w14:solidFill>
              <w14:schemeClr w14:val="tx1"/>
            </w14:solidFill>
          </w14:textFill>
        </w:rPr>
        <w:t>内容一致。</w:t>
      </w:r>
    </w:p>
    <w:p>
      <w:pPr>
        <w:spacing w:line="440" w:lineRule="exact"/>
        <w:ind w:firstLine="477"/>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2.项目建设规模。应与工可批复或初步设计批复</w:t>
      </w:r>
      <w:r>
        <w:rPr>
          <w:rFonts w:hint="eastAsia" w:ascii="宋体" w:hAnsi="宋体" w:eastAsia="宋体" w:cs="宋体"/>
          <w:color w:val="000000" w:themeColor="text1"/>
          <w:sz w:val="24"/>
          <w:szCs w:val="24"/>
          <w14:textFill>
            <w14:solidFill>
              <w14:schemeClr w14:val="tx1"/>
            </w14:solidFill>
          </w14:textFill>
        </w:rPr>
        <w:t>或企业信息赋码表</w:t>
      </w:r>
      <w:r>
        <w:rPr>
          <w:rFonts w:ascii="宋体" w:hAnsi="宋体" w:eastAsia="宋体" w:cs="宋体"/>
          <w:color w:val="000000" w:themeColor="text1"/>
          <w:sz w:val="24"/>
          <w:szCs w:val="24"/>
          <w14:textFill>
            <w14:solidFill>
              <w14:schemeClr w14:val="tx1"/>
            </w14:solidFill>
          </w14:textFill>
        </w:rPr>
        <w:t>中内容一致，主要包括建筑面积、总投资等内容。</w:t>
      </w:r>
    </w:p>
    <w:p>
      <w:pPr>
        <w:spacing w:line="440" w:lineRule="exact"/>
        <w:ind w:firstLine="477"/>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3.建设地址、建成时间、资金来源、投资比例。按工可批复或初步设计批复</w:t>
      </w:r>
      <w:r>
        <w:rPr>
          <w:rFonts w:hint="eastAsia" w:ascii="宋体" w:hAnsi="宋体" w:eastAsia="宋体" w:cs="宋体"/>
          <w:color w:val="000000" w:themeColor="text1"/>
          <w:sz w:val="24"/>
          <w:szCs w:val="24"/>
          <w14:textFill>
            <w14:solidFill>
              <w14:schemeClr w14:val="tx1"/>
            </w14:solidFill>
          </w14:textFill>
        </w:rPr>
        <w:t>或企业信息赋码表</w:t>
      </w:r>
      <w:r>
        <w:rPr>
          <w:rFonts w:ascii="宋体" w:hAnsi="宋体" w:eastAsia="宋体" w:cs="宋体"/>
          <w:color w:val="000000" w:themeColor="text1"/>
          <w:sz w:val="24"/>
          <w:szCs w:val="24"/>
          <w14:textFill>
            <w14:solidFill>
              <w14:schemeClr w14:val="tx1"/>
            </w14:solidFill>
          </w14:textFill>
        </w:rPr>
        <w:t>内容填写。</w:t>
      </w:r>
    </w:p>
    <w:p>
      <w:pPr>
        <w:spacing w:line="440" w:lineRule="exact"/>
        <w:ind w:firstLine="477"/>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4.项目业主。即本招标项目的法人。</w:t>
      </w:r>
    </w:p>
    <w:p>
      <w:pPr>
        <w:spacing w:line="440" w:lineRule="exact"/>
        <w:ind w:firstLine="477"/>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5.招标人。为组织项目招标活动的主体。</w:t>
      </w:r>
    </w:p>
    <w:p>
      <w:pPr>
        <w:spacing w:line="440" w:lineRule="exact"/>
        <w:ind w:firstLine="477"/>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6.代理机构。为本次招标提供招标代理服务的机构，自行招标的，括号内的代理内容应删除。</w:t>
      </w:r>
    </w:p>
    <w:p>
      <w:pPr>
        <w:spacing w:line="440" w:lineRule="exact"/>
        <w:ind w:firstLine="477"/>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7.标段名称。招标人应合理划分标段，标段名称应恰当反映本次招标内容。</w:t>
      </w:r>
    </w:p>
    <w:p>
      <w:pPr>
        <w:spacing w:line="440" w:lineRule="exact"/>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(二)本次招标内容</w:t>
      </w:r>
    </w:p>
    <w:p>
      <w:pPr>
        <w:spacing w:line="440" w:lineRule="exact"/>
        <w:ind w:firstLine="495"/>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1.本次招标内容。尽可能详细说明本次招标项目的招标范围、内容、规模、服务要求等</w:t>
      </w:r>
      <w:r>
        <w:rPr>
          <w:rFonts w:hint="eastAsia" w:ascii="宋体" w:hAnsi="宋体" w:eastAsia="宋体" w:cs="宋体"/>
          <w:color w:val="000000" w:themeColor="text1"/>
          <w:sz w:val="24"/>
          <w:szCs w:val="24"/>
          <w14:textFill>
            <w14:solidFill>
              <w14:schemeClr w14:val="tx1"/>
            </w14:solidFill>
          </w14:textFill>
        </w:rPr>
        <w:t>。</w:t>
      </w:r>
    </w:p>
    <w:p>
      <w:pPr>
        <w:spacing w:line="440" w:lineRule="exact"/>
        <w:ind w:firstLine="495"/>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2.估算(或概算)造价。应根据工可批复或初步设计批复</w:t>
      </w:r>
      <w:r>
        <w:rPr>
          <w:rFonts w:hint="eastAsia" w:ascii="宋体" w:hAnsi="宋体" w:eastAsia="宋体" w:cs="宋体"/>
          <w:color w:val="000000" w:themeColor="text1"/>
          <w:sz w:val="24"/>
          <w:szCs w:val="24"/>
          <w14:textFill>
            <w14:solidFill>
              <w14:schemeClr w14:val="tx1"/>
            </w14:solidFill>
          </w14:textFill>
        </w:rPr>
        <w:t>或企业信息赋码表</w:t>
      </w:r>
      <w:r>
        <w:rPr>
          <w:rFonts w:ascii="宋体" w:hAnsi="宋体" w:eastAsia="宋体" w:cs="宋体"/>
          <w:color w:val="000000" w:themeColor="text1"/>
          <w:sz w:val="24"/>
          <w:szCs w:val="24"/>
          <w14:textFill>
            <w14:solidFill>
              <w14:schemeClr w14:val="tx1"/>
            </w14:solidFill>
          </w14:textFill>
        </w:rPr>
        <w:t>内容填写本次招标范围的服务费用造价，批复汇总表不能反映本次招标的估算(或概算)造价的，应根据经批准的估算(或概算)详细文件汇总计算。</w:t>
      </w:r>
    </w:p>
    <w:p>
      <w:pPr>
        <w:spacing w:line="440" w:lineRule="exact"/>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(三)投标资格条件、要求</w:t>
      </w:r>
    </w:p>
    <w:p>
      <w:pPr>
        <w:spacing w:line="440" w:lineRule="exact"/>
        <w:ind w:firstLine="495"/>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1.企业资格要求。根据本次招标内容，设置投标人资格要求。</w:t>
      </w:r>
    </w:p>
    <w:p>
      <w:pPr>
        <w:spacing w:line="44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2.联合体。根据本次招标的实际情况进行约定。</w:t>
      </w:r>
    </w:p>
    <w:p>
      <w:pPr>
        <w:spacing w:line="440" w:lineRule="exact"/>
        <w:ind w:firstLine="48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3.无行贿犯罪记录。查询的时间区间为投标截止之日上溯不少于三年。投标人不必提供外证或自证材料，由招标人在定标前在中国裁判文书网查询。</w:t>
      </w:r>
    </w:p>
    <w:p>
      <w:pPr>
        <w:spacing w:line="440" w:lineRule="exact"/>
        <w:ind w:firstLine="48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4.招标人可根据招标项目的实际需要及相关法律法规规定，设置合理的资格条件和要求。业绩证明材料要求其所能承载的证明内容应符合业绩要求的具体表述；招标人可选择中标通知书、合同、交货单及业主证明等资料作为业绩证明资料，但应明确如出现载明信息不一致时的资料认定顺序。</w:t>
      </w:r>
    </w:p>
    <w:p>
      <w:pPr>
        <w:spacing w:line="440" w:lineRule="exact"/>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(四)招标文件的获取</w:t>
      </w:r>
    </w:p>
    <w:p>
      <w:pPr>
        <w:spacing w:line="440" w:lineRule="exact"/>
        <w:ind w:firstLine="496"/>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1.网上下载</w:t>
      </w:r>
      <w:bookmarkStart w:id="70" w:name="_GoBack"/>
      <w:r>
        <w:rPr>
          <w:rFonts w:ascii="宋体" w:hAnsi="宋体" w:eastAsia="宋体" w:cs="宋体"/>
          <w:color w:val="000000" w:themeColor="text1"/>
          <w:sz w:val="24"/>
          <w:szCs w:val="24"/>
          <w14:textFill>
            <w14:solidFill>
              <w14:schemeClr w14:val="tx1"/>
            </w14:solidFill>
          </w14:textFill>
        </w:rPr>
        <w:t>时间</w:t>
      </w:r>
      <w:bookmarkEnd w:id="70"/>
      <w:r>
        <w:rPr>
          <w:rFonts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招标人应在招标公告及招标文件中明确招标文件发售方式及时间，发售期不得少于5日。</w:t>
      </w:r>
      <w:r>
        <w:rPr>
          <w:rFonts w:ascii="宋体" w:hAnsi="宋体" w:eastAsia="宋体" w:cs="宋体"/>
          <w:color w:val="000000" w:themeColor="text1"/>
          <w:sz w:val="24"/>
          <w:szCs w:val="24"/>
          <w14:textFill>
            <w14:solidFill>
              <w14:schemeClr w14:val="tx1"/>
            </w14:solidFill>
          </w14:textFill>
        </w:rPr>
        <w:t>截止时间如遇国家法定休假日的，应顺延至法定休假日后的第一个工作日。</w:t>
      </w:r>
    </w:p>
    <w:p>
      <w:pPr>
        <w:spacing w:line="44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2.</w:t>
      </w:r>
      <w:r>
        <w:rPr>
          <w:rFonts w:hint="eastAsia" w:ascii="宋体" w:hAnsi="宋体" w:eastAsia="宋体" w:cs="宋体"/>
          <w:color w:val="000000" w:themeColor="text1"/>
          <w:position w:val="1"/>
          <w:sz w:val="24"/>
          <w:szCs w:val="24"/>
          <w14:textFill>
            <w14:solidFill>
              <w14:schemeClr w14:val="tx1"/>
            </w14:solidFill>
          </w14:textFill>
        </w:rPr>
        <w:t>疑问提交时间。由招标人依法设定，具体时间应充分考虑投标人获取、阅读招标文件、提出疑问的时间，同时要为答疑预留一定的时间。</w:t>
      </w:r>
    </w:p>
    <w:p>
      <w:pPr>
        <w:spacing w:line="440" w:lineRule="exact"/>
        <w:ind w:firstLine="473"/>
        <w:jc w:val="both"/>
        <w:rPr>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3.补充(答疑、澄清)招标文件发布日期。为招标人最迟可能发出补充文件的时间，充分考虑在投标截止时间前可能发生的变化。</w:t>
      </w:r>
    </w:p>
    <w:p>
      <w:pPr>
        <w:spacing w:line="440" w:lineRule="exact"/>
        <w:ind w:firstLine="479"/>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4.投标截止时间。</w:t>
      </w:r>
      <w:r>
        <w:rPr>
          <w:rFonts w:hint="eastAsia" w:ascii="宋体" w:hAnsi="宋体" w:eastAsia="宋体" w:cs="宋体"/>
          <w:color w:val="000000" w:themeColor="text1"/>
          <w:sz w:val="24"/>
          <w:szCs w:val="24"/>
          <w14:textFill>
            <w14:solidFill>
              <w14:schemeClr w14:val="tx1"/>
            </w14:solidFill>
          </w14:textFill>
        </w:rPr>
        <w:t>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pPr>
        <w:pStyle w:val="45"/>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5.投标文件的递交方式为电子网上传输提交形式。招标人应在招标公告（或投标邀请书）及招标文件中明确投标文件递交方式及时间，还应明确是否需要同时递交纸质投标文件。</w:t>
      </w:r>
    </w:p>
    <w:p>
      <w:pPr>
        <w:spacing w:line="440" w:lineRule="exact"/>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position w:val="1"/>
          <w:sz w:val="24"/>
          <w:szCs w:val="24"/>
          <w14:textOutline w14:w="4356" w14:cap="sq" w14:cmpd="sng" w14:algn="ctr">
            <w14:solidFill>
              <w14:srgbClr w14:val="000000"/>
            </w14:solidFill>
            <w14:prstDash w14:val="solid"/>
            <w14:bevel/>
          </w14:textOutline>
          <w14:textFill>
            <w14:solidFill>
              <w14:schemeClr w14:val="tx1"/>
            </w14:solidFill>
          </w14:textFill>
        </w:rPr>
        <w:t>三、投标人须知前附表部分</w:t>
      </w:r>
    </w:p>
    <w:p>
      <w:pPr>
        <w:spacing w:line="440" w:lineRule="exact"/>
        <w:ind w:firstLine="426"/>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1.条款号1.1.2—1.2.2。与招标公告相关内容填写一致。</w:t>
      </w:r>
    </w:p>
    <w:p>
      <w:pPr>
        <w:spacing w:line="440" w:lineRule="exact"/>
        <w:ind w:firstLine="426"/>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2.招标范围。应与招标公告中招标内容一致，具体描述可详见公告。</w:t>
      </w:r>
    </w:p>
    <w:p>
      <w:pPr>
        <w:spacing w:line="440" w:lineRule="exact"/>
        <w:ind w:firstLine="483"/>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3.交货期。交货期应满足招标的要求，并应当允许投标人提出优于交货期的投标承诺。</w:t>
      </w:r>
    </w:p>
    <w:p>
      <w:pPr>
        <w:spacing w:line="440" w:lineRule="exact"/>
        <w:ind w:firstLine="48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4.条款号1.4.1-2.2.1。根据本次招标的具体情况和要求，按示范文本提示内容选择或填写。</w:t>
      </w:r>
    </w:p>
    <w:p>
      <w:pPr>
        <w:spacing w:line="44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5.投标截止时间。</w:t>
      </w:r>
      <w:r>
        <w:rPr>
          <w:rFonts w:hint="eastAsia" w:ascii="宋体" w:hAnsi="宋体" w:eastAsia="宋体" w:cs="宋体"/>
          <w:color w:val="000000" w:themeColor="text1"/>
          <w:position w:val="1"/>
          <w:sz w:val="24"/>
          <w:szCs w:val="24"/>
          <w14:textFill>
            <w14:solidFill>
              <w14:schemeClr w14:val="tx1"/>
            </w14:solidFill>
          </w14:textFill>
        </w:rPr>
        <w:t>应与招标公告规定的投标截止时间一致</w:t>
      </w:r>
      <w:r>
        <w:rPr>
          <w:rFonts w:ascii="宋体" w:hAnsi="宋体" w:eastAsia="宋体" w:cs="宋体"/>
          <w:color w:val="000000" w:themeColor="text1"/>
          <w:position w:val="1"/>
          <w:sz w:val="24"/>
          <w:szCs w:val="24"/>
          <w14:textFill>
            <w14:solidFill>
              <w14:schemeClr w14:val="tx1"/>
            </w14:solidFill>
          </w14:textFill>
        </w:rPr>
        <w:t>。</w:t>
      </w:r>
    </w:p>
    <w:p>
      <w:pPr>
        <w:spacing w:line="440" w:lineRule="exact"/>
        <w:ind w:firstLine="482"/>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6.实质性响应招标文件及评审打分资料。本栏是示范文本特别增加的内容，招标人应将要求投标人提交的所有资料列在本栏，招标文件中不再另附强制性资格条件(审查)表，招标人可根据本次招标的实际需要增减资料项目。</w:t>
      </w:r>
    </w:p>
    <w:p>
      <w:pPr>
        <w:spacing w:line="440" w:lineRule="exact"/>
        <w:ind w:firstLine="484"/>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7.评标办法。招标人应根据本次招标的实际情况合理选定评标办法，谨慎选用经评审的最低投标价法，鼓励选用综合评估法。技术简单或技术规格、性能、制作工艺要求统一的货物，可采用经评审的最低投标价法；技术复杂或技术规格、性能、制作工艺要求难以统一的货物，宜采用综合评估法。</w:t>
      </w:r>
    </w:p>
    <w:p>
      <w:pPr>
        <w:spacing w:line="440" w:lineRule="exact"/>
        <w:ind w:firstLine="48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8.否决投标的情形。招标人在编制招标文件时，应将所有否决投标的情形、以肯定句式集中列入本栏；凡未列入此栏内容的要求，均不得作为否决投标的依据。招标人通过补充文件增加、删除或修改否决投标条款的，应当在补充文件中集中载明调整后完整的否决投标条款。</w:t>
      </w:r>
    </w:p>
    <w:p>
      <w:pPr>
        <w:spacing w:line="44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9.招标人根据实际情况需要补充的其他内容，应集中在第10.4条。</w:t>
      </w:r>
    </w:p>
    <w:p>
      <w:pPr>
        <w:spacing w:line="440" w:lineRule="exact"/>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四、评标办法部分</w:t>
      </w:r>
    </w:p>
    <w:p>
      <w:pPr>
        <w:spacing w:line="44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所有否决投标的内容均请列入招标文件投标人须知前附表“否决投标的情形”中，评标办法中不再重复，以免产生矛盾和歧义。评标委员会拟作出否决投标前，应组织相关投标人进行询问核实。招标人应协助评标委员会做好询问核实工作。</w:t>
      </w:r>
    </w:p>
    <w:p>
      <w:pPr>
        <w:spacing w:line="44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采用综合评估法的技术评分内容可根据招标项目的特点设置相应的评审内容和标准，原则上技术含量高的货物，技术评分权重大。可自选评审内容并要求细化每一打分项分值区间不宜超过3分。</w:t>
      </w:r>
    </w:p>
    <w:p>
      <w:pPr>
        <w:spacing w:line="44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使用的电子招标工具应及时更新，并选择与本项目相匹配的招标工具模式（如：评标办法、电子标书递交方式等）。</w:t>
      </w:r>
    </w:p>
    <w:p>
      <w:pPr>
        <w:spacing w:line="440" w:lineRule="exact"/>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五、合同文本部分</w:t>
      </w:r>
    </w:p>
    <w:p>
      <w:pPr>
        <w:spacing w:line="44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合同条款与格式由招标人根据项目实际提供。建议采用国家或行业的示范文本。</w:t>
      </w:r>
    </w:p>
    <w:p>
      <w:pPr>
        <w:spacing w:line="440" w:lineRule="exact"/>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六、相关表单部分</w:t>
      </w:r>
    </w:p>
    <w:p>
      <w:pPr>
        <w:spacing w:line="440" w:lineRule="exact"/>
        <w:ind w:firstLine="46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投标人前附表设置了“实质性响应招标文件及评审打分资料”栏，在相关表单中无需再设强制性审查表单，以避免前后不一致。</w:t>
      </w:r>
    </w:p>
    <w:p>
      <w:pPr>
        <w:jc w:val="both"/>
        <w:rPr>
          <w:color w:val="000000" w:themeColor="text1"/>
          <w14:textFill>
            <w14:solidFill>
              <w14:schemeClr w14:val="tx1"/>
            </w14:solidFill>
          </w14:textFill>
        </w:rPr>
        <w:sectPr>
          <w:pgSz w:w="11906" w:h="16839"/>
          <w:pgMar w:top="1417" w:right="1559" w:bottom="1417" w:left="1474" w:header="1134" w:footer="1134" w:gutter="0"/>
          <w:cols w:space="0" w:num="1"/>
        </w:sectPr>
      </w:pPr>
    </w:p>
    <w:sdt>
      <w:sdtPr>
        <w:rPr>
          <w:rFonts w:ascii="黑体" w:hAnsi="黑体" w:eastAsia="黑体" w:cs="黑体"/>
          <w:color w:val="000000" w:themeColor="text1"/>
          <w:sz w:val="31"/>
          <w:szCs w:val="31"/>
          <w14:textFill>
            <w14:solidFill>
              <w14:schemeClr w14:val="tx1"/>
            </w14:solidFill>
          </w14:textFill>
        </w:rPr>
        <w:id w:val="1"/>
        <w:docPartObj>
          <w:docPartGallery w:val="Table of Contents"/>
          <w:docPartUnique/>
        </w:docPartObj>
      </w:sdtPr>
      <w:sdtEndPr>
        <w:rPr>
          <w:rFonts w:ascii="宋体" w:hAnsi="宋体" w:eastAsia="宋体" w:cs="宋体"/>
          <w:color w:val="000000" w:themeColor="text1"/>
          <w:sz w:val="23"/>
          <w:szCs w:val="23"/>
          <w14:textFill>
            <w14:solidFill>
              <w14:schemeClr w14:val="tx1"/>
            </w14:solidFill>
          </w14:textFill>
        </w:rPr>
      </w:sdtEndPr>
      <w:sdtContent>
        <w:p>
          <w:pPr>
            <w:spacing w:before="64" w:line="227" w:lineRule="auto"/>
            <w:jc w:val="center"/>
            <w:rPr>
              <w:rFonts w:ascii="宋体" w:hAnsi="宋体" w:eastAsia="宋体" w:cs="黑体"/>
              <w:color w:val="000000" w:themeColor="text1"/>
              <w:sz w:val="36"/>
              <w:szCs w:val="36"/>
              <w14:textFill>
                <w14:solidFill>
                  <w14:schemeClr w14:val="tx1"/>
                </w14:solidFill>
              </w14:textFill>
            </w:rPr>
          </w:pPr>
          <w:r>
            <w:rPr>
              <w:rFonts w:ascii="宋体" w:hAnsi="宋体" w:eastAsia="宋体" w:cs="黑体"/>
              <w:color w:val="000000" w:themeColor="text1"/>
              <w:sz w:val="36"/>
              <w:szCs w:val="36"/>
              <w14:textOutline w14:w="5791" w14:cap="sq" w14:cmpd="sng" w14:algn="ctr">
                <w14:solidFill>
                  <w14:srgbClr w14:val="000000"/>
                </w14:solidFill>
                <w14:prstDash w14:val="solid"/>
                <w14:bevel/>
              </w14:textOutline>
              <w14:textFill>
                <w14:solidFill>
                  <w14:schemeClr w14:val="tx1"/>
                </w14:solidFill>
              </w14:textFill>
            </w:rPr>
            <w:t>目录</w:t>
          </w:r>
        </w:p>
        <w:p>
          <w:pPr>
            <w:spacing w:line="269" w:lineRule="auto"/>
            <w:jc w:val="both"/>
            <w:rPr>
              <w:color w:val="000000" w:themeColor="text1"/>
              <w14:textFill>
                <w14:solidFill>
                  <w14:schemeClr w14:val="tx1"/>
                </w14:solidFill>
              </w14:textFill>
            </w:rPr>
          </w:pPr>
        </w:p>
        <w:p>
          <w:pPr>
            <w:tabs>
              <w:tab w:val="right" w:leader="dot" w:pos="8305"/>
            </w:tabs>
            <w:spacing w:line="460" w:lineRule="exact"/>
            <w:jc w:val="both"/>
            <w:rPr>
              <w:rFonts w:ascii="宋体" w:hAnsi="宋体" w:eastAsia="宋体" w:cs="宋体"/>
              <w:color w:val="000000" w:themeColor="text1"/>
              <w:sz w:val="23"/>
              <w:szCs w:val="23"/>
              <w14:textFill>
                <w14:solidFill>
                  <w14:schemeClr w14:val="tx1"/>
                </w14:solidFill>
              </w14:textFill>
            </w:rPr>
          </w:pPr>
          <w:r>
            <w:fldChar w:fldCharType="begin"/>
          </w:r>
          <w:r>
            <w:instrText xml:space="preserve"> HYPERLINK \l "_bookmark1" </w:instrText>
          </w:r>
          <w:r>
            <w:fldChar w:fldCharType="separate"/>
          </w:r>
          <w:r>
            <w:rPr>
              <w:rFonts w:ascii="宋体" w:hAnsi="宋体" w:eastAsia="宋体" w:cs="宋体"/>
              <w:color w:val="000000" w:themeColor="text1"/>
              <w:sz w:val="23"/>
              <w:szCs w:val="23"/>
              <w14:textFill>
                <w14:solidFill>
                  <w14:schemeClr w14:val="tx1"/>
                </w14:solidFill>
              </w14:textFill>
            </w:rPr>
            <w:t>第一章招标公告</w:t>
          </w:r>
          <w:r>
            <w:rPr>
              <w:rFonts w:ascii="宋体" w:hAnsi="宋体" w:eastAsia="宋体" w:cs="宋体"/>
              <w:color w:val="000000" w:themeColor="text1"/>
              <w:sz w:val="23"/>
              <w:szCs w:val="23"/>
              <w14:textFill>
                <w14:solidFill>
                  <w14:schemeClr w14:val="tx1"/>
                </w14:solidFill>
              </w14:textFill>
            </w:rPr>
            <w:tab/>
          </w:r>
          <w:r>
            <w:rPr>
              <w:rFonts w:ascii="宋体" w:hAnsi="宋体" w:eastAsia="宋体" w:cs="宋体"/>
              <w:color w:val="000000" w:themeColor="text1"/>
              <w:sz w:val="23"/>
              <w:szCs w:val="23"/>
              <w14:textFill>
                <w14:solidFill>
                  <w14:schemeClr w14:val="tx1"/>
                </w14:solidFill>
              </w14:textFill>
            </w:rPr>
            <w:t>1</w:t>
          </w:r>
          <w:r>
            <w:rPr>
              <w:rFonts w:ascii="宋体" w:hAnsi="宋体" w:eastAsia="宋体" w:cs="宋体"/>
              <w:color w:val="000000" w:themeColor="text1"/>
              <w:sz w:val="23"/>
              <w:szCs w:val="23"/>
              <w14:textFill>
                <w14:solidFill>
                  <w14:schemeClr w14:val="tx1"/>
                </w14:solidFill>
              </w14:textFill>
            </w:rPr>
            <w:fldChar w:fldCharType="end"/>
          </w:r>
        </w:p>
        <w:p>
          <w:pPr>
            <w:tabs>
              <w:tab w:val="right" w:leader="dot" w:pos="8305"/>
            </w:tabs>
            <w:spacing w:line="460" w:lineRule="exact"/>
            <w:jc w:val="both"/>
            <w:rPr>
              <w:rFonts w:ascii="宋体" w:hAnsi="宋体" w:eastAsia="宋体" w:cs="宋体"/>
              <w:color w:val="000000" w:themeColor="text1"/>
              <w:sz w:val="23"/>
              <w:szCs w:val="23"/>
              <w14:textFill>
                <w14:solidFill>
                  <w14:schemeClr w14:val="tx1"/>
                </w14:solidFill>
              </w14:textFill>
            </w:rPr>
          </w:pPr>
          <w:r>
            <w:fldChar w:fldCharType="begin"/>
          </w:r>
          <w:r>
            <w:instrText xml:space="preserve"> HYPERLINK \l "_bookmark2" </w:instrText>
          </w:r>
          <w:r>
            <w:fldChar w:fldCharType="separate"/>
          </w:r>
          <w:r>
            <w:rPr>
              <w:rFonts w:ascii="宋体" w:hAnsi="宋体" w:eastAsia="宋体" w:cs="宋体"/>
              <w:color w:val="000000" w:themeColor="text1"/>
              <w:sz w:val="23"/>
              <w:szCs w:val="23"/>
              <w14:textFill>
                <w14:solidFill>
                  <w14:schemeClr w14:val="tx1"/>
                </w14:solidFill>
              </w14:textFill>
            </w:rPr>
            <w:t>第二章投标人须知</w:t>
          </w:r>
          <w:r>
            <w:rPr>
              <w:rFonts w:ascii="宋体" w:hAnsi="宋体" w:eastAsia="宋体" w:cs="宋体"/>
              <w:color w:val="000000" w:themeColor="text1"/>
              <w:sz w:val="23"/>
              <w:szCs w:val="23"/>
              <w14:textFill>
                <w14:solidFill>
                  <w14:schemeClr w14:val="tx1"/>
                </w14:solidFill>
              </w14:textFill>
            </w:rPr>
            <w:tab/>
          </w:r>
          <w:r>
            <w:rPr>
              <w:rFonts w:hint="eastAsia" w:ascii="宋体" w:hAnsi="宋体" w:eastAsia="宋体" w:cs="宋体"/>
              <w:color w:val="000000" w:themeColor="text1"/>
              <w:sz w:val="23"/>
              <w:szCs w:val="23"/>
              <w14:textFill>
                <w14:solidFill>
                  <w14:schemeClr w14:val="tx1"/>
                </w14:solidFill>
              </w14:textFill>
            </w:rPr>
            <w:t>4</w:t>
          </w:r>
          <w:r>
            <w:rPr>
              <w:rFonts w:hint="eastAsia" w:ascii="宋体" w:hAnsi="宋体" w:eastAsia="宋体" w:cs="宋体"/>
              <w:color w:val="000000" w:themeColor="text1"/>
              <w:sz w:val="23"/>
              <w:szCs w:val="23"/>
              <w14:textFill>
                <w14:solidFill>
                  <w14:schemeClr w14:val="tx1"/>
                </w14:solidFill>
              </w14:textFill>
            </w:rPr>
            <w:fldChar w:fldCharType="end"/>
          </w:r>
        </w:p>
        <w:p>
          <w:pPr>
            <w:tabs>
              <w:tab w:val="right" w:leader="dot" w:pos="8305"/>
            </w:tabs>
            <w:spacing w:line="460" w:lineRule="exact"/>
            <w:jc w:val="both"/>
            <w:rPr>
              <w:rFonts w:ascii="宋体" w:hAnsi="宋体" w:eastAsia="宋体" w:cs="宋体"/>
              <w:color w:val="000000" w:themeColor="text1"/>
              <w:sz w:val="23"/>
              <w:szCs w:val="23"/>
              <w14:textFill>
                <w14:solidFill>
                  <w14:schemeClr w14:val="tx1"/>
                </w14:solidFill>
              </w14:textFill>
            </w:rPr>
          </w:pPr>
          <w:r>
            <w:fldChar w:fldCharType="begin"/>
          </w:r>
          <w:r>
            <w:instrText xml:space="preserve"> HYPERLINK \l "_bookmark3" </w:instrText>
          </w:r>
          <w:r>
            <w:fldChar w:fldCharType="separate"/>
          </w:r>
          <w:r>
            <w:rPr>
              <w:rFonts w:ascii="宋体" w:hAnsi="宋体" w:eastAsia="宋体" w:cs="宋体"/>
              <w:color w:val="000000" w:themeColor="text1"/>
              <w:sz w:val="23"/>
              <w:szCs w:val="23"/>
              <w14:textFill>
                <w14:solidFill>
                  <w14:schemeClr w14:val="tx1"/>
                </w14:solidFill>
              </w14:textFill>
            </w:rPr>
            <w:t>第一节投标人须知前附表</w:t>
          </w:r>
          <w:r>
            <w:rPr>
              <w:rFonts w:ascii="宋体" w:hAnsi="宋体" w:eastAsia="宋体" w:cs="宋体"/>
              <w:color w:val="000000" w:themeColor="text1"/>
              <w:sz w:val="23"/>
              <w:szCs w:val="23"/>
              <w14:textFill>
                <w14:solidFill>
                  <w14:schemeClr w14:val="tx1"/>
                </w14:solidFill>
              </w14:textFill>
            </w:rPr>
            <w:tab/>
          </w:r>
          <w:r>
            <w:rPr>
              <w:rFonts w:hint="eastAsia" w:ascii="宋体" w:hAnsi="宋体" w:eastAsia="宋体" w:cs="宋体"/>
              <w:color w:val="000000" w:themeColor="text1"/>
              <w:sz w:val="23"/>
              <w:szCs w:val="23"/>
              <w14:textFill>
                <w14:solidFill>
                  <w14:schemeClr w14:val="tx1"/>
                </w14:solidFill>
              </w14:textFill>
            </w:rPr>
            <w:t>4</w:t>
          </w:r>
          <w:r>
            <w:rPr>
              <w:rFonts w:hint="eastAsia" w:ascii="宋体" w:hAnsi="宋体" w:eastAsia="宋体" w:cs="宋体"/>
              <w:color w:val="000000" w:themeColor="text1"/>
              <w:sz w:val="23"/>
              <w:szCs w:val="23"/>
              <w14:textFill>
                <w14:solidFill>
                  <w14:schemeClr w14:val="tx1"/>
                </w14:solidFill>
              </w14:textFill>
            </w:rPr>
            <w:fldChar w:fldCharType="end"/>
          </w:r>
        </w:p>
        <w:p>
          <w:pPr>
            <w:tabs>
              <w:tab w:val="right" w:leader="dot" w:pos="8305"/>
            </w:tabs>
            <w:spacing w:line="460" w:lineRule="exact"/>
            <w:jc w:val="both"/>
            <w:rPr>
              <w:rFonts w:ascii="宋体" w:hAnsi="宋体" w:eastAsia="宋体" w:cs="宋体"/>
              <w:color w:val="000000" w:themeColor="text1"/>
              <w:sz w:val="23"/>
              <w:szCs w:val="23"/>
              <w14:textFill>
                <w14:solidFill>
                  <w14:schemeClr w14:val="tx1"/>
                </w14:solidFill>
              </w14:textFill>
            </w:rPr>
          </w:pPr>
          <w:r>
            <w:fldChar w:fldCharType="begin"/>
          </w:r>
          <w:r>
            <w:instrText xml:space="preserve"> HYPERLINK \l "_bookmark4" </w:instrText>
          </w:r>
          <w:r>
            <w:fldChar w:fldCharType="separate"/>
          </w:r>
          <w:r>
            <w:rPr>
              <w:rFonts w:ascii="宋体" w:hAnsi="宋体" w:eastAsia="宋体" w:cs="宋体"/>
              <w:color w:val="000000" w:themeColor="text1"/>
              <w:sz w:val="23"/>
              <w:szCs w:val="23"/>
              <w14:textFill>
                <w14:solidFill>
                  <w14:schemeClr w14:val="tx1"/>
                </w14:solidFill>
              </w14:textFill>
            </w:rPr>
            <w:t>第二节投标人须知</w:t>
          </w:r>
          <w:r>
            <w:rPr>
              <w:rFonts w:ascii="宋体" w:hAnsi="宋体" w:eastAsia="宋体" w:cs="宋体"/>
              <w:color w:val="000000" w:themeColor="text1"/>
              <w:sz w:val="23"/>
              <w:szCs w:val="23"/>
              <w14:textFill>
                <w14:solidFill>
                  <w14:schemeClr w14:val="tx1"/>
                </w14:solidFill>
              </w14:textFill>
            </w:rPr>
            <w:tab/>
          </w:r>
          <w:r>
            <w:rPr>
              <w:rFonts w:ascii="宋体" w:hAnsi="宋体" w:eastAsia="宋体" w:cs="宋体"/>
              <w:color w:val="000000" w:themeColor="text1"/>
              <w:sz w:val="23"/>
              <w:szCs w:val="23"/>
              <w14:textFill>
                <w14:solidFill>
                  <w14:schemeClr w14:val="tx1"/>
                </w14:solidFill>
              </w14:textFill>
            </w:rPr>
            <w:t>1</w:t>
          </w:r>
          <w:r>
            <w:rPr>
              <w:rFonts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14:textFill>
                <w14:solidFill>
                  <w14:schemeClr w14:val="tx1"/>
                </w14:solidFill>
              </w14:textFill>
            </w:rPr>
            <w:t>6</w:t>
          </w:r>
        </w:p>
        <w:p>
          <w:pPr>
            <w:tabs>
              <w:tab w:val="right" w:leader="dot" w:pos="8305"/>
            </w:tabs>
            <w:spacing w:line="460" w:lineRule="exact"/>
            <w:ind w:firstLine="707" w:firstLineChars="337"/>
            <w:jc w:val="both"/>
            <w:rPr>
              <w:rFonts w:ascii="宋体" w:hAnsi="宋体" w:eastAsia="宋体" w:cs="宋体"/>
              <w:color w:val="000000" w:themeColor="text1"/>
              <w:sz w:val="23"/>
              <w:szCs w:val="23"/>
              <w14:textFill>
                <w14:solidFill>
                  <w14:schemeClr w14:val="tx1"/>
                </w14:solidFill>
              </w14:textFill>
            </w:rPr>
          </w:pPr>
          <w:r>
            <w:fldChar w:fldCharType="begin"/>
          </w:r>
          <w:r>
            <w:instrText xml:space="preserve"> HYPERLINK \l "_bookmark5" </w:instrText>
          </w:r>
          <w:r>
            <w:fldChar w:fldCharType="separate"/>
          </w:r>
          <w:r>
            <w:rPr>
              <w:rFonts w:ascii="宋体" w:hAnsi="宋体" w:eastAsia="宋体" w:cs="宋体"/>
              <w:color w:val="000000" w:themeColor="text1"/>
              <w:sz w:val="23"/>
              <w:szCs w:val="23"/>
              <w14:textFill>
                <w14:solidFill>
                  <w14:schemeClr w14:val="tx1"/>
                </w14:solidFill>
              </w14:textFill>
            </w:rPr>
            <w:t>附表一：开标记录表</w:t>
          </w:r>
          <w:r>
            <w:rPr>
              <w:rFonts w:ascii="宋体" w:hAnsi="宋体" w:eastAsia="宋体" w:cs="宋体"/>
              <w:color w:val="000000" w:themeColor="text1"/>
              <w:sz w:val="23"/>
              <w:szCs w:val="23"/>
              <w14:textFill>
                <w14:solidFill>
                  <w14:schemeClr w14:val="tx1"/>
                </w14:solidFill>
              </w14:textFill>
            </w:rPr>
            <w:tab/>
          </w:r>
          <w:r>
            <w:rPr>
              <w:rFonts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14:textFill>
                <w14:solidFill>
                  <w14:schemeClr w14:val="tx1"/>
                </w14:solidFill>
              </w14:textFill>
            </w:rPr>
            <w:t>31</w:t>
          </w:r>
        </w:p>
        <w:p>
          <w:pPr>
            <w:tabs>
              <w:tab w:val="right" w:leader="dot" w:pos="8305"/>
            </w:tabs>
            <w:spacing w:line="460" w:lineRule="exact"/>
            <w:ind w:firstLine="707" w:firstLineChars="337"/>
            <w:jc w:val="both"/>
            <w:rPr>
              <w:rFonts w:ascii="宋体" w:hAnsi="宋体" w:eastAsia="宋体" w:cs="宋体"/>
              <w:color w:val="000000" w:themeColor="text1"/>
              <w:sz w:val="23"/>
              <w:szCs w:val="23"/>
              <w14:textFill>
                <w14:solidFill>
                  <w14:schemeClr w14:val="tx1"/>
                </w14:solidFill>
              </w14:textFill>
            </w:rPr>
          </w:pPr>
          <w:r>
            <w:fldChar w:fldCharType="begin"/>
          </w:r>
          <w:r>
            <w:instrText xml:space="preserve"> HYPERLINK \l "_bookmark6" </w:instrText>
          </w:r>
          <w:r>
            <w:fldChar w:fldCharType="separate"/>
          </w:r>
          <w:r>
            <w:rPr>
              <w:rFonts w:ascii="宋体" w:hAnsi="宋体" w:eastAsia="宋体" w:cs="宋体"/>
              <w:color w:val="000000" w:themeColor="text1"/>
              <w:sz w:val="23"/>
              <w:szCs w:val="23"/>
              <w14:textFill>
                <w14:solidFill>
                  <w14:schemeClr w14:val="tx1"/>
                </w14:solidFill>
              </w14:textFill>
            </w:rPr>
            <w:t>附表二：问题澄清通知</w:t>
          </w:r>
          <w:r>
            <w:rPr>
              <w:rFonts w:ascii="宋体" w:hAnsi="宋体" w:eastAsia="宋体" w:cs="宋体"/>
              <w:color w:val="000000" w:themeColor="text1"/>
              <w:sz w:val="23"/>
              <w:szCs w:val="23"/>
              <w14:textFill>
                <w14:solidFill>
                  <w14:schemeClr w14:val="tx1"/>
                </w14:solidFill>
              </w14:textFill>
            </w:rPr>
            <w:tab/>
          </w:r>
          <w:r>
            <w:rPr>
              <w:rFonts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14:textFill>
                <w14:solidFill>
                  <w14:schemeClr w14:val="tx1"/>
                </w14:solidFill>
              </w14:textFill>
            </w:rPr>
            <w:t>32</w:t>
          </w:r>
        </w:p>
        <w:p>
          <w:pPr>
            <w:tabs>
              <w:tab w:val="right" w:leader="dot" w:pos="8305"/>
            </w:tabs>
            <w:spacing w:line="460" w:lineRule="exact"/>
            <w:ind w:firstLine="707" w:firstLineChars="337"/>
            <w:jc w:val="both"/>
            <w:rPr>
              <w:rFonts w:ascii="宋体" w:hAnsi="宋体" w:eastAsia="宋体" w:cs="宋体"/>
              <w:color w:val="000000" w:themeColor="text1"/>
              <w:sz w:val="23"/>
              <w:szCs w:val="23"/>
              <w14:textFill>
                <w14:solidFill>
                  <w14:schemeClr w14:val="tx1"/>
                </w14:solidFill>
              </w14:textFill>
            </w:rPr>
          </w:pPr>
          <w:r>
            <w:fldChar w:fldCharType="begin"/>
          </w:r>
          <w:r>
            <w:instrText xml:space="preserve"> HYPERLINK \l "_bookmark7" </w:instrText>
          </w:r>
          <w:r>
            <w:fldChar w:fldCharType="separate"/>
          </w:r>
          <w:r>
            <w:rPr>
              <w:rFonts w:ascii="宋体" w:hAnsi="宋体" w:eastAsia="宋体" w:cs="宋体"/>
              <w:color w:val="000000" w:themeColor="text1"/>
              <w:sz w:val="23"/>
              <w:szCs w:val="23"/>
              <w14:textFill>
                <w14:solidFill>
                  <w14:schemeClr w14:val="tx1"/>
                </w14:solidFill>
              </w14:textFill>
            </w:rPr>
            <w:t>附表三：问题的澄清</w:t>
          </w:r>
          <w:r>
            <w:rPr>
              <w:rFonts w:ascii="宋体" w:hAnsi="宋体" w:eastAsia="宋体" w:cs="宋体"/>
              <w:color w:val="000000" w:themeColor="text1"/>
              <w:sz w:val="23"/>
              <w:szCs w:val="23"/>
              <w14:textFill>
                <w14:solidFill>
                  <w14:schemeClr w14:val="tx1"/>
                </w14:solidFill>
              </w14:textFill>
            </w:rPr>
            <w:tab/>
          </w:r>
          <w:r>
            <w:rPr>
              <w:rFonts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14:textFill>
                <w14:solidFill>
                  <w14:schemeClr w14:val="tx1"/>
                </w14:solidFill>
              </w14:textFill>
            </w:rPr>
            <w:t>33</w:t>
          </w:r>
        </w:p>
        <w:p>
          <w:pPr>
            <w:tabs>
              <w:tab w:val="right" w:leader="dot" w:pos="8305"/>
            </w:tabs>
            <w:spacing w:line="460" w:lineRule="exact"/>
            <w:ind w:firstLine="707" w:firstLineChars="337"/>
            <w:jc w:val="both"/>
            <w:rPr>
              <w:rFonts w:ascii="宋体" w:hAnsi="宋体" w:eastAsia="宋体" w:cs="宋体"/>
              <w:color w:val="000000" w:themeColor="text1"/>
              <w:sz w:val="23"/>
              <w:szCs w:val="23"/>
              <w14:textFill>
                <w14:solidFill>
                  <w14:schemeClr w14:val="tx1"/>
                </w14:solidFill>
              </w14:textFill>
            </w:rPr>
          </w:pPr>
          <w:r>
            <w:fldChar w:fldCharType="begin"/>
          </w:r>
          <w:r>
            <w:instrText xml:space="preserve"> HYPERLINK \l "_bookmark8" </w:instrText>
          </w:r>
          <w:r>
            <w:fldChar w:fldCharType="separate"/>
          </w:r>
          <w:r>
            <w:rPr>
              <w:rFonts w:ascii="宋体" w:hAnsi="宋体" w:eastAsia="宋体" w:cs="宋体"/>
              <w:color w:val="000000" w:themeColor="text1"/>
              <w:sz w:val="23"/>
              <w:szCs w:val="23"/>
              <w14:textFill>
                <w14:solidFill>
                  <w14:schemeClr w14:val="tx1"/>
                </w14:solidFill>
              </w14:textFill>
            </w:rPr>
            <w:t>附表四：中标通知书</w:t>
          </w:r>
          <w:r>
            <w:rPr>
              <w:rFonts w:ascii="宋体" w:hAnsi="宋体" w:eastAsia="宋体" w:cs="宋体"/>
              <w:color w:val="000000" w:themeColor="text1"/>
              <w:sz w:val="23"/>
              <w:szCs w:val="23"/>
              <w14:textFill>
                <w14:solidFill>
                  <w14:schemeClr w14:val="tx1"/>
                </w14:solidFill>
              </w14:textFill>
            </w:rPr>
            <w:tab/>
          </w:r>
          <w:r>
            <w:rPr>
              <w:rFonts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14:textFill>
                <w14:solidFill>
                  <w14:schemeClr w14:val="tx1"/>
                </w14:solidFill>
              </w14:textFill>
            </w:rPr>
            <w:t>34</w:t>
          </w:r>
        </w:p>
        <w:p>
          <w:pPr>
            <w:tabs>
              <w:tab w:val="right" w:leader="dot" w:pos="8305"/>
            </w:tabs>
            <w:spacing w:line="460" w:lineRule="exact"/>
            <w:ind w:firstLine="707" w:firstLineChars="337"/>
            <w:jc w:val="both"/>
            <w:rPr>
              <w:rFonts w:ascii="宋体" w:hAnsi="宋体" w:eastAsia="宋体" w:cs="宋体"/>
              <w:color w:val="000000" w:themeColor="text1"/>
              <w:sz w:val="23"/>
              <w:szCs w:val="23"/>
              <w14:textFill>
                <w14:solidFill>
                  <w14:schemeClr w14:val="tx1"/>
                </w14:solidFill>
              </w14:textFill>
            </w:rPr>
          </w:pPr>
          <w:r>
            <w:fldChar w:fldCharType="begin"/>
          </w:r>
          <w:r>
            <w:instrText xml:space="preserve"> HYPERLINK \l "_bookmark10" </w:instrText>
          </w:r>
          <w:r>
            <w:fldChar w:fldCharType="separate"/>
          </w:r>
          <w:r>
            <w:rPr>
              <w:rFonts w:ascii="宋体" w:hAnsi="宋体" w:eastAsia="宋体" w:cs="宋体"/>
              <w:color w:val="000000" w:themeColor="text1"/>
              <w:sz w:val="23"/>
              <w:szCs w:val="23"/>
              <w14:textFill>
                <w14:solidFill>
                  <w14:schemeClr w14:val="tx1"/>
                </w14:solidFill>
              </w14:textFill>
            </w:rPr>
            <w:t>附表</w:t>
          </w:r>
          <w:r>
            <w:rPr>
              <w:rFonts w:hint="eastAsia" w:ascii="宋体" w:hAnsi="宋体" w:eastAsia="宋体" w:cs="宋体"/>
              <w:color w:val="000000" w:themeColor="text1"/>
              <w:sz w:val="23"/>
              <w:szCs w:val="23"/>
              <w14:textFill>
                <w14:solidFill>
                  <w14:schemeClr w14:val="tx1"/>
                </w14:solidFill>
              </w14:textFill>
            </w:rPr>
            <w:t>五</w:t>
          </w:r>
          <w:r>
            <w:rPr>
              <w:rFonts w:ascii="宋体" w:hAnsi="宋体" w:eastAsia="宋体" w:cs="宋体"/>
              <w:color w:val="000000" w:themeColor="text1"/>
              <w:sz w:val="23"/>
              <w:szCs w:val="23"/>
              <w14:textFill>
                <w14:solidFill>
                  <w14:schemeClr w14:val="tx1"/>
                </w14:solidFill>
              </w14:textFill>
            </w:rPr>
            <w:t>：确认通知</w:t>
          </w:r>
          <w:r>
            <w:rPr>
              <w:rFonts w:ascii="宋体" w:hAnsi="宋体" w:eastAsia="宋体" w:cs="宋体"/>
              <w:color w:val="000000" w:themeColor="text1"/>
              <w:sz w:val="23"/>
              <w:szCs w:val="23"/>
              <w14:textFill>
                <w14:solidFill>
                  <w14:schemeClr w14:val="tx1"/>
                </w14:solidFill>
              </w14:textFill>
            </w:rPr>
            <w:tab/>
          </w:r>
          <w:r>
            <w:rPr>
              <w:rFonts w:hint="eastAsia" w:ascii="宋体" w:hAnsi="宋体" w:eastAsia="宋体" w:cs="宋体"/>
              <w:color w:val="000000" w:themeColor="text1"/>
              <w:sz w:val="23"/>
              <w:szCs w:val="23"/>
              <w14:textFill>
                <w14:solidFill>
                  <w14:schemeClr w14:val="tx1"/>
                </w14:solidFill>
              </w14:textFill>
            </w:rPr>
            <w:t>35</w:t>
          </w:r>
          <w:r>
            <w:rPr>
              <w:rFonts w:hint="eastAsia" w:ascii="宋体" w:hAnsi="宋体" w:eastAsia="宋体" w:cs="宋体"/>
              <w:color w:val="000000" w:themeColor="text1"/>
              <w:sz w:val="23"/>
              <w:szCs w:val="23"/>
              <w14:textFill>
                <w14:solidFill>
                  <w14:schemeClr w14:val="tx1"/>
                </w14:solidFill>
              </w14:textFill>
            </w:rPr>
            <w:fldChar w:fldCharType="end"/>
          </w:r>
        </w:p>
        <w:p>
          <w:pPr>
            <w:tabs>
              <w:tab w:val="right" w:leader="dot" w:pos="8305"/>
            </w:tabs>
            <w:spacing w:line="460" w:lineRule="exact"/>
            <w:jc w:val="both"/>
            <w:rPr>
              <w:rFonts w:ascii="宋体" w:hAnsi="宋体" w:eastAsia="宋体" w:cs="宋体"/>
              <w:color w:val="000000" w:themeColor="text1"/>
              <w:sz w:val="23"/>
              <w:szCs w:val="23"/>
              <w14:textFill>
                <w14:solidFill>
                  <w14:schemeClr w14:val="tx1"/>
                </w14:solidFill>
              </w14:textFill>
            </w:rPr>
          </w:pPr>
          <w:r>
            <w:fldChar w:fldCharType="begin"/>
          </w:r>
          <w:r>
            <w:instrText xml:space="preserve"> HYPERLINK \l "_bookmark11" </w:instrText>
          </w:r>
          <w:r>
            <w:fldChar w:fldCharType="separate"/>
          </w:r>
          <w:r>
            <w:rPr>
              <w:rFonts w:ascii="宋体" w:hAnsi="宋体" w:eastAsia="宋体" w:cs="宋体"/>
              <w:color w:val="000000" w:themeColor="text1"/>
              <w:sz w:val="23"/>
              <w:szCs w:val="23"/>
              <w14:textFill>
                <w14:solidFill>
                  <w14:schemeClr w14:val="tx1"/>
                </w14:solidFill>
              </w14:textFill>
            </w:rPr>
            <w:t>第三章评标定标办法</w:t>
          </w:r>
          <w:r>
            <w:rPr>
              <w:rFonts w:ascii="宋体" w:hAnsi="宋体" w:eastAsia="宋体" w:cs="宋体"/>
              <w:color w:val="000000" w:themeColor="text1"/>
              <w:sz w:val="23"/>
              <w:szCs w:val="23"/>
              <w14:textFill>
                <w14:solidFill>
                  <w14:schemeClr w14:val="tx1"/>
                </w14:solidFill>
              </w14:textFill>
            </w:rPr>
            <w:tab/>
          </w:r>
          <w:r>
            <w:rPr>
              <w:rFonts w:hint="eastAsia" w:ascii="宋体" w:hAnsi="宋体" w:eastAsia="宋体" w:cs="宋体"/>
              <w:color w:val="000000" w:themeColor="text1"/>
              <w:sz w:val="23"/>
              <w:szCs w:val="23"/>
              <w14:textFill>
                <w14:solidFill>
                  <w14:schemeClr w14:val="tx1"/>
                </w14:solidFill>
              </w14:textFill>
            </w:rPr>
            <w:t>3</w:t>
          </w:r>
          <w:r>
            <w:rPr>
              <w:rFonts w:hint="eastAsia"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14:textFill>
                <w14:solidFill>
                  <w14:schemeClr w14:val="tx1"/>
                </w14:solidFill>
              </w14:textFill>
            </w:rPr>
            <w:t>6</w:t>
          </w:r>
        </w:p>
        <w:p>
          <w:pPr>
            <w:tabs>
              <w:tab w:val="right" w:leader="dot" w:pos="8305"/>
            </w:tabs>
            <w:spacing w:line="460" w:lineRule="exact"/>
            <w:jc w:val="both"/>
            <w:rPr>
              <w:rFonts w:ascii="宋体" w:hAnsi="宋体" w:eastAsia="宋体" w:cs="宋体"/>
              <w:color w:val="000000" w:themeColor="text1"/>
              <w:sz w:val="23"/>
              <w:szCs w:val="23"/>
              <w14:textFill>
                <w14:solidFill>
                  <w14:schemeClr w14:val="tx1"/>
                </w14:solidFill>
              </w14:textFill>
            </w:rPr>
          </w:pPr>
          <w:r>
            <w:fldChar w:fldCharType="begin"/>
          </w:r>
          <w:r>
            <w:instrText xml:space="preserve"> HYPERLINK \l "_bookmark12" </w:instrText>
          </w:r>
          <w:r>
            <w:fldChar w:fldCharType="separate"/>
          </w:r>
          <w:r>
            <w:rPr>
              <w:rFonts w:ascii="宋体" w:hAnsi="宋体" w:eastAsia="宋体" w:cs="宋体"/>
              <w:color w:val="000000" w:themeColor="text1"/>
              <w:sz w:val="23"/>
              <w:szCs w:val="23"/>
              <w14:textFill>
                <w14:solidFill>
                  <w14:schemeClr w14:val="tx1"/>
                </w14:solidFill>
              </w14:textFill>
            </w:rPr>
            <w:t>第四章合同条款及格式</w:t>
          </w:r>
          <w:r>
            <w:rPr>
              <w:rFonts w:ascii="宋体" w:hAnsi="宋体" w:eastAsia="宋体" w:cs="宋体"/>
              <w:color w:val="000000" w:themeColor="text1"/>
              <w:sz w:val="23"/>
              <w:szCs w:val="23"/>
              <w14:textFill>
                <w14:solidFill>
                  <w14:schemeClr w14:val="tx1"/>
                </w14:solidFill>
              </w14:textFill>
            </w:rPr>
            <w:tab/>
          </w:r>
          <w:r>
            <w:rPr>
              <w:rFonts w:hint="eastAsia" w:ascii="宋体" w:hAnsi="宋体" w:eastAsia="宋体" w:cs="宋体"/>
              <w:color w:val="000000" w:themeColor="text1"/>
              <w:sz w:val="23"/>
              <w:szCs w:val="23"/>
              <w14:textFill>
                <w14:solidFill>
                  <w14:schemeClr w14:val="tx1"/>
                </w14:solidFill>
              </w14:textFill>
            </w:rPr>
            <w:t>4</w:t>
          </w:r>
          <w:r>
            <w:rPr>
              <w:rFonts w:hint="eastAsia"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14:textFill>
                <w14:solidFill>
                  <w14:schemeClr w14:val="tx1"/>
                </w14:solidFill>
              </w14:textFill>
            </w:rPr>
            <w:t>8</w:t>
          </w:r>
        </w:p>
        <w:p>
          <w:pPr>
            <w:tabs>
              <w:tab w:val="right" w:leader="dot" w:pos="8305"/>
            </w:tabs>
            <w:spacing w:line="460" w:lineRule="exact"/>
            <w:jc w:val="both"/>
            <w:rPr>
              <w:rFonts w:hint="eastAsia" w:ascii="宋体" w:hAnsi="宋体" w:eastAsia="宋体" w:cs="宋体"/>
              <w:color w:val="000000" w:themeColor="text1"/>
              <w:sz w:val="23"/>
              <w:szCs w:val="23"/>
              <w:lang w:eastAsia="zh-CN"/>
              <w14:textFill>
                <w14:solidFill>
                  <w14:schemeClr w14:val="tx1"/>
                </w14:solidFill>
              </w14:textFill>
            </w:rPr>
          </w:pPr>
          <w:r>
            <w:fldChar w:fldCharType="begin"/>
          </w:r>
          <w:r>
            <w:instrText xml:space="preserve"> HYPERLINK \l "_bookmark13" </w:instrText>
          </w:r>
          <w:r>
            <w:fldChar w:fldCharType="separate"/>
          </w:r>
          <w:r>
            <w:rPr>
              <w:rFonts w:ascii="宋体" w:hAnsi="宋体" w:eastAsia="宋体" w:cs="宋体"/>
              <w:color w:val="000000" w:themeColor="text1"/>
              <w:sz w:val="23"/>
              <w:szCs w:val="23"/>
              <w14:textFill>
                <w14:solidFill>
                  <w14:schemeClr w14:val="tx1"/>
                </w14:solidFill>
              </w14:textFill>
            </w:rPr>
            <w:t>第五章招标内容和技术要求</w:t>
          </w:r>
          <w:r>
            <w:rPr>
              <w:rFonts w:ascii="宋体" w:hAnsi="宋体" w:eastAsia="宋体" w:cs="宋体"/>
              <w:color w:val="000000" w:themeColor="text1"/>
              <w:sz w:val="23"/>
              <w:szCs w:val="23"/>
              <w14:textFill>
                <w14:solidFill>
                  <w14:schemeClr w14:val="tx1"/>
                </w14:solidFill>
              </w14:textFill>
            </w:rPr>
            <w:tab/>
          </w:r>
          <w:r>
            <w:rPr>
              <w:rFonts w:hint="eastAsia" w:ascii="宋体" w:hAnsi="宋体" w:eastAsia="宋体" w:cs="宋体"/>
              <w:color w:val="000000" w:themeColor="text1"/>
              <w:sz w:val="23"/>
              <w:szCs w:val="23"/>
              <w14:textFill>
                <w14:solidFill>
                  <w14:schemeClr w14:val="tx1"/>
                </w14:solidFill>
              </w14:textFill>
            </w:rPr>
            <w:t>8</w:t>
          </w:r>
          <w:r>
            <w:rPr>
              <w:rFonts w:hint="eastAsia"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lang w:val="en-US" w:eastAsia="zh-CN"/>
              <w14:textFill>
                <w14:solidFill>
                  <w14:schemeClr w14:val="tx1"/>
                </w14:solidFill>
              </w14:textFill>
            </w:rPr>
            <w:t>4</w:t>
          </w:r>
        </w:p>
        <w:p>
          <w:pPr>
            <w:tabs>
              <w:tab w:val="right" w:leader="dot" w:pos="8305"/>
            </w:tabs>
            <w:spacing w:line="460" w:lineRule="exact"/>
            <w:jc w:val="both"/>
            <w:rPr>
              <w:rFonts w:hint="default" w:ascii="宋体" w:hAnsi="宋体" w:eastAsia="宋体" w:cs="宋体"/>
              <w:color w:val="000000" w:themeColor="text1"/>
              <w:sz w:val="23"/>
              <w:szCs w:val="23"/>
              <w:lang w:val="en-US" w:eastAsia="zh-CN"/>
              <w14:textFill>
                <w14:solidFill>
                  <w14:schemeClr w14:val="tx1"/>
                </w14:solidFill>
              </w14:textFill>
            </w:rPr>
          </w:pPr>
          <w:r>
            <w:fldChar w:fldCharType="begin"/>
          </w:r>
          <w:r>
            <w:instrText xml:space="preserve"> HYPERLINK \l "_bookmark14" </w:instrText>
          </w:r>
          <w:r>
            <w:fldChar w:fldCharType="separate"/>
          </w:r>
          <w:r>
            <w:rPr>
              <w:rFonts w:ascii="宋体" w:hAnsi="宋体" w:eastAsia="宋体" w:cs="宋体"/>
              <w:color w:val="000000" w:themeColor="text1"/>
              <w:sz w:val="23"/>
              <w:szCs w:val="23"/>
              <w14:textFill>
                <w14:solidFill>
                  <w14:schemeClr w14:val="tx1"/>
                </w14:solidFill>
              </w14:textFill>
            </w:rPr>
            <w:t>第六章投标文件格式</w:t>
          </w:r>
          <w:r>
            <w:rPr>
              <w:rFonts w:ascii="宋体" w:hAnsi="宋体" w:eastAsia="宋体" w:cs="宋体"/>
              <w:color w:val="000000" w:themeColor="text1"/>
              <w:sz w:val="23"/>
              <w:szCs w:val="23"/>
              <w14:textFill>
                <w14:solidFill>
                  <w14:schemeClr w14:val="tx1"/>
                </w14:solidFill>
              </w14:textFill>
            </w:rPr>
            <w:tab/>
          </w:r>
          <w:r>
            <w:rPr>
              <w:rFonts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14:textFill>
                <w14:solidFill>
                  <w14:schemeClr w14:val="tx1"/>
                </w14:solidFill>
              </w14:textFill>
            </w:rPr>
            <w:t>1</w:t>
          </w:r>
          <w:r>
            <w:rPr>
              <w:rFonts w:hint="eastAsia" w:ascii="宋体" w:hAnsi="宋体" w:eastAsia="宋体" w:cs="宋体"/>
              <w:color w:val="000000" w:themeColor="text1"/>
              <w:sz w:val="23"/>
              <w:szCs w:val="23"/>
              <w:lang w:val="en-US" w:eastAsia="zh-CN"/>
              <w14:textFill>
                <w14:solidFill>
                  <w14:schemeClr w14:val="tx1"/>
                </w14:solidFill>
              </w14:textFill>
            </w:rPr>
            <w:t>11</w:t>
          </w:r>
        </w:p>
        <w:p>
          <w:pPr>
            <w:tabs>
              <w:tab w:val="right" w:leader="dot" w:pos="8305"/>
            </w:tabs>
            <w:spacing w:line="460" w:lineRule="exact"/>
            <w:ind w:firstLine="707" w:firstLineChars="337"/>
            <w:jc w:val="both"/>
            <w:rPr>
              <w:rFonts w:hint="eastAsia" w:ascii="宋体" w:hAnsi="宋体" w:eastAsia="宋体" w:cs="宋体"/>
              <w:color w:val="000000" w:themeColor="text1"/>
              <w:sz w:val="23"/>
              <w:szCs w:val="23"/>
              <w:lang w:eastAsia="zh-CN"/>
              <w14:textFill>
                <w14:solidFill>
                  <w14:schemeClr w14:val="tx1"/>
                </w14:solidFill>
              </w14:textFill>
            </w:rPr>
          </w:pPr>
          <w:r>
            <w:fldChar w:fldCharType="begin"/>
          </w:r>
          <w:r>
            <w:instrText xml:space="preserve"> HYPERLINK \l "_bookmark15" </w:instrText>
          </w:r>
          <w:r>
            <w:fldChar w:fldCharType="separate"/>
          </w:r>
          <w:r>
            <w:rPr>
              <w:rFonts w:ascii="宋体" w:hAnsi="宋体" w:eastAsia="宋体" w:cs="宋体"/>
              <w:color w:val="000000" w:themeColor="text1"/>
              <w:sz w:val="23"/>
              <w:szCs w:val="23"/>
              <w14:textFill>
                <w14:solidFill>
                  <w14:schemeClr w14:val="tx1"/>
                </w14:solidFill>
              </w14:textFill>
            </w:rPr>
            <w:t>格式一：投标函</w:t>
          </w:r>
          <w:r>
            <w:rPr>
              <w:rFonts w:ascii="宋体" w:hAnsi="宋体" w:eastAsia="宋体" w:cs="宋体"/>
              <w:color w:val="000000" w:themeColor="text1"/>
              <w:sz w:val="23"/>
              <w:szCs w:val="23"/>
              <w14:textFill>
                <w14:solidFill>
                  <w14:schemeClr w14:val="tx1"/>
                </w14:solidFill>
              </w14:textFill>
            </w:rPr>
            <w:tab/>
          </w:r>
          <w:r>
            <w:rPr>
              <w:rFonts w:hint="eastAsia" w:ascii="宋体" w:hAnsi="宋体" w:eastAsia="宋体" w:cs="宋体"/>
              <w:color w:val="000000" w:themeColor="text1"/>
              <w:sz w:val="23"/>
              <w:szCs w:val="23"/>
              <w14:textFill>
                <w14:solidFill>
                  <w14:schemeClr w14:val="tx1"/>
                </w14:solidFill>
              </w14:textFill>
            </w:rPr>
            <w:t>1</w:t>
          </w:r>
          <w:r>
            <w:rPr>
              <w:rFonts w:hint="eastAsia"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14:textFill>
                <w14:solidFill>
                  <w14:schemeClr w14:val="tx1"/>
                </w14:solidFill>
              </w14:textFill>
            </w:rPr>
            <w:t>1</w:t>
          </w:r>
          <w:r>
            <w:rPr>
              <w:rFonts w:hint="eastAsia" w:ascii="宋体" w:hAnsi="宋体" w:eastAsia="宋体" w:cs="宋体"/>
              <w:color w:val="000000" w:themeColor="text1"/>
              <w:sz w:val="23"/>
              <w:szCs w:val="23"/>
              <w:lang w:val="en-US" w:eastAsia="zh-CN"/>
              <w14:textFill>
                <w14:solidFill>
                  <w14:schemeClr w14:val="tx1"/>
                </w14:solidFill>
              </w14:textFill>
            </w:rPr>
            <w:t>5</w:t>
          </w:r>
        </w:p>
        <w:p>
          <w:pPr>
            <w:tabs>
              <w:tab w:val="right" w:leader="dot" w:pos="8305"/>
            </w:tabs>
            <w:spacing w:line="460" w:lineRule="exact"/>
            <w:ind w:firstLine="707" w:firstLineChars="337"/>
            <w:jc w:val="both"/>
            <w:rPr>
              <w:rFonts w:hint="eastAsia" w:ascii="宋体" w:hAnsi="宋体" w:eastAsia="宋体" w:cs="宋体"/>
              <w:color w:val="000000" w:themeColor="text1"/>
              <w:sz w:val="23"/>
              <w:szCs w:val="23"/>
              <w:lang w:eastAsia="zh-CN"/>
              <w14:textFill>
                <w14:solidFill>
                  <w14:schemeClr w14:val="tx1"/>
                </w14:solidFill>
              </w14:textFill>
            </w:rPr>
          </w:pPr>
          <w:r>
            <w:fldChar w:fldCharType="begin"/>
          </w:r>
          <w:r>
            <w:instrText xml:space="preserve"> HYPERLINK \l "_bookmark16" </w:instrText>
          </w:r>
          <w:r>
            <w:fldChar w:fldCharType="separate"/>
          </w:r>
          <w:r>
            <w:rPr>
              <w:rFonts w:ascii="宋体" w:hAnsi="宋体" w:eastAsia="宋体" w:cs="宋体"/>
              <w:color w:val="000000" w:themeColor="text1"/>
              <w:sz w:val="23"/>
              <w:szCs w:val="23"/>
              <w14:textFill>
                <w14:solidFill>
                  <w14:schemeClr w14:val="tx1"/>
                </w14:solidFill>
              </w14:textFill>
            </w:rPr>
            <w:t>格式二：法定代表人身份证明</w:t>
          </w:r>
          <w:r>
            <w:rPr>
              <w:rFonts w:ascii="宋体" w:hAnsi="宋体" w:eastAsia="宋体" w:cs="宋体"/>
              <w:color w:val="000000" w:themeColor="text1"/>
              <w:sz w:val="23"/>
              <w:szCs w:val="23"/>
              <w14:textFill>
                <w14:solidFill>
                  <w14:schemeClr w14:val="tx1"/>
                </w14:solidFill>
              </w14:textFill>
            </w:rPr>
            <w:tab/>
          </w:r>
          <w:r>
            <w:rPr>
              <w:rFonts w:hint="eastAsia" w:ascii="宋体" w:hAnsi="宋体" w:eastAsia="宋体" w:cs="宋体"/>
              <w:color w:val="000000" w:themeColor="text1"/>
              <w:sz w:val="23"/>
              <w:szCs w:val="23"/>
              <w14:textFill>
                <w14:solidFill>
                  <w14:schemeClr w14:val="tx1"/>
                </w14:solidFill>
              </w14:textFill>
            </w:rPr>
            <w:t>1</w:t>
          </w:r>
          <w:r>
            <w:rPr>
              <w:rFonts w:hint="eastAsia"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14:textFill>
                <w14:solidFill>
                  <w14:schemeClr w14:val="tx1"/>
                </w14:solidFill>
              </w14:textFill>
            </w:rPr>
            <w:t>1</w:t>
          </w:r>
          <w:r>
            <w:rPr>
              <w:rFonts w:hint="eastAsia" w:ascii="宋体" w:hAnsi="宋体" w:eastAsia="宋体" w:cs="宋体"/>
              <w:color w:val="000000" w:themeColor="text1"/>
              <w:sz w:val="23"/>
              <w:szCs w:val="23"/>
              <w:lang w:val="en-US" w:eastAsia="zh-CN"/>
              <w14:textFill>
                <w14:solidFill>
                  <w14:schemeClr w14:val="tx1"/>
                </w14:solidFill>
              </w14:textFill>
            </w:rPr>
            <w:t>6</w:t>
          </w:r>
        </w:p>
        <w:p>
          <w:pPr>
            <w:tabs>
              <w:tab w:val="right" w:leader="dot" w:pos="8305"/>
            </w:tabs>
            <w:spacing w:line="460" w:lineRule="exact"/>
            <w:ind w:firstLine="707" w:firstLineChars="337"/>
            <w:jc w:val="both"/>
            <w:rPr>
              <w:rFonts w:hint="eastAsia" w:ascii="宋体" w:hAnsi="宋体" w:eastAsia="宋体" w:cs="宋体"/>
              <w:color w:val="000000" w:themeColor="text1"/>
              <w:sz w:val="23"/>
              <w:szCs w:val="23"/>
              <w:lang w:eastAsia="zh-CN"/>
              <w14:textFill>
                <w14:solidFill>
                  <w14:schemeClr w14:val="tx1"/>
                </w14:solidFill>
              </w14:textFill>
            </w:rPr>
          </w:pPr>
          <w:r>
            <w:fldChar w:fldCharType="begin"/>
          </w:r>
          <w:r>
            <w:instrText xml:space="preserve"> HYPERLINK \l "_bookmark17" </w:instrText>
          </w:r>
          <w:r>
            <w:fldChar w:fldCharType="separate"/>
          </w:r>
          <w:r>
            <w:rPr>
              <w:rFonts w:ascii="宋体" w:hAnsi="宋体" w:eastAsia="宋体" w:cs="宋体"/>
              <w:color w:val="000000" w:themeColor="text1"/>
              <w:sz w:val="23"/>
              <w:szCs w:val="23"/>
              <w14:textFill>
                <w14:solidFill>
                  <w14:schemeClr w14:val="tx1"/>
                </w14:solidFill>
              </w14:textFill>
            </w:rPr>
            <w:t>格式三：</w:t>
          </w:r>
          <w:r>
            <w:rPr>
              <w:rFonts w:ascii="宋体" w:hAnsi="宋体" w:eastAsia="宋体" w:cs="宋体"/>
              <w:color w:val="000000" w:themeColor="text1"/>
              <w:sz w:val="24"/>
              <w:szCs w:val="24"/>
              <w14:textFill>
                <w14:solidFill>
                  <w14:schemeClr w14:val="tx1"/>
                </w14:solidFill>
              </w14:textFill>
            </w:rPr>
            <w:t>法定代表人</w:t>
          </w:r>
          <w:r>
            <w:rPr>
              <w:rFonts w:ascii="宋体" w:hAnsi="宋体" w:eastAsia="宋体" w:cs="宋体"/>
              <w:color w:val="000000" w:themeColor="text1"/>
              <w:sz w:val="23"/>
              <w:szCs w:val="23"/>
              <w14:textFill>
                <w14:solidFill>
                  <w14:schemeClr w14:val="tx1"/>
                </w14:solidFill>
              </w14:textFill>
            </w:rPr>
            <w:t>授权委托书</w:t>
          </w:r>
          <w:r>
            <w:rPr>
              <w:rFonts w:ascii="宋体" w:hAnsi="宋体" w:eastAsia="宋体" w:cs="宋体"/>
              <w:color w:val="000000" w:themeColor="text1"/>
              <w:sz w:val="23"/>
              <w:szCs w:val="23"/>
              <w14:textFill>
                <w14:solidFill>
                  <w14:schemeClr w14:val="tx1"/>
                </w14:solidFill>
              </w14:textFill>
            </w:rPr>
            <w:tab/>
          </w:r>
          <w:r>
            <w:rPr>
              <w:rFonts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14:textFill>
                <w14:solidFill>
                  <w14:schemeClr w14:val="tx1"/>
                </w14:solidFill>
              </w14:textFill>
            </w:rPr>
            <w:t>11</w:t>
          </w:r>
          <w:r>
            <w:rPr>
              <w:rFonts w:hint="eastAsia" w:ascii="宋体" w:hAnsi="宋体" w:eastAsia="宋体" w:cs="宋体"/>
              <w:color w:val="000000" w:themeColor="text1"/>
              <w:sz w:val="23"/>
              <w:szCs w:val="23"/>
              <w:lang w:val="en-US" w:eastAsia="zh-CN"/>
              <w14:textFill>
                <w14:solidFill>
                  <w14:schemeClr w14:val="tx1"/>
                </w14:solidFill>
              </w14:textFill>
            </w:rPr>
            <w:t>7</w:t>
          </w:r>
        </w:p>
        <w:p>
          <w:pPr>
            <w:tabs>
              <w:tab w:val="right" w:leader="dot" w:pos="8305"/>
            </w:tabs>
            <w:spacing w:line="460" w:lineRule="exact"/>
            <w:ind w:firstLine="707" w:firstLineChars="337"/>
            <w:jc w:val="both"/>
            <w:rPr>
              <w:rFonts w:hint="eastAsia" w:ascii="宋体" w:hAnsi="宋体" w:eastAsia="宋体" w:cs="宋体"/>
              <w:color w:val="000000" w:themeColor="text1"/>
              <w:sz w:val="23"/>
              <w:szCs w:val="23"/>
              <w:lang w:eastAsia="zh-CN"/>
              <w14:textFill>
                <w14:solidFill>
                  <w14:schemeClr w14:val="tx1"/>
                </w14:solidFill>
              </w14:textFill>
            </w:rPr>
          </w:pPr>
          <w:r>
            <w:fldChar w:fldCharType="begin"/>
          </w:r>
          <w:r>
            <w:instrText xml:space="preserve"> HYPERLINK \l "_bookmark18" </w:instrText>
          </w:r>
          <w:r>
            <w:fldChar w:fldCharType="separate"/>
          </w:r>
          <w:r>
            <w:rPr>
              <w:rFonts w:ascii="宋体" w:hAnsi="宋体" w:eastAsia="宋体" w:cs="宋体"/>
              <w:color w:val="000000" w:themeColor="text1"/>
              <w:sz w:val="23"/>
              <w:szCs w:val="23"/>
              <w14:textFill>
                <w14:solidFill>
                  <w14:schemeClr w14:val="tx1"/>
                </w14:solidFill>
              </w14:textFill>
            </w:rPr>
            <w:t>格式四：投标报价表</w:t>
          </w:r>
          <w:r>
            <w:rPr>
              <w:rFonts w:ascii="宋体" w:hAnsi="宋体" w:eastAsia="宋体" w:cs="宋体"/>
              <w:color w:val="000000" w:themeColor="text1"/>
              <w:sz w:val="23"/>
              <w:szCs w:val="23"/>
              <w14:textFill>
                <w14:solidFill>
                  <w14:schemeClr w14:val="tx1"/>
                </w14:solidFill>
              </w14:textFill>
            </w:rPr>
            <w:tab/>
          </w:r>
          <w:r>
            <w:rPr>
              <w:rFonts w:hint="eastAsia" w:ascii="宋体" w:hAnsi="宋体" w:eastAsia="宋体" w:cs="宋体"/>
              <w:color w:val="000000" w:themeColor="text1"/>
              <w:sz w:val="23"/>
              <w:szCs w:val="23"/>
              <w14:textFill>
                <w14:solidFill>
                  <w14:schemeClr w14:val="tx1"/>
                </w14:solidFill>
              </w14:textFill>
            </w:rPr>
            <w:t>1</w:t>
          </w:r>
          <w:r>
            <w:rPr>
              <w:rFonts w:hint="eastAsia"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14:textFill>
                <w14:solidFill>
                  <w14:schemeClr w14:val="tx1"/>
                </w14:solidFill>
              </w14:textFill>
            </w:rPr>
            <w:t>1</w:t>
          </w:r>
          <w:r>
            <w:rPr>
              <w:rFonts w:hint="eastAsia" w:ascii="宋体" w:hAnsi="宋体" w:eastAsia="宋体" w:cs="宋体"/>
              <w:color w:val="000000" w:themeColor="text1"/>
              <w:sz w:val="23"/>
              <w:szCs w:val="23"/>
              <w:lang w:val="en-US" w:eastAsia="zh-CN"/>
              <w14:textFill>
                <w14:solidFill>
                  <w14:schemeClr w14:val="tx1"/>
                </w14:solidFill>
              </w14:textFill>
            </w:rPr>
            <w:t>8</w:t>
          </w:r>
        </w:p>
        <w:p>
          <w:pPr>
            <w:tabs>
              <w:tab w:val="right" w:leader="dot" w:pos="8305"/>
            </w:tabs>
            <w:spacing w:line="460" w:lineRule="exact"/>
            <w:ind w:firstLine="707" w:firstLineChars="337"/>
            <w:jc w:val="both"/>
            <w:rPr>
              <w:rFonts w:hint="eastAsia" w:ascii="宋体" w:hAnsi="宋体" w:eastAsia="宋体" w:cs="宋体"/>
              <w:color w:val="000000" w:themeColor="text1"/>
              <w:sz w:val="23"/>
              <w:szCs w:val="23"/>
              <w:lang w:eastAsia="zh-CN"/>
              <w14:textFill>
                <w14:solidFill>
                  <w14:schemeClr w14:val="tx1"/>
                </w14:solidFill>
              </w14:textFill>
            </w:rPr>
          </w:pPr>
          <w:r>
            <w:fldChar w:fldCharType="begin"/>
          </w:r>
          <w:r>
            <w:instrText xml:space="preserve"> HYPERLINK \l "_bookmark19" </w:instrText>
          </w:r>
          <w:r>
            <w:fldChar w:fldCharType="separate"/>
          </w:r>
          <w:r>
            <w:rPr>
              <w:rFonts w:ascii="宋体" w:hAnsi="宋体" w:eastAsia="宋体" w:cs="宋体"/>
              <w:color w:val="000000" w:themeColor="text1"/>
              <w:sz w:val="23"/>
              <w:szCs w:val="23"/>
              <w14:textFill>
                <w14:solidFill>
                  <w14:schemeClr w14:val="tx1"/>
                </w14:solidFill>
              </w14:textFill>
            </w:rPr>
            <w:t>格式五：资料一览表</w:t>
          </w:r>
          <w:r>
            <w:rPr>
              <w:rFonts w:ascii="宋体" w:hAnsi="宋体" w:eastAsia="宋体" w:cs="宋体"/>
              <w:color w:val="000000" w:themeColor="text1"/>
              <w:sz w:val="23"/>
              <w:szCs w:val="23"/>
              <w14:textFill>
                <w14:solidFill>
                  <w14:schemeClr w14:val="tx1"/>
                </w14:solidFill>
              </w14:textFill>
            </w:rPr>
            <w:tab/>
          </w:r>
          <w:r>
            <w:rPr>
              <w:rFonts w:hint="eastAsia" w:ascii="宋体" w:hAnsi="宋体" w:eastAsia="宋体" w:cs="宋体"/>
              <w:color w:val="000000" w:themeColor="text1"/>
              <w:sz w:val="23"/>
              <w:szCs w:val="23"/>
              <w14:textFill>
                <w14:solidFill>
                  <w14:schemeClr w14:val="tx1"/>
                </w14:solidFill>
              </w14:textFill>
            </w:rPr>
            <w:t>1</w:t>
          </w:r>
          <w:r>
            <w:rPr>
              <w:rFonts w:hint="eastAsia"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14:textFill>
                <w14:solidFill>
                  <w14:schemeClr w14:val="tx1"/>
                </w14:solidFill>
              </w14:textFill>
            </w:rPr>
            <w:t>1</w:t>
          </w:r>
          <w:r>
            <w:rPr>
              <w:rFonts w:hint="eastAsia" w:ascii="宋体" w:hAnsi="宋体" w:eastAsia="宋体" w:cs="宋体"/>
              <w:color w:val="000000" w:themeColor="text1"/>
              <w:sz w:val="23"/>
              <w:szCs w:val="23"/>
              <w:lang w:val="en-US" w:eastAsia="zh-CN"/>
              <w14:textFill>
                <w14:solidFill>
                  <w14:schemeClr w14:val="tx1"/>
                </w14:solidFill>
              </w14:textFill>
            </w:rPr>
            <w:t>9</w:t>
          </w:r>
        </w:p>
        <w:p>
          <w:pPr>
            <w:tabs>
              <w:tab w:val="right" w:leader="dot" w:pos="8305"/>
            </w:tabs>
            <w:spacing w:line="460" w:lineRule="exact"/>
            <w:ind w:firstLine="707" w:firstLineChars="337"/>
            <w:jc w:val="both"/>
          </w:pPr>
          <w:r>
            <w:fldChar w:fldCharType="begin"/>
          </w:r>
          <w:r>
            <w:instrText xml:space="preserve"> HYPERLINK \l "_bookmark20" </w:instrText>
          </w:r>
          <w:r>
            <w:fldChar w:fldCharType="separate"/>
          </w:r>
          <w:r>
            <w:rPr>
              <w:rFonts w:ascii="宋体" w:hAnsi="宋体" w:eastAsia="宋体" w:cs="宋体"/>
              <w:color w:val="000000" w:themeColor="text1"/>
              <w:sz w:val="23"/>
              <w:szCs w:val="23"/>
              <w14:textFill>
                <w14:solidFill>
                  <w14:schemeClr w14:val="tx1"/>
                </w14:solidFill>
              </w14:textFill>
            </w:rPr>
            <w:t>格式六：打分资料一览表</w:t>
          </w:r>
          <w:r>
            <w:rPr>
              <w:rFonts w:ascii="宋体" w:hAnsi="宋体" w:eastAsia="宋体" w:cs="宋体"/>
              <w:color w:val="000000" w:themeColor="text1"/>
              <w:sz w:val="23"/>
              <w:szCs w:val="23"/>
              <w14:textFill>
                <w14:solidFill>
                  <w14:schemeClr w14:val="tx1"/>
                </w14:solidFill>
              </w14:textFill>
            </w:rPr>
            <w:tab/>
          </w:r>
          <w:r>
            <w:rPr>
              <w:rFonts w:hint="eastAsia" w:ascii="宋体" w:hAnsi="宋体" w:eastAsia="宋体" w:cs="宋体"/>
              <w:color w:val="000000" w:themeColor="text1"/>
              <w:sz w:val="23"/>
              <w:szCs w:val="23"/>
              <w14:textFill>
                <w14:solidFill>
                  <w14:schemeClr w14:val="tx1"/>
                </w14:solidFill>
              </w14:textFill>
            </w:rPr>
            <w:t>1</w:t>
          </w:r>
          <w:r>
            <w:rPr>
              <w:rFonts w:hint="eastAsia" w:ascii="宋体" w:hAnsi="宋体" w:eastAsia="宋体" w:cs="宋体"/>
              <w:color w:val="000000" w:themeColor="text1"/>
              <w:sz w:val="23"/>
              <w:szCs w:val="23"/>
              <w14:textFill>
                <w14:solidFill>
                  <w14:schemeClr w14:val="tx1"/>
                </w14:solidFill>
              </w14:textFill>
            </w:rPr>
            <w:fldChar w:fldCharType="end"/>
          </w:r>
          <w:r>
            <w:rPr>
              <w:rFonts w:hint="eastAsia" w:ascii="宋体" w:hAnsi="宋体" w:eastAsia="宋体" w:cs="宋体"/>
              <w:color w:val="000000" w:themeColor="text1"/>
              <w:sz w:val="23"/>
              <w:szCs w:val="23"/>
              <w:lang w:val="en-US" w:eastAsia="zh-CN"/>
              <w14:textFill>
                <w14:solidFill>
                  <w14:schemeClr w14:val="tx1"/>
                </w14:solidFill>
              </w14:textFill>
            </w:rPr>
            <w:t>20</w:t>
          </w:r>
        </w:p>
      </w:sdtContent>
    </w:sdt>
    <w:p>
      <w:pPr>
        <w:tabs>
          <w:tab w:val="right" w:leader="dot" w:pos="8305"/>
        </w:tabs>
        <w:spacing w:line="460" w:lineRule="exact"/>
        <w:ind w:firstLine="646" w:firstLineChars="308"/>
        <w:jc w:val="both"/>
        <w:rPr>
          <w:rFonts w:hint="default" w:ascii="宋体" w:hAnsi="宋体" w:eastAsia="宋体" w:cs="宋体"/>
          <w:sz w:val="23"/>
          <w:szCs w:val="23"/>
          <w:lang w:val="en-US" w:eastAsia="zh-CN"/>
        </w:rPr>
      </w:pPr>
      <w:r>
        <w:fldChar w:fldCharType="begin"/>
      </w:r>
      <w:r>
        <w:instrText xml:space="preserve"> HYPERLINK \l "_bookmark20" </w:instrText>
      </w:r>
      <w:r>
        <w:fldChar w:fldCharType="separate"/>
      </w:r>
      <w:r>
        <w:rPr>
          <w:rFonts w:hint="eastAsia" w:ascii="宋体" w:hAnsi="宋体" w:eastAsia="宋体" w:cs="宋体"/>
          <w:sz w:val="23"/>
          <w:szCs w:val="23"/>
        </w:rPr>
        <w:t>格式七：投标人基本情况</w:t>
      </w:r>
      <w:r>
        <w:rPr>
          <w:rFonts w:hint="eastAsia" w:ascii="宋体" w:hAnsi="宋体" w:eastAsia="宋体" w:cs="宋体"/>
          <w:sz w:val="23"/>
          <w:szCs w:val="23"/>
        </w:rPr>
        <w:tab/>
      </w:r>
      <w:r>
        <w:rPr>
          <w:rFonts w:hint="eastAsia" w:ascii="宋体" w:hAnsi="宋体" w:eastAsia="宋体" w:cs="宋体"/>
          <w:sz w:val="23"/>
          <w:szCs w:val="23"/>
        </w:rPr>
        <w:t>1</w:t>
      </w:r>
      <w:r>
        <w:rPr>
          <w:rFonts w:hint="eastAsia" w:ascii="宋体" w:hAnsi="宋体" w:eastAsia="宋体" w:cs="宋体"/>
          <w:sz w:val="23"/>
          <w:szCs w:val="23"/>
        </w:rPr>
        <w:fldChar w:fldCharType="end"/>
      </w:r>
      <w:r>
        <w:rPr>
          <w:rFonts w:hint="eastAsia" w:ascii="宋体" w:hAnsi="宋体" w:eastAsia="宋体" w:cs="宋体"/>
          <w:sz w:val="23"/>
          <w:szCs w:val="23"/>
          <w:lang w:val="en-US" w:eastAsia="zh-CN"/>
        </w:rPr>
        <w:t>21</w:t>
      </w:r>
    </w:p>
    <w:p>
      <w:pPr>
        <w:tabs>
          <w:tab w:val="right" w:leader="dot" w:pos="8305"/>
        </w:tabs>
        <w:spacing w:line="460" w:lineRule="exact"/>
        <w:ind w:firstLine="708" w:firstLineChars="308"/>
        <w:jc w:val="both"/>
        <w:rPr>
          <w:rFonts w:hint="default" w:ascii="宋体" w:hAnsi="宋体" w:eastAsia="宋体" w:cs="宋体"/>
          <w:sz w:val="23"/>
          <w:szCs w:val="23"/>
          <w:lang w:val="en-US" w:eastAsia="zh-CN"/>
        </w:rPr>
      </w:pPr>
      <w:r>
        <w:rPr>
          <w:rFonts w:hint="eastAsia" w:ascii="宋体" w:hAnsi="宋体" w:eastAsia="宋体" w:cs="宋体"/>
          <w:sz w:val="23"/>
          <w:szCs w:val="23"/>
        </w:rPr>
        <w:t>格式八：资格审查文件封面</w:t>
      </w:r>
      <w:r>
        <w:rPr>
          <w:rFonts w:hint="eastAsia" w:ascii="宋体" w:hAnsi="宋体" w:eastAsia="宋体" w:cs="宋体"/>
          <w:sz w:val="23"/>
          <w:szCs w:val="23"/>
        </w:rPr>
        <w:tab/>
      </w:r>
      <w:r>
        <w:rPr>
          <w:rFonts w:hint="eastAsia" w:ascii="宋体" w:hAnsi="宋体" w:eastAsia="宋体" w:cs="宋体"/>
          <w:sz w:val="23"/>
          <w:szCs w:val="23"/>
        </w:rPr>
        <w:t>1</w:t>
      </w:r>
      <w:r>
        <w:rPr>
          <w:rFonts w:hint="eastAsia" w:ascii="宋体" w:hAnsi="宋体" w:eastAsia="宋体" w:cs="宋体"/>
          <w:sz w:val="23"/>
          <w:szCs w:val="23"/>
          <w:lang w:val="en-US" w:eastAsia="zh-CN"/>
        </w:rPr>
        <w:t>22</w:t>
      </w:r>
    </w:p>
    <w:p>
      <w:pPr>
        <w:tabs>
          <w:tab w:val="right" w:leader="dot" w:pos="8305"/>
        </w:tabs>
        <w:spacing w:line="460" w:lineRule="exact"/>
        <w:ind w:firstLine="708" w:firstLineChars="308"/>
        <w:jc w:val="both"/>
        <w:rPr>
          <w:rFonts w:hint="eastAsia" w:ascii="宋体" w:hAnsi="宋体" w:eastAsia="宋体" w:cs="宋体"/>
          <w:sz w:val="23"/>
          <w:szCs w:val="23"/>
          <w:lang w:eastAsia="zh-CN"/>
        </w:rPr>
      </w:pPr>
      <w:r>
        <w:rPr>
          <w:rFonts w:hint="eastAsia" w:ascii="宋体" w:hAnsi="宋体" w:eastAsia="宋体" w:cs="宋体"/>
          <w:sz w:val="23"/>
          <w:szCs w:val="23"/>
        </w:rPr>
        <w:t>格式九：技术标封面</w:t>
      </w:r>
      <w:r>
        <w:rPr>
          <w:rFonts w:hint="eastAsia" w:ascii="宋体" w:hAnsi="宋体" w:eastAsia="宋体" w:cs="宋体"/>
          <w:sz w:val="23"/>
          <w:szCs w:val="23"/>
        </w:rPr>
        <w:tab/>
      </w:r>
      <w:r>
        <w:rPr>
          <w:rFonts w:hint="eastAsia" w:ascii="宋体" w:hAnsi="宋体" w:eastAsia="宋体" w:cs="宋体"/>
          <w:sz w:val="23"/>
          <w:szCs w:val="23"/>
        </w:rPr>
        <w:t>12</w:t>
      </w:r>
      <w:r>
        <w:rPr>
          <w:rFonts w:hint="eastAsia" w:ascii="宋体" w:hAnsi="宋体" w:eastAsia="宋体" w:cs="宋体"/>
          <w:sz w:val="23"/>
          <w:szCs w:val="23"/>
          <w:lang w:val="en-US" w:eastAsia="zh-CN"/>
        </w:rPr>
        <w:t>3</w:t>
      </w:r>
    </w:p>
    <w:p>
      <w:pPr>
        <w:tabs>
          <w:tab w:val="right" w:leader="dot" w:pos="8305"/>
        </w:tabs>
        <w:spacing w:line="460" w:lineRule="exact"/>
        <w:ind w:firstLine="708" w:firstLineChars="308"/>
        <w:jc w:val="both"/>
        <w:rPr>
          <w:rFonts w:hint="eastAsia" w:ascii="宋体" w:hAnsi="宋体" w:eastAsia="宋体" w:cs="宋体"/>
          <w:sz w:val="23"/>
          <w:szCs w:val="23"/>
          <w:lang w:eastAsia="zh-CN"/>
        </w:rPr>
      </w:pPr>
      <w:r>
        <w:rPr>
          <w:rFonts w:hint="eastAsia" w:ascii="宋体" w:hAnsi="宋体" w:eastAsia="宋体" w:cs="宋体"/>
          <w:sz w:val="23"/>
          <w:szCs w:val="23"/>
        </w:rPr>
        <w:t>格式十：商务标封面</w:t>
      </w:r>
      <w:r>
        <w:rPr>
          <w:rFonts w:hint="eastAsia" w:ascii="宋体" w:hAnsi="宋体" w:eastAsia="宋体" w:cs="宋体"/>
          <w:sz w:val="23"/>
          <w:szCs w:val="23"/>
        </w:rPr>
        <w:tab/>
      </w:r>
      <w:r>
        <w:rPr>
          <w:rFonts w:hint="eastAsia" w:ascii="宋体" w:hAnsi="宋体" w:eastAsia="宋体" w:cs="宋体"/>
          <w:sz w:val="23"/>
          <w:szCs w:val="23"/>
        </w:rPr>
        <w:t>12</w:t>
      </w:r>
      <w:r>
        <w:rPr>
          <w:rFonts w:hint="eastAsia" w:ascii="宋体" w:hAnsi="宋体" w:eastAsia="宋体" w:cs="宋体"/>
          <w:sz w:val="23"/>
          <w:szCs w:val="23"/>
          <w:lang w:val="en-US" w:eastAsia="zh-CN"/>
        </w:rPr>
        <w:t>4</w:t>
      </w:r>
    </w:p>
    <w:p>
      <w:pPr>
        <w:tabs>
          <w:tab w:val="right" w:leader="dot" w:pos="8305"/>
        </w:tabs>
        <w:spacing w:line="460" w:lineRule="exact"/>
        <w:ind w:firstLine="708"/>
        <w:jc w:val="both"/>
        <w:rPr>
          <w:rFonts w:hint="eastAsia" w:ascii="宋体" w:hAnsi="宋体" w:eastAsia="宋体" w:cs="宋体"/>
          <w:sz w:val="23"/>
          <w:szCs w:val="23"/>
          <w:lang w:eastAsia="zh-CN"/>
        </w:rPr>
      </w:pPr>
      <w:r>
        <w:rPr>
          <w:rFonts w:hint="eastAsia" w:ascii="宋体" w:hAnsi="宋体" w:eastAsia="宋体" w:cs="宋体"/>
          <w:sz w:val="23"/>
          <w:szCs w:val="23"/>
        </w:rPr>
        <w:t>格式十一：技术条款偏离表</w:t>
      </w:r>
      <w:r>
        <w:rPr>
          <w:rFonts w:hint="eastAsia" w:ascii="宋体" w:hAnsi="宋体" w:eastAsia="宋体" w:cs="宋体"/>
          <w:sz w:val="23"/>
          <w:szCs w:val="23"/>
        </w:rPr>
        <w:tab/>
      </w:r>
      <w:r>
        <w:rPr>
          <w:rFonts w:hint="eastAsia" w:ascii="宋体" w:hAnsi="宋体" w:eastAsia="宋体" w:cs="宋体"/>
          <w:sz w:val="23"/>
          <w:szCs w:val="23"/>
        </w:rPr>
        <w:t>12</w:t>
      </w:r>
      <w:r>
        <w:rPr>
          <w:rFonts w:hint="eastAsia" w:ascii="宋体" w:hAnsi="宋体" w:eastAsia="宋体" w:cs="宋体"/>
          <w:sz w:val="23"/>
          <w:szCs w:val="23"/>
          <w:lang w:val="en-US" w:eastAsia="zh-CN"/>
        </w:rPr>
        <w:t>5</w:t>
      </w:r>
    </w:p>
    <w:p>
      <w:pPr>
        <w:tabs>
          <w:tab w:val="right" w:leader="dot" w:pos="8305"/>
        </w:tabs>
        <w:spacing w:line="460" w:lineRule="exact"/>
        <w:ind w:firstLine="708"/>
        <w:jc w:val="both"/>
        <w:rPr>
          <w:rFonts w:hint="eastAsia" w:ascii="宋体" w:hAnsi="宋体" w:eastAsia="宋体" w:cs="宋体"/>
          <w:sz w:val="23"/>
          <w:szCs w:val="23"/>
          <w:lang w:eastAsia="zh-CN"/>
        </w:rPr>
      </w:pPr>
      <w:r>
        <w:rPr>
          <w:rFonts w:hint="eastAsia" w:ascii="宋体" w:hAnsi="宋体" w:eastAsia="宋体" w:cs="宋体"/>
          <w:sz w:val="23"/>
          <w:szCs w:val="23"/>
        </w:rPr>
        <w:t>格式十二：联合体协议书</w:t>
      </w:r>
      <w:r>
        <w:rPr>
          <w:rFonts w:hint="eastAsia" w:ascii="宋体" w:hAnsi="宋体" w:eastAsia="宋体" w:cs="宋体"/>
          <w:sz w:val="23"/>
          <w:szCs w:val="23"/>
        </w:rPr>
        <w:tab/>
      </w:r>
      <w:r>
        <w:rPr>
          <w:rFonts w:hint="eastAsia" w:ascii="宋体" w:hAnsi="宋体" w:eastAsia="宋体" w:cs="宋体"/>
          <w:sz w:val="23"/>
          <w:szCs w:val="23"/>
        </w:rPr>
        <w:t>12</w:t>
      </w:r>
      <w:r>
        <w:rPr>
          <w:rFonts w:hint="eastAsia" w:ascii="宋体" w:hAnsi="宋体" w:eastAsia="宋体" w:cs="宋体"/>
          <w:sz w:val="23"/>
          <w:szCs w:val="23"/>
          <w:lang w:val="en-US" w:eastAsia="zh-CN"/>
        </w:rPr>
        <w:t>6</w:t>
      </w:r>
    </w:p>
    <w:p>
      <w:pPr>
        <w:tabs>
          <w:tab w:val="right" w:leader="dot" w:pos="8305"/>
        </w:tabs>
        <w:spacing w:line="460" w:lineRule="exact"/>
        <w:ind w:firstLine="708"/>
        <w:jc w:val="both"/>
        <w:rPr>
          <w:rFonts w:hint="eastAsia" w:eastAsia="宋体"/>
          <w:lang w:eastAsia="zh-CN"/>
        </w:rPr>
      </w:pPr>
      <w:r>
        <w:rPr>
          <w:rFonts w:hint="eastAsia"/>
        </w:rPr>
        <w:t>格式十三：投标承诺书</w:t>
      </w:r>
      <w:r>
        <w:rPr>
          <w:rFonts w:hint="eastAsia" w:ascii="宋体" w:hAnsi="宋体" w:eastAsia="宋体" w:cs="宋体"/>
          <w:sz w:val="23"/>
          <w:szCs w:val="23"/>
        </w:rPr>
        <w:tab/>
      </w:r>
      <w:r>
        <w:rPr>
          <w:rFonts w:hint="eastAsia" w:ascii="宋体" w:hAnsi="宋体" w:eastAsia="宋体" w:cs="宋体"/>
          <w:sz w:val="23"/>
          <w:szCs w:val="23"/>
        </w:rPr>
        <w:t>12</w:t>
      </w:r>
      <w:r>
        <w:rPr>
          <w:rFonts w:hint="eastAsia" w:ascii="宋体" w:hAnsi="宋体" w:eastAsia="宋体" w:cs="宋体"/>
          <w:sz w:val="23"/>
          <w:szCs w:val="23"/>
          <w:lang w:val="en-US" w:eastAsia="zh-CN"/>
        </w:rPr>
        <w:t>7</w:t>
      </w:r>
    </w:p>
    <w:p>
      <w:pPr>
        <w:jc w:val="both"/>
        <w:rPr>
          <w:color w:val="000000" w:themeColor="text1"/>
          <w14:textFill>
            <w14:solidFill>
              <w14:schemeClr w14:val="tx1"/>
            </w14:solidFill>
          </w14:textFill>
        </w:rPr>
      </w:pPr>
    </w:p>
    <w:p>
      <w:pPr>
        <w:pStyle w:val="2"/>
        <w:sectPr>
          <w:footerReference r:id="rId4" w:type="default"/>
          <w:pgSz w:w="11906" w:h="16839"/>
          <w:pgMar w:top="1418" w:right="1559" w:bottom="1418" w:left="1474" w:header="0" w:footer="0" w:gutter="0"/>
          <w:cols w:space="720" w:num="1"/>
        </w:sectPr>
      </w:pPr>
    </w:p>
    <w:p>
      <w:pPr>
        <w:spacing w:line="245" w:lineRule="auto"/>
        <w:jc w:val="both"/>
        <w:rPr>
          <w:color w:val="000000" w:themeColor="text1"/>
          <w14:textFill>
            <w14:solidFill>
              <w14:schemeClr w14:val="tx1"/>
            </w14:solidFill>
          </w14:textFill>
        </w:rPr>
      </w:pPr>
    </w:p>
    <w:p>
      <w:pPr>
        <w:spacing w:before="101" w:line="224" w:lineRule="auto"/>
        <w:ind w:left="3173"/>
        <w:jc w:val="both"/>
        <w:outlineLvl w:val="0"/>
        <w:rPr>
          <w:rFonts w:ascii="宋体" w:hAnsi="宋体" w:eastAsia="宋体" w:cs="宋体"/>
          <w:color w:val="000000" w:themeColor="text1"/>
          <w:sz w:val="31"/>
          <w:szCs w:val="31"/>
          <w14:textFill>
            <w14:solidFill>
              <w14:schemeClr w14:val="tx1"/>
            </w14:solidFill>
          </w14:textFill>
        </w:rPr>
      </w:pPr>
      <w:bookmarkStart w:id="0" w:name="_bookmark1"/>
      <w:bookmarkEnd w:id="0"/>
      <w:r>
        <w:rPr>
          <w:rFonts w:ascii="宋体" w:hAnsi="宋体" w:eastAsia="宋体" w:cs="宋体"/>
          <w:color w:val="000000" w:themeColor="text1"/>
          <w:sz w:val="31"/>
          <w:szCs w:val="31"/>
          <w14:textOutline w14:w="5791" w14:cap="sq" w14:cmpd="sng" w14:algn="ctr">
            <w14:solidFill>
              <w14:srgbClr w14:val="000000"/>
            </w14:solidFill>
            <w14:prstDash w14:val="solid"/>
            <w14:bevel/>
          </w14:textOutline>
          <w14:textFill>
            <w14:solidFill>
              <w14:schemeClr w14:val="tx1"/>
            </w14:solidFill>
          </w14:textFill>
        </w:rPr>
        <w:t>第一章招标公告</w:t>
      </w:r>
    </w:p>
    <w:p>
      <w:pPr>
        <w:spacing w:before="125" w:line="353" w:lineRule="auto"/>
        <w:ind w:left="10" w:right="65" w:firstLine="497"/>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项目编号：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诸货招-2024-1</w:t>
      </w:r>
      <w:r>
        <w:rPr>
          <w:rFonts w:hint="eastAsia" w:ascii="宋体" w:hAnsi="宋体" w:eastAsia="宋体" w:cs="宋体"/>
          <w:color w:val="000000" w:themeColor="text1"/>
          <w:u w:val="single"/>
          <w14:textFill>
            <w14:solidFill>
              <w14:schemeClr w14:val="tx1"/>
            </w14:solidFill>
          </w14:textFill>
        </w:rPr>
        <w:t xml:space="preserve"> </w:t>
      </w:r>
    </w:p>
    <w:p>
      <w:pPr>
        <w:spacing w:line="253" w:lineRule="auto"/>
        <w:jc w:val="both"/>
        <w:rPr>
          <w:color w:val="000000" w:themeColor="text1"/>
          <w14:textFill>
            <w14:solidFill>
              <w14:schemeClr w14:val="tx1"/>
            </w14:solidFill>
          </w14:textFill>
        </w:rPr>
      </w:pPr>
    </w:p>
    <w:p>
      <w:pPr>
        <w:spacing w:line="380" w:lineRule="exact"/>
        <w:ind w:firstLine="420" w:firstLineChars="200"/>
        <w:rPr>
          <w:rFonts w:ascii="宋体" w:hAnsi="宋体" w:eastAsia="宋体" w:cs="宋体"/>
          <w:color w:val="000000" w:themeColor="text1"/>
          <w:position w:val="2"/>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本次招标项目</w:t>
      </w:r>
      <w:r>
        <w:rPr>
          <w:rFonts w:hint="eastAsia" w:ascii="宋体" w:hAnsi="宋体" w:eastAsia="宋体" w:cs="宋体"/>
          <w:i/>
          <w:iCs/>
          <w:color w:val="000000" w:themeColor="text1"/>
          <w:u w:val="single"/>
          <w14:textFill>
            <w14:solidFill>
              <w14:schemeClr w14:val="tx1"/>
            </w14:solidFill>
          </w14:textFill>
        </w:rPr>
        <w:t>诸暨市人民医院二期建设工程—医疗综合体扩改建工程电梯设备采购及安装项目</w:t>
      </w:r>
      <w:r>
        <w:rPr>
          <w:rFonts w:hint="eastAsia" w:ascii="宋体" w:hAnsi="宋体" w:eastAsia="宋体" w:cs="宋体"/>
          <w:color w:val="000000" w:themeColor="text1"/>
          <w:u w:val="single"/>
          <w14:textFill>
            <w14:solidFill>
              <w14:schemeClr w14:val="tx1"/>
            </w14:solidFill>
          </w14:textFill>
        </w:rPr>
        <w:t>（项目名称），已由</w:t>
      </w:r>
      <w:r>
        <w:rPr>
          <w:rFonts w:hint="eastAsia" w:ascii="宋体" w:hAnsi="宋体" w:eastAsia="宋体" w:cs="宋体"/>
          <w:i/>
          <w:iCs/>
          <w:color w:val="000000" w:themeColor="text1"/>
          <w:u w:val="single"/>
          <w14:textFill>
            <w14:solidFill>
              <w14:schemeClr w14:val="tx1"/>
            </w14:solidFill>
          </w14:textFill>
        </w:rPr>
        <w:t>诸暨市发展和改革局</w:t>
      </w:r>
      <w:r>
        <w:rPr>
          <w:rFonts w:hint="eastAsia" w:ascii="宋体" w:hAnsi="宋体" w:eastAsia="宋体" w:cs="宋体"/>
          <w:color w:val="000000" w:themeColor="text1"/>
          <w:u w:val="single"/>
          <w14:textFill>
            <w14:solidFill>
              <w14:schemeClr w14:val="tx1"/>
            </w14:solidFill>
          </w14:textFill>
        </w:rPr>
        <w:t>（项目审批、核准或备案机关名称）以</w:t>
      </w:r>
      <w:r>
        <w:rPr>
          <w:rFonts w:hint="eastAsia" w:ascii="宋体" w:hAnsi="宋体" w:eastAsia="宋体" w:cs="宋体"/>
          <w:i/>
          <w:iCs/>
          <w:color w:val="000000" w:themeColor="text1"/>
          <w:u w:val="single"/>
          <w14:textFill>
            <w14:solidFill>
              <w14:schemeClr w14:val="tx1"/>
            </w14:solidFill>
          </w14:textFill>
        </w:rPr>
        <w:t>2202-330681-04-01-590846</w:t>
      </w:r>
      <w:r>
        <w:rPr>
          <w:rFonts w:hint="eastAsia" w:ascii="宋体" w:hAnsi="宋体" w:eastAsia="宋体" w:cs="宋体"/>
          <w:color w:val="000000" w:themeColor="text1"/>
          <w:u w:val="single"/>
          <w14:textFill>
            <w14:solidFill>
              <w14:schemeClr w14:val="tx1"/>
            </w14:solidFill>
          </w14:textFill>
        </w:rPr>
        <w:t>（批文名称及编号）批准建设，项目业主为</w:t>
      </w:r>
      <w:r>
        <w:rPr>
          <w:rFonts w:hint="eastAsia" w:ascii="宋体" w:hAnsi="宋体" w:eastAsia="宋体" w:cs="宋体"/>
          <w:i/>
          <w:iCs/>
          <w:color w:val="000000" w:themeColor="text1"/>
          <w:u w:val="single"/>
          <w14:textFill>
            <w14:solidFill>
              <w14:schemeClr w14:val="tx1"/>
            </w14:solidFill>
          </w14:textFill>
        </w:rPr>
        <w:t>诸暨市人民医院</w:t>
      </w:r>
      <w:r>
        <w:rPr>
          <w:rFonts w:hint="eastAsia" w:ascii="宋体" w:hAnsi="宋体" w:eastAsia="宋体" w:cs="宋体"/>
          <w:color w:val="000000" w:themeColor="text1"/>
          <w:u w:val="single"/>
          <w14:textFill>
            <w14:solidFill>
              <w14:schemeClr w14:val="tx1"/>
            </w14:solidFill>
          </w14:textFill>
        </w:rPr>
        <w:t>，建设资金</w:t>
      </w:r>
      <w:r>
        <w:rPr>
          <w:rFonts w:hint="eastAsia" w:ascii="宋体" w:hAnsi="宋体" w:eastAsia="宋体" w:cs="宋体"/>
          <w:i/>
          <w:iCs/>
          <w:color w:val="000000" w:themeColor="text1"/>
          <w:u w:val="single"/>
          <w14:textFill>
            <w14:solidFill>
              <w14:schemeClr w14:val="tx1"/>
            </w14:solidFill>
          </w14:textFill>
        </w:rPr>
        <w:t>来自财政拨款</w:t>
      </w:r>
      <w:r>
        <w:rPr>
          <w:rFonts w:hint="eastAsia" w:ascii="宋体" w:hAnsi="宋体" w:eastAsia="宋体" w:cs="宋体"/>
          <w:color w:val="000000" w:themeColor="text1"/>
          <w:u w:val="single"/>
          <w14:textFill>
            <w14:solidFill>
              <w14:schemeClr w14:val="tx1"/>
            </w14:solidFill>
          </w14:textFill>
        </w:rPr>
        <w:t>（资金来源），招标人为</w:t>
      </w:r>
      <w:r>
        <w:rPr>
          <w:rFonts w:hint="eastAsia" w:ascii="宋体" w:hAnsi="宋体" w:eastAsia="宋体" w:cs="宋体"/>
          <w:i/>
          <w:iCs/>
          <w:color w:val="000000" w:themeColor="text1"/>
          <w:u w:val="single"/>
          <w14:textFill>
            <w14:solidFill>
              <w14:schemeClr w14:val="tx1"/>
            </w14:solidFill>
          </w14:textFill>
        </w:rPr>
        <w:t>诸暨市人民医院</w:t>
      </w:r>
      <w:r>
        <w:rPr>
          <w:rFonts w:hint="eastAsia" w:ascii="宋体" w:hAnsi="宋体" w:eastAsia="宋体" w:cs="宋体"/>
          <w:color w:val="000000" w:themeColor="text1"/>
          <w:u w:val="single"/>
          <w14:textFill>
            <w14:solidFill>
              <w14:schemeClr w14:val="tx1"/>
            </w14:solidFill>
          </w14:textFill>
        </w:rPr>
        <w:t xml:space="preserve">。项目已具备招标条件，现对该项目的 </w:t>
      </w:r>
      <w:r>
        <w:rPr>
          <w:rFonts w:hint="eastAsia" w:ascii="宋体" w:hAnsi="宋体" w:eastAsia="宋体" w:cs="宋体"/>
          <w:i/>
          <w:iCs/>
          <w:color w:val="000000" w:themeColor="text1"/>
          <w:u w:val="single"/>
          <w14:textFill>
            <w14:solidFill>
              <w14:schemeClr w14:val="tx1"/>
            </w14:solidFill>
          </w14:textFill>
        </w:rPr>
        <w:t>电梯设备</w:t>
      </w:r>
      <w:r>
        <w:rPr>
          <w:rFonts w:hint="eastAsia" w:ascii="宋体" w:hAnsi="宋体" w:eastAsia="宋体" w:cs="宋体"/>
          <w:color w:val="000000" w:themeColor="text1"/>
          <w:u w:val="single"/>
          <w14:textFill>
            <w14:solidFill>
              <w14:schemeClr w14:val="tx1"/>
            </w14:solidFill>
          </w14:textFill>
        </w:rPr>
        <w:t xml:space="preserve"> 货物进行公开招标</w:t>
      </w:r>
    </w:p>
    <w:p>
      <w:pPr>
        <w:spacing w:line="380" w:lineRule="exact"/>
        <w:ind w:left="493"/>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position w:val="2"/>
          <w14:textOutline w14:w="4356" w14:cap="sq" w14:cmpd="sng" w14:algn="ctr">
            <w14:solidFill>
              <w14:srgbClr w14:val="000000"/>
            </w14:solidFill>
            <w14:prstDash w14:val="solid"/>
            <w14:bevel/>
          </w14:textOutline>
          <w14:textFill>
            <w14:solidFill>
              <w14:schemeClr w14:val="tx1"/>
            </w14:solidFill>
          </w14:textFill>
        </w:rPr>
        <w:t>一、本次招标内容</w:t>
      </w:r>
    </w:p>
    <w:p>
      <w:pPr>
        <w:tabs>
          <w:tab w:val="left" w:pos="3725"/>
        </w:tabs>
        <w:spacing w:before="43" w:line="380" w:lineRule="exact"/>
        <w:ind w:left="1" w:firstLine="420" w:firstLineChars="20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1、建设地点：诸暨市人民医院二期建设工程—医疗综合体扩改建工程位于诸暨市陶朱街道健民路9号，南邻健民路，西邻仁爱路，北侧为自然山体绿化。交货地点为诸暨市人民医院二期建设工程—医疗综合体扩改建工程施工现场。</w:t>
      </w:r>
    </w:p>
    <w:p>
      <w:pPr>
        <w:tabs>
          <w:tab w:val="left" w:pos="3725"/>
        </w:tabs>
        <w:spacing w:before="43" w:line="380" w:lineRule="exact"/>
        <w:ind w:left="1" w:firstLine="420" w:firstLineChars="20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2、招标范围及内容：本次招标范围为诸暨市人民医院二期建设工程—医疗综合体扩改建工程范围内的电梯设备采购及安装。主要招标内容为：医疗综合楼27部垂直电梯、2部扶梯，发热门诊楼4部垂直电梯，共计31部垂直电梯、2部扶梯。主要工作内容包含：电梯的设计、制造、仓储、运输、二次搬运、装卸、安装、调试、检测检验、委托监检、成品保护、权威部门验收、培训、交付使用、售后服务，以及向招标人提供全过程形成的图纸、记录、档案资料、质保期内的维保服务和其他相关服务等，即交钥匙项目。</w:t>
      </w:r>
    </w:p>
    <w:p>
      <w:pPr>
        <w:tabs>
          <w:tab w:val="left" w:pos="3725"/>
        </w:tabs>
        <w:spacing w:before="43" w:line="380" w:lineRule="exact"/>
        <w:ind w:left="1" w:firstLine="420" w:firstLineChars="20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3、交货期：交货期不超过 100 个日历天（交货期自接到招标人供货书面通知之日起算），到货后不超过 100 个日历天内完成安装、调试并通过当地特种设备检测机构验收。</w:t>
      </w:r>
    </w:p>
    <w:p>
      <w:pPr>
        <w:tabs>
          <w:tab w:val="left" w:pos="3725"/>
        </w:tabs>
        <w:spacing w:before="43" w:line="380" w:lineRule="exact"/>
        <w:ind w:left="1" w:firstLine="420" w:firstLineChars="20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4、质量要求：符合《电梯工程施工质量验收规范》及相关专业质量验收规范。</w:t>
      </w:r>
    </w:p>
    <w:p>
      <w:pPr>
        <w:tabs>
          <w:tab w:val="left" w:pos="3725"/>
        </w:tabs>
        <w:spacing w:before="43" w:line="380" w:lineRule="exact"/>
        <w:ind w:left="1" w:firstLine="420" w:firstLineChars="20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本次招标范围内的工程□估算(或</w:t>
      </w: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概算)造价</w:t>
      </w:r>
      <w:r>
        <w:rPr>
          <w:rFonts w:hint="eastAsia" w:ascii="宋体" w:hAnsi="宋体" w:eastAsia="宋体" w:cs="宋体"/>
          <w:i/>
          <w:iCs/>
          <w:color w:val="000000" w:themeColor="text1"/>
          <w:u w:val="single"/>
          <w14:textFill>
            <w14:solidFill>
              <w14:schemeClr w14:val="tx1"/>
            </w14:solidFill>
          </w14:textFill>
        </w:rPr>
        <w:t xml:space="preserve"> 118</w:t>
      </w:r>
      <w:r>
        <w:rPr>
          <w:rFonts w:hint="eastAsia" w:ascii="宋体" w:hAnsi="宋体" w:eastAsia="宋体" w:cs="宋体"/>
          <w:i/>
          <w:iCs/>
          <w:color w:val="000000" w:themeColor="text1"/>
          <w:u w:val="single"/>
          <w:lang w:val="en-US" w:eastAsia="zh-CN"/>
          <w14:textFill>
            <w14:solidFill>
              <w14:schemeClr w14:val="tx1"/>
            </w14:solidFill>
          </w14:textFill>
        </w:rPr>
        <w:t>6</w:t>
      </w:r>
      <w:r>
        <w:rPr>
          <w:rFonts w:hint="eastAsia" w:ascii="宋体" w:hAnsi="宋体" w:eastAsia="宋体" w:cs="宋体"/>
          <w:i/>
          <w:iCs/>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万元，</w:t>
      </w:r>
      <w:r>
        <w:rPr>
          <w:rFonts w:hint="eastAsia" w:ascii="宋体" w:hAnsi="宋体" w:eastAsia="宋体" w:cs="宋体"/>
          <w:color w:val="000000" w:themeColor="text1"/>
          <w14:textFill>
            <w14:solidFill>
              <w14:schemeClr w14:val="tx1"/>
            </w14:solidFill>
          </w14:textFill>
        </w:rPr>
        <w:t>本项目最高限价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i/>
          <w:iCs/>
          <w:color w:val="000000" w:themeColor="text1"/>
          <w:highlight w:val="none"/>
          <w:u w:val="single"/>
          <w14:textFill>
            <w14:solidFill>
              <w14:schemeClr w14:val="tx1"/>
            </w14:solidFill>
          </w14:textFill>
        </w:rPr>
        <w:t>11</w:t>
      </w:r>
      <w:r>
        <w:rPr>
          <w:rFonts w:hint="eastAsia" w:ascii="宋体" w:hAnsi="宋体" w:eastAsia="宋体" w:cs="宋体"/>
          <w:i/>
          <w:iCs/>
          <w:color w:val="000000" w:themeColor="text1"/>
          <w:highlight w:val="none"/>
          <w:u w:val="single"/>
          <w:lang w:val="en-US" w:eastAsia="zh-CN"/>
          <w14:textFill>
            <w14:solidFill>
              <w14:schemeClr w14:val="tx1"/>
            </w14:solidFill>
          </w14:textFill>
        </w:rPr>
        <w:t>70</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w:t>
      </w:r>
      <w:r>
        <w:rPr>
          <w:rFonts w:hint="eastAsia" w:ascii="宋体" w:hAnsi="宋体" w:eastAsia="宋体" w:cs="宋体"/>
          <w:color w:val="000000" w:themeColor="text1"/>
          <w14:textFill>
            <w14:solidFill>
              <w14:schemeClr w14:val="tx1"/>
            </w14:solidFill>
          </w14:textFill>
        </w:rPr>
        <w:t>元，</w:t>
      </w:r>
      <w:r>
        <w:rPr>
          <w:rFonts w:ascii="宋体" w:hAnsi="宋体" w:eastAsia="宋体" w:cs="宋体"/>
          <w:color w:val="000000" w:themeColor="text1"/>
          <w14:textFill>
            <w14:solidFill>
              <w14:schemeClr w14:val="tx1"/>
            </w14:solidFill>
          </w14:textFill>
        </w:rPr>
        <w:t>采用投标资格后审方式招标。</w:t>
      </w:r>
    </w:p>
    <w:p>
      <w:pPr>
        <w:spacing w:line="380" w:lineRule="exact"/>
        <w:ind w:left="493"/>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position w:val="1"/>
          <w14:textOutline w14:w="4356" w14:cap="sq" w14:cmpd="sng" w14:algn="ctr">
            <w14:solidFill>
              <w14:srgbClr w14:val="000000"/>
            </w14:solidFill>
            <w14:prstDash w14:val="solid"/>
            <w14:bevel/>
          </w14:textOutline>
          <w14:textFill>
            <w14:solidFill>
              <w14:schemeClr w14:val="tx1"/>
            </w14:solidFill>
          </w14:textFill>
        </w:rPr>
        <w:t>二、投标资格条件、要求</w:t>
      </w:r>
    </w:p>
    <w:p>
      <w:pPr>
        <w:spacing w:before="125" w:line="380" w:lineRule="exact"/>
        <w:ind w:left="10" w:right="65" w:firstLine="497"/>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投标人（和项目负责人）自</w:t>
      </w:r>
      <w:r>
        <w:rPr>
          <w:rFonts w:hint="eastAsia" w:ascii="宋体" w:hAnsi="宋体" w:eastAsia="宋体" w:cs="宋体"/>
          <w:i/>
          <w:iCs/>
          <w:color w:val="000000" w:themeColor="text1"/>
          <w:u w:val="single"/>
          <w14:textFill>
            <w14:solidFill>
              <w14:schemeClr w14:val="tx1"/>
            </w14:solidFill>
          </w14:textFill>
        </w:rPr>
        <w:t xml:space="preserve"> 2021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i/>
          <w:iCs/>
          <w:color w:val="000000" w:themeColor="text1"/>
          <w:u w:val="single"/>
          <w14:textFill>
            <w14:solidFill>
              <w14:schemeClr w14:val="tx1"/>
            </w14:solidFill>
          </w14:textFill>
        </w:rPr>
        <w:t xml:space="preserve"> 1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i/>
          <w:iCs/>
          <w:color w:val="000000" w:themeColor="text1"/>
          <w:u w:val="single"/>
          <w14:textFill>
            <w14:solidFill>
              <w14:schemeClr w14:val="tx1"/>
            </w14:solidFill>
          </w14:textFill>
        </w:rPr>
        <w:t xml:space="preserve"> 1 </w:t>
      </w:r>
      <w:r>
        <w:rPr>
          <w:rFonts w:hint="eastAsia" w:ascii="宋体" w:hAnsi="宋体" w:eastAsia="宋体" w:cs="宋体"/>
          <w:color w:val="000000" w:themeColor="text1"/>
          <w14:textFill>
            <w14:solidFill>
              <w14:schemeClr w14:val="tx1"/>
            </w14:solidFill>
          </w14:textFill>
        </w:rPr>
        <w:t>日起至投标截止日无行贿犯罪记录（以在中国裁判文书网查询的结果为准）</w:t>
      </w:r>
      <w:r>
        <w:rPr>
          <w:rFonts w:ascii="宋体" w:hAnsi="宋体" w:eastAsia="宋体" w:cs="宋体"/>
          <w:color w:val="000000" w:themeColor="text1"/>
          <w14:textFill>
            <w14:solidFill>
              <w14:schemeClr w14:val="tx1"/>
            </w14:solidFill>
          </w14:textFill>
        </w:rPr>
        <w:t>；</w:t>
      </w:r>
    </w:p>
    <w:p>
      <w:pPr>
        <w:spacing w:before="1" w:line="380" w:lineRule="exact"/>
        <w:ind w:left="15" w:right="154" w:firstLine="498"/>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2.投标人未被列入招标投标失信黑名单(</w:t>
      </w:r>
      <w:r>
        <w:rPr>
          <w:rFonts w:ascii="宋体" w:hAnsi="宋体"/>
          <w:color w:val="000000" w:themeColor="text1"/>
          <w14:textFill>
            <w14:solidFill>
              <w14:schemeClr w14:val="tx1"/>
            </w14:solidFill>
          </w14:textFill>
        </w:rPr>
        <w:t>以省级及以上发展改革行政主管部门公布的披露期内的失信黑名单为准</w:t>
      </w:r>
      <w:r>
        <w:rPr>
          <w:rFonts w:ascii="宋体" w:hAnsi="宋体" w:eastAsia="宋体" w:cs="宋体"/>
          <w:color w:val="000000" w:themeColor="text1"/>
          <w14:textFill>
            <w14:solidFill>
              <w14:schemeClr w14:val="tx1"/>
            </w14:solidFill>
          </w14:textFill>
        </w:rPr>
        <w:t>)；</w:t>
      </w:r>
    </w:p>
    <w:p>
      <w:pPr>
        <w:kinsoku/>
        <w:wordWrap w:val="0"/>
        <w:topLinePunct/>
        <w:spacing w:before="1" w:line="380" w:lineRule="exact"/>
        <w:ind w:left="4" w:firstLine="509"/>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i/>
          <w:iCs/>
          <w:color w:val="000000" w:themeColor="text1"/>
          <w:u w:val="single"/>
          <w14:textFill>
            <w14:solidFill>
              <w14:schemeClr w14:val="tx1"/>
            </w14:solidFill>
          </w14:textFill>
        </w:rPr>
        <w:t>（1）投标人须具备电梯的制造和安装能力，具体要求如下：</w:t>
      </w:r>
    </w:p>
    <w:p>
      <w:pPr>
        <w:kinsoku/>
        <w:wordWrap w:val="0"/>
        <w:topLinePunct/>
        <w:spacing w:before="1" w:line="380" w:lineRule="exact"/>
        <w:ind w:left="4" w:firstLine="509"/>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①如投标人为投标产品制造商的，应提供《中华人民共和国特种设备生产许可证》【许可项目涵盖：电梯制造（含安装、修理、改造）；许可子项目涵盖：曳引驱动乘客电梯（含消防员电梯）、自动扶梯与自动人行道】；</w:t>
      </w:r>
    </w:p>
    <w:p>
      <w:pPr>
        <w:kinsoku/>
        <w:wordWrap w:val="0"/>
        <w:topLinePunct/>
        <w:spacing w:before="1" w:line="380" w:lineRule="exact"/>
        <w:ind w:left="4" w:firstLine="509"/>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②如投标人为经销商的，应提供投标产品制造商的《中华人民共和国特种设备生产许可证》【许可项目涵盖：电梯制造（含安装、修理、改造）；许可子项目涵盖：曳引驱动乘客电梯（含消防员电梯）、自动扶梯与自动人行道】；同时，提供投标人的《中华人民共和国特种设备生产许可证》【许可项目涵盖：电梯制造（含安装、修理、改造）或电梯安装（含修理）；许可子项目涵盖：曳引驱动乘客电梯（含消防员电梯）、自动扶梯与自动人行道】；</w:t>
      </w:r>
    </w:p>
    <w:p>
      <w:pPr>
        <w:kinsoku/>
        <w:wordWrap w:val="0"/>
        <w:topLinePunct/>
        <w:spacing w:before="1" w:line="380" w:lineRule="exact"/>
        <w:ind w:left="4" w:firstLine="509"/>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③如投标人为联合体投标的，应提供投标产品制造商的《中华人民共和国特种设备生产许可证》【许可项目涵盖：电梯制造（含安装、修理、改造）；许可子项目涵盖：曳引驱动乘客电梯（含消防员电梯）、自动扶梯与自动人行道】；同时，提供联合体负责安装维保成员的《中华人民共和国特种设备生产许可证》【许可项目涵盖：电梯制造（含安装、修理、改造）或电梯安装（含修理）；许可子项目涵盖：曳引驱动乘客电梯（含消防员电梯）、自动扶梯与自动人行道】。</w:t>
      </w:r>
    </w:p>
    <w:p>
      <w:pPr>
        <w:kinsoku/>
        <w:wordWrap w:val="0"/>
        <w:topLinePunct/>
        <w:spacing w:before="1" w:line="380" w:lineRule="exact"/>
        <w:ind w:left="4" w:firstLine="509"/>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注：上述证件均为按《市场监管总局关于特种设备行政许可有关事项的公告》（2021年第41号）所换的新证，若投标人尚未换取新证，须提供老证（老证尚未取消且在有效期内）。以上提供的证书均需在有效期内，且均需提供原件复印件并加盖证书持有单位公章及投标人公章（投标人为证书持有单位的，可只盖投标人公章）。</w:t>
      </w:r>
    </w:p>
    <w:p>
      <w:pPr>
        <w:kinsoku/>
        <w:wordWrap w:val="0"/>
        <w:topLinePunct/>
        <w:spacing w:before="1" w:line="380" w:lineRule="exact"/>
        <w:ind w:left="4" w:firstLine="509"/>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（2）一个制造商对同一品牌同一型号的设备，仅能委托一个代理商参加投标。代理商投标的，提供投标电梯品牌制造商唯一授权书。</w:t>
      </w:r>
    </w:p>
    <w:p>
      <w:pPr>
        <w:kinsoku/>
        <w:wordWrap w:val="0"/>
        <w:topLinePunct/>
        <w:spacing w:before="1" w:line="380" w:lineRule="exact"/>
        <w:ind w:left="4" w:firstLine="509"/>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（3）投标人不得存在进入清算程序或被宣告破产，或其他丧失履约能力的情形。提供承诺函。</w:t>
      </w:r>
    </w:p>
    <w:p>
      <w:pPr>
        <w:spacing w:before="2" w:line="380" w:lineRule="exact"/>
        <w:ind w:left="14" w:right="63" w:firstLine="474"/>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4.本</w:t>
      </w:r>
      <w:r>
        <w:rPr>
          <w:rFonts w:ascii="宋体" w:hAnsi="宋体" w:eastAsia="宋体" w:cs="宋体"/>
          <w:color w:val="000000" w:themeColor="text1"/>
          <w14:textFill>
            <w14:solidFill>
              <w14:schemeClr w14:val="tx1"/>
            </w14:solidFill>
          </w14:textFill>
        </w:rPr>
        <w:t>次招标(</w:t>
      </w: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接受□不接受)联合体投标，联合体投标的，应满足下列要求：</w:t>
      </w:r>
      <w:r>
        <w:rPr>
          <w:rFonts w:hint="eastAsia" w:ascii="宋体" w:hAnsi="宋体" w:eastAsia="宋体" w:cs="宋体"/>
          <w:i/>
          <w:iCs/>
          <w:color w:val="000000" w:themeColor="text1"/>
          <w:u w:val="single"/>
          <w14:textFill>
            <w14:solidFill>
              <w14:schemeClr w14:val="tx1"/>
            </w14:solidFill>
          </w14:textFill>
        </w:rPr>
        <w:t>联合体成员应全部满足上述第1条和第3条规定的资格要求。同时，联合体还应当符合国家有关法律、法规、规章及项目所在地有关联合体投标的规定，包括：《中华人民共和国招标投标法》第三十一条、《中华人民共和国招标投标法实施条例》第三十七条、《工程建设项目货物招标投标办法》（七部委27号令）第三十八条以及投标人须知1.4.2和1.4.3等的规定。</w:t>
      </w:r>
    </w:p>
    <w:p>
      <w:pPr>
        <w:spacing w:before="2" w:line="380" w:lineRule="exact"/>
        <w:ind w:left="14" w:right="63" w:firstLine="474"/>
        <w:jc w:val="both"/>
        <w:rPr>
          <w:rFonts w:ascii="宋体" w:hAnsi="宋体" w:eastAsia="宋体" w:cs="宋体"/>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5、投标人须提供所投电梯品牌生产制造商（或经销商）自2020年1月1日以来，具有单个合同金额在600万元及以上的医院电梯项目业绩，投标文件中提供合同复印件，时间以合同签订时间为准，金额以合同中载明金额为准。</w:t>
      </w:r>
    </w:p>
    <w:p>
      <w:pPr>
        <w:spacing w:line="380" w:lineRule="exact"/>
        <w:ind w:left="9" w:right="65" w:firstLine="485"/>
        <w:jc w:val="both"/>
        <w:rPr>
          <w:rFonts w:ascii="宋体" w:hAnsi="宋体" w:eastAsia="宋体" w:cs="宋体"/>
          <w:color w:val="000000" w:themeColor="text1"/>
          <w:u w:val="single"/>
          <w14:textFill>
            <w14:solidFill>
              <w14:schemeClr w14:val="tx1"/>
            </w14:solidFill>
          </w14:textFill>
        </w:rPr>
      </w:pPr>
      <w:r>
        <w:rPr>
          <w:rFonts w:hint="eastAsia" w:ascii="宋体" w:hAnsi="宋体" w:eastAsia="宋体" w:cs="宋体"/>
          <w:strike/>
          <w:color w:val="000000" w:themeColor="text1"/>
          <w:u w:val="single"/>
          <w14:textFill>
            <w14:solidFill>
              <w14:schemeClr w14:val="tx1"/>
            </w14:solidFill>
          </w14:textFill>
        </w:rPr>
        <w:t>5.企业完成绍兴市工程建设项目招投标统一市场主体库注册登记；</w:t>
      </w:r>
    </w:p>
    <w:p>
      <w:pPr>
        <w:spacing w:line="380" w:lineRule="exact"/>
        <w:ind w:left="49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position w:val="1"/>
          <w14:textOutline w14:w="4356" w14:cap="sq" w14:cmpd="sng" w14:algn="ctr">
            <w14:solidFill>
              <w14:srgbClr w14:val="000000"/>
            </w14:solidFill>
            <w14:prstDash w14:val="solid"/>
            <w14:bevel/>
          </w14:textOutline>
          <w14:textFill>
            <w14:solidFill>
              <w14:schemeClr w14:val="tx1"/>
            </w14:solidFill>
          </w14:textFill>
        </w:rPr>
        <w:t>三、招标文件的获取</w:t>
      </w:r>
    </w:p>
    <w:p>
      <w:pPr>
        <w:spacing w:line="380" w:lineRule="exact"/>
        <w:ind w:right="-58" w:firstLine="42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潜在投标人登录诸暨市公共资源电子交易平台（</w:t>
      </w:r>
      <w:r>
        <w:rPr>
          <w:rFonts w:hint="eastAsia" w:ascii="宋体" w:hAnsi="宋体"/>
          <w:i/>
          <w:iCs/>
          <w:u w:val="single"/>
        </w:rPr>
        <w:t>https://www.zhuji.gov.cn/col/col1388385/</w:t>
      </w:r>
      <w:r>
        <w:rPr>
          <w:rFonts w:hint="eastAsia" w:ascii="宋体" w:hAnsi="宋体" w:eastAsia="宋体" w:cs="宋体"/>
          <w:color w:val="000000" w:themeColor="text1"/>
          <w14:textFill>
            <w14:solidFill>
              <w14:schemeClr w14:val="tx1"/>
            </w14:solidFill>
          </w14:textFill>
        </w:rPr>
        <w:t>）自行下载招标文件。本项目招标文件和补充(答疑、澄清)、修改文件均以网上下载方式发放。</w:t>
      </w:r>
    </w:p>
    <w:p>
      <w:pPr>
        <w:spacing w:line="380" w:lineRule="exact"/>
        <w:ind w:left="501"/>
        <w:jc w:val="both"/>
        <w:rPr>
          <w:rFonts w:ascii="宋体" w:hAnsi="宋体" w:eastAsia="宋体" w:cs="宋体"/>
          <w:color w:val="000000" w:themeColor="text1"/>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14:textOutline w14:w="4356" w14:cap="sq" w14:cmpd="sng" w14:algn="ctr">
            <w14:solidFill>
              <w14:srgbClr w14:val="000000"/>
            </w14:solidFill>
            <w14:prstDash w14:val="solid"/>
            <w14:bevel/>
          </w14:textOutline>
          <w14:textFill>
            <w14:solidFill>
              <w14:schemeClr w14:val="tx1"/>
            </w14:solidFill>
          </w14:textFill>
        </w:rPr>
        <w:t>四、投标保证金</w:t>
      </w:r>
    </w:p>
    <w:p>
      <w:pPr>
        <w:widowControl w:val="0"/>
        <w:kinsoku/>
        <w:autoSpaceDE/>
        <w:autoSpaceDN/>
        <w:adjustRightInd/>
        <w:snapToGrid/>
        <w:spacing w:line="380" w:lineRule="exact"/>
        <w:ind w:firstLine="369" w:firstLineChars="176"/>
        <w:jc w:val="both"/>
        <w:textAlignment w:val="auto"/>
        <w:rPr>
          <w:rFonts w:ascii="宋体" w:hAnsi="宋体" w:eastAsia="宋体" w:cs="Times New Roman"/>
          <w:b/>
          <w:bCs/>
          <w:snapToGrid/>
          <w:color w:val="000000" w:themeColor="text1"/>
          <w:kern w:val="2"/>
          <w14:textFill>
            <w14:solidFill>
              <w14:schemeClr w14:val="tx1"/>
            </w14:solidFill>
          </w14:textFill>
        </w:rPr>
      </w:pPr>
      <w:r>
        <w:rPr>
          <w:rFonts w:hint="eastAsia" w:ascii="Times New Roman" w:hAnsi="Times New Roman" w:eastAsia="宋体" w:cs="Times New Roman"/>
          <w:snapToGrid/>
          <w:color w:val="000000" w:themeColor="text1"/>
          <w:kern w:val="2"/>
          <w14:textFill>
            <w14:solidFill>
              <w14:schemeClr w14:val="tx1"/>
            </w14:solidFill>
          </w14:textFill>
        </w:rPr>
        <w:t>1金额：</w:t>
      </w:r>
    </w:p>
    <w:p>
      <w:pPr>
        <w:widowControl w:val="0"/>
        <w:kinsoku/>
        <w:autoSpaceDE/>
        <w:autoSpaceDN/>
        <w:adjustRightInd/>
        <w:snapToGrid/>
        <w:spacing w:line="380" w:lineRule="exact"/>
        <w:ind w:firstLine="420" w:firstLineChars="200"/>
        <w:jc w:val="both"/>
        <w:textAlignment w:val="auto"/>
        <w:rPr>
          <w:rFonts w:ascii="Times New Roman" w:hAnsi="Times New Roman" w:eastAsia="宋体" w:cs="宋体"/>
          <w:snapToGrid/>
          <w:color w:val="000000" w:themeColor="text1"/>
          <w14:textFill>
            <w14:solidFill>
              <w14:schemeClr w14:val="tx1"/>
            </w14:solidFill>
          </w14:textFill>
        </w:rPr>
      </w:pPr>
      <w:r>
        <w:rPr>
          <w:rFonts w:hint="eastAsia" w:ascii="Times New Roman" w:hAnsi="Times New Roman" w:eastAsia="宋体" w:cs="宋体"/>
          <w:snapToGrid/>
          <w:color w:val="000000" w:themeColor="text1"/>
          <w14:textFill>
            <w14:solidFill>
              <w14:schemeClr w14:val="tx1"/>
            </w14:solidFill>
          </w14:textFill>
        </w:rPr>
        <w:t>☑本项目不缴纳投标保证金。</w:t>
      </w:r>
    </w:p>
    <w:p>
      <w:pPr>
        <w:widowControl w:val="0"/>
        <w:kinsoku/>
        <w:autoSpaceDE/>
        <w:autoSpaceDN/>
        <w:adjustRightInd/>
        <w:snapToGrid/>
        <w:spacing w:line="380" w:lineRule="exact"/>
        <w:ind w:firstLine="420" w:firstLineChars="200"/>
        <w:jc w:val="both"/>
        <w:textAlignment w:val="auto"/>
        <w:rPr>
          <w:rFonts w:ascii="Times New Roman" w:hAnsi="Times New Roman" w:eastAsia="宋体" w:cs="Times New Roman"/>
          <w:snapToGrid/>
          <w:color w:val="000000" w:themeColor="text1"/>
          <w:kern w:val="2"/>
          <w14:textFill>
            <w14:solidFill>
              <w14:schemeClr w14:val="tx1"/>
            </w14:solidFill>
          </w14:textFill>
        </w:rPr>
      </w:pPr>
      <w:r>
        <w:rPr>
          <w:rFonts w:hint="eastAsia" w:ascii="Times New Roman" w:hAnsi="Times New Roman" w:eastAsia="宋体" w:cs="宋体"/>
          <w:snapToGrid/>
          <w:color w:val="000000" w:themeColor="text1"/>
          <w14:textFill>
            <w14:solidFill>
              <w14:schemeClr w14:val="tx1"/>
            </w14:solidFill>
          </w14:textFill>
        </w:rPr>
        <w:t>□</w:t>
      </w:r>
      <w:r>
        <w:rPr>
          <w:rFonts w:hint="eastAsia" w:ascii="Times New Roman" w:hAnsi="Times New Roman" w:eastAsia="宋体" w:cs="Times New Roman"/>
          <w:snapToGrid/>
          <w:color w:val="000000" w:themeColor="text1"/>
          <w:kern w:val="2"/>
          <w14:textFill>
            <w14:solidFill>
              <w14:schemeClr w14:val="tx1"/>
            </w14:solidFill>
          </w14:textFill>
        </w:rPr>
        <w:t>本项目需缴纳投标保证金</w:t>
      </w:r>
      <w:r>
        <w:rPr>
          <w:rFonts w:hint="eastAsia" w:ascii="Times New Roman" w:hAnsi="Times New Roman" w:eastAsia="宋体" w:cs="Times New Roman"/>
          <w:snapToGrid/>
          <w:color w:val="000000" w:themeColor="text1"/>
          <w:kern w:val="2"/>
          <w:u w:val="single"/>
          <w14:textFill>
            <w14:solidFill>
              <w14:schemeClr w14:val="tx1"/>
            </w14:solidFill>
          </w14:textFill>
        </w:rPr>
        <w:t xml:space="preserve">  /  </w:t>
      </w:r>
      <w:r>
        <w:rPr>
          <w:rFonts w:hint="eastAsia" w:ascii="Times New Roman" w:hAnsi="Times New Roman" w:eastAsia="宋体" w:cs="Times New Roman"/>
          <w:snapToGrid/>
          <w:color w:val="000000" w:themeColor="text1"/>
          <w:kern w:val="2"/>
          <w14:textFill>
            <w14:solidFill>
              <w14:schemeClr w14:val="tx1"/>
            </w14:solidFill>
          </w14:textFill>
        </w:rPr>
        <w:t>万元，投标保证金在投标人自行获取招标文件后，在</w:t>
      </w:r>
      <w:r>
        <w:rPr>
          <w:rFonts w:hint="eastAsia" w:ascii="Times New Roman" w:hAnsi="Times New Roman" w:eastAsia="宋体" w:cs="Times New Roman"/>
          <w:b/>
          <w:bCs/>
          <w:snapToGrid/>
          <w:color w:val="000000" w:themeColor="text1"/>
          <w:kern w:val="2"/>
          <w14:textFill>
            <w14:solidFill>
              <w14:schemeClr w14:val="tx1"/>
            </w14:solidFill>
          </w14:textFill>
        </w:rPr>
        <w:t>投标文件递交截止时间</w:t>
      </w:r>
      <w:r>
        <w:rPr>
          <w:rFonts w:hint="eastAsia" w:ascii="Times New Roman" w:hAnsi="Times New Roman" w:eastAsia="宋体" w:cs="Times New Roman"/>
          <w:snapToGrid/>
          <w:color w:val="000000" w:themeColor="text1"/>
          <w:kern w:val="2"/>
          <w14:textFill>
            <w14:solidFill>
              <w14:schemeClr w14:val="tx1"/>
            </w14:solidFill>
          </w14:textFill>
        </w:rPr>
        <w:t>前缴纳。</w:t>
      </w:r>
    </w:p>
    <w:p>
      <w:pPr>
        <w:widowControl w:val="0"/>
        <w:kinsoku/>
        <w:autoSpaceDE/>
        <w:autoSpaceDN/>
        <w:adjustRightInd/>
        <w:snapToGrid/>
        <w:spacing w:line="380" w:lineRule="exact"/>
        <w:ind w:firstLine="420" w:firstLineChars="200"/>
        <w:jc w:val="both"/>
        <w:textAlignment w:val="auto"/>
        <w:rPr>
          <w:rFonts w:ascii="Times New Roman" w:hAnsi="Times New Roman" w:eastAsia="宋体" w:cs="Times New Roman"/>
          <w:snapToGrid/>
          <w:color w:val="000000" w:themeColor="text1"/>
          <w:kern w:val="2"/>
          <w14:textFill>
            <w14:solidFill>
              <w14:schemeClr w14:val="tx1"/>
            </w14:solidFill>
          </w14:textFill>
        </w:rPr>
      </w:pPr>
      <w:r>
        <w:rPr>
          <w:rFonts w:hint="eastAsia" w:ascii="Times New Roman" w:hAnsi="Times New Roman" w:eastAsia="宋体" w:cs="Times New Roman"/>
          <w:snapToGrid/>
          <w:color w:val="000000" w:themeColor="text1"/>
          <w:kern w:val="2"/>
          <w14:textFill>
            <w14:solidFill>
              <w14:schemeClr w14:val="tx1"/>
            </w14:solidFill>
          </w14:textFill>
        </w:rPr>
        <w:t>2缴纳方式：投标人基本账户</w:t>
      </w:r>
      <w:r>
        <w:rPr>
          <w:rFonts w:ascii="Times New Roman" w:hAnsi="Times New Roman" w:eastAsia="宋体" w:cs="Times New Roman"/>
          <w:snapToGrid/>
          <w:color w:val="000000" w:themeColor="text1"/>
          <w:kern w:val="2"/>
          <w14:textFill>
            <w14:solidFill>
              <w14:schemeClr w14:val="tx1"/>
            </w14:solidFill>
          </w14:textFill>
        </w:rPr>
        <w:t>银行转出的保函/保证保险/担保公司担保/转账</w:t>
      </w:r>
      <w:r>
        <w:rPr>
          <w:rFonts w:hint="eastAsia" w:ascii="Times New Roman" w:hAnsi="Times New Roman" w:eastAsia="宋体" w:cs="Times New Roman"/>
          <w:snapToGrid/>
          <w:color w:val="000000" w:themeColor="text1"/>
          <w:kern w:val="2"/>
          <w14:textFill>
            <w14:solidFill>
              <w14:schemeClr w14:val="tx1"/>
            </w14:solidFill>
          </w14:textFill>
        </w:rPr>
        <w:t>/数字保函等(不包括现金）。</w:t>
      </w:r>
    </w:p>
    <w:p>
      <w:pPr>
        <w:widowControl w:val="0"/>
        <w:kinsoku/>
        <w:autoSpaceDE/>
        <w:autoSpaceDN/>
        <w:adjustRightInd/>
        <w:snapToGrid/>
        <w:spacing w:line="380" w:lineRule="exact"/>
        <w:ind w:firstLine="420" w:firstLineChars="200"/>
        <w:jc w:val="both"/>
        <w:textAlignment w:val="auto"/>
        <w:rPr>
          <w:rFonts w:ascii="Times New Roman" w:hAnsi="Times New Roman" w:eastAsia="宋体" w:cs="Times New Roman"/>
          <w:snapToGrid/>
          <w:color w:val="000000" w:themeColor="text1"/>
          <w:kern w:val="2"/>
          <w14:textFill>
            <w14:solidFill>
              <w14:schemeClr w14:val="tx1"/>
            </w14:solidFill>
          </w14:textFill>
        </w:rPr>
      </w:pPr>
      <w:r>
        <w:rPr>
          <w:rFonts w:hint="eastAsia" w:ascii="Times New Roman" w:hAnsi="Times New Roman" w:eastAsia="宋体" w:cs="Times New Roman"/>
          <w:snapToGrid/>
          <w:color w:val="000000" w:themeColor="text1"/>
          <w:kern w:val="2"/>
          <w14:textFill>
            <w14:solidFill>
              <w14:schemeClr w14:val="tx1"/>
            </w14:solidFill>
          </w14:textFill>
        </w:rPr>
        <w:t>2.1转账缴纳要求：</w:t>
      </w:r>
    </w:p>
    <w:p>
      <w:pPr>
        <w:widowControl w:val="0"/>
        <w:kinsoku/>
        <w:autoSpaceDE/>
        <w:autoSpaceDN/>
        <w:adjustRightInd/>
        <w:snapToGrid/>
        <w:spacing w:line="380" w:lineRule="exact"/>
        <w:ind w:firstLine="369" w:firstLineChars="176"/>
        <w:jc w:val="both"/>
        <w:textAlignment w:val="auto"/>
        <w:rPr>
          <w:rFonts w:ascii="宋体" w:hAnsi="宋体" w:eastAsia="宋体" w:cs="Times New Roman"/>
          <w:snapToGrid/>
          <w:color w:val="000000" w:themeColor="text1"/>
          <w:kern w:val="2"/>
          <w14:textFill>
            <w14:solidFill>
              <w14:schemeClr w14:val="tx1"/>
            </w14:solidFill>
          </w14:textFill>
        </w:rPr>
      </w:pPr>
      <w:r>
        <w:rPr>
          <w:rFonts w:hint="eastAsia" w:ascii="宋体" w:hAnsi="宋体" w:eastAsia="宋体" w:cs="Times New Roman"/>
          <w:snapToGrid/>
          <w:color w:val="000000" w:themeColor="text1"/>
          <w:kern w:val="2"/>
          <w14:textFill>
            <w14:solidFill>
              <w14:schemeClr w14:val="tx1"/>
            </w14:solidFill>
          </w14:textFill>
        </w:rPr>
        <w:t>账户：开户单位名称：</w:t>
      </w:r>
      <w:r>
        <w:rPr>
          <w:rFonts w:hint="eastAsia" w:ascii="宋体" w:hAnsi="宋体" w:eastAsia="宋体" w:cs="Times New Roman"/>
          <w:snapToGrid/>
          <w:color w:val="000000" w:themeColor="text1"/>
          <w:kern w:val="2"/>
          <w:u w:val="single"/>
          <w14:textFill>
            <w14:solidFill>
              <w14:schemeClr w14:val="tx1"/>
            </w14:solidFill>
          </w14:textFill>
        </w:rPr>
        <w:t xml:space="preserve">     /      </w:t>
      </w:r>
      <w:r>
        <w:rPr>
          <w:rFonts w:hint="eastAsia" w:ascii="宋体" w:hAnsi="宋体" w:eastAsia="宋体" w:cs="Times New Roman"/>
          <w:snapToGrid/>
          <w:color w:val="000000" w:themeColor="text1"/>
          <w:kern w:val="2"/>
          <w14:textFill>
            <w14:solidFill>
              <w14:schemeClr w14:val="tx1"/>
            </w14:solidFill>
          </w14:textFill>
        </w:rPr>
        <w:t>，开户行:</w:t>
      </w:r>
      <w:r>
        <w:rPr>
          <w:rFonts w:hint="eastAsia" w:ascii="宋体" w:hAnsi="宋体" w:eastAsia="宋体" w:cs="Times New Roman"/>
          <w:snapToGrid/>
          <w:color w:val="000000" w:themeColor="text1"/>
          <w:kern w:val="2"/>
          <w:u w:val="single"/>
          <w14:textFill>
            <w14:solidFill>
              <w14:schemeClr w14:val="tx1"/>
            </w14:solidFill>
          </w14:textFill>
        </w:rPr>
        <w:t xml:space="preserve">     /      </w:t>
      </w:r>
      <w:r>
        <w:rPr>
          <w:rFonts w:hint="eastAsia" w:ascii="宋体" w:hAnsi="宋体" w:eastAsia="宋体" w:cs="Times New Roman"/>
          <w:snapToGrid/>
          <w:color w:val="000000" w:themeColor="text1"/>
          <w:kern w:val="2"/>
          <w14:textFill>
            <w14:solidFill>
              <w14:schemeClr w14:val="tx1"/>
            </w14:solidFill>
          </w14:textFill>
        </w:rPr>
        <w:t>；账号</w:t>
      </w:r>
      <w:r>
        <w:rPr>
          <w:rFonts w:hint="eastAsia" w:ascii="宋体" w:hAnsi="宋体" w:eastAsia="宋体" w:cs="Times New Roman"/>
          <w:snapToGrid/>
          <w:color w:val="000000" w:themeColor="text1"/>
          <w:kern w:val="2"/>
          <w:u w:val="single"/>
          <w14:textFill>
            <w14:solidFill>
              <w14:schemeClr w14:val="tx1"/>
            </w14:solidFill>
          </w14:textFill>
        </w:rPr>
        <w:t xml:space="preserve">       /     </w:t>
      </w:r>
      <w:r>
        <w:rPr>
          <w:rFonts w:hint="eastAsia" w:ascii="宋体" w:hAnsi="宋体" w:eastAsia="宋体" w:cs="Times New Roman"/>
          <w:snapToGrid/>
          <w:color w:val="000000" w:themeColor="text1"/>
          <w:kern w:val="2"/>
          <w14:textFill>
            <w14:solidFill>
              <w14:schemeClr w14:val="tx1"/>
            </w14:solidFill>
          </w14:textFill>
        </w:rPr>
        <w:t xml:space="preserve"> ；</w:t>
      </w:r>
    </w:p>
    <w:p>
      <w:pPr>
        <w:widowControl w:val="0"/>
        <w:kinsoku/>
        <w:autoSpaceDE/>
        <w:autoSpaceDN/>
        <w:adjustRightInd/>
        <w:snapToGrid/>
        <w:spacing w:line="380" w:lineRule="exact"/>
        <w:ind w:firstLine="369" w:firstLineChars="176"/>
        <w:jc w:val="both"/>
        <w:textAlignment w:val="auto"/>
        <w:rPr>
          <w:rFonts w:ascii="宋体" w:hAnsi="宋体" w:eastAsia="宋体" w:cs="Times New Roman"/>
          <w:snapToGrid/>
          <w:color w:val="000000" w:themeColor="text1"/>
          <w:kern w:val="2"/>
          <w14:textFill>
            <w14:solidFill>
              <w14:schemeClr w14:val="tx1"/>
            </w14:solidFill>
          </w14:textFill>
        </w:rPr>
      </w:pPr>
      <w:r>
        <w:rPr>
          <w:rFonts w:hint="eastAsia" w:ascii="宋体" w:hAnsi="宋体" w:eastAsia="宋体" w:cs="Times New Roman"/>
          <w:snapToGrid/>
          <w:color w:val="000000" w:themeColor="text1"/>
          <w:kern w:val="2"/>
          <w14:textFill>
            <w14:solidFill>
              <w14:schemeClr w14:val="tx1"/>
            </w14:solidFill>
          </w14:textFill>
        </w:rPr>
        <w:t>2.2招标人接受投标保证金银行保函、电子保险保单、担保保函。投标人自行在诸暨市公共资源电子交易平台（https://www.zhuji.gov.cn/col/col1388385/）中自主选择办理。</w:t>
      </w:r>
    </w:p>
    <w:p>
      <w:pPr>
        <w:widowControl w:val="0"/>
        <w:kinsoku/>
        <w:autoSpaceDE/>
        <w:autoSpaceDN/>
        <w:adjustRightInd/>
        <w:snapToGrid/>
        <w:spacing w:line="380" w:lineRule="exact"/>
        <w:ind w:firstLine="369" w:firstLineChars="176"/>
        <w:jc w:val="both"/>
        <w:textAlignment w:val="auto"/>
        <w:rPr>
          <w:rFonts w:ascii="宋体" w:hAnsi="宋体" w:eastAsia="宋体" w:cs="Times New Roman"/>
          <w:snapToGrid/>
          <w:color w:val="000000" w:themeColor="text1"/>
          <w:kern w:val="2"/>
          <w14:textFill>
            <w14:solidFill>
              <w14:schemeClr w14:val="tx1"/>
            </w14:solidFill>
          </w14:textFill>
        </w:rPr>
      </w:pPr>
      <w:r>
        <w:rPr>
          <w:rFonts w:hint="eastAsia" w:ascii="宋体" w:hAnsi="宋体" w:eastAsia="宋体" w:cs="Times New Roman"/>
          <w:snapToGrid/>
          <w:color w:val="000000" w:themeColor="text1"/>
          <w:kern w:val="2"/>
          <w14:textFill>
            <w14:solidFill>
              <w14:schemeClr w14:val="tx1"/>
            </w14:solidFill>
          </w14:textFill>
        </w:rPr>
        <w:t>2.3</w:t>
      </w:r>
      <w:r>
        <w:rPr>
          <w:rFonts w:hint="eastAsia" w:ascii="Times New Roman" w:hAnsi="Times New Roman" w:eastAsia="宋体" w:cs="Times New Roman"/>
          <w:snapToGrid/>
          <w:color w:val="000000" w:themeColor="text1"/>
          <w:kern w:val="2"/>
          <w14:textFill>
            <w14:solidFill>
              <w14:schemeClr w14:val="tx1"/>
            </w14:solidFill>
          </w14:textFill>
        </w:rPr>
        <w:t>购买保险、保函、担保的费用及转账资金应从投标人基本账户支出</w:t>
      </w:r>
      <w:r>
        <w:rPr>
          <w:rFonts w:hint="eastAsia" w:ascii="宋体" w:hAnsi="宋体" w:eastAsia="宋体" w:cs="Times New Roman"/>
          <w:snapToGrid/>
          <w:color w:val="000000" w:themeColor="text1"/>
          <w:kern w:val="2"/>
          <w14:textFill>
            <w14:solidFill>
              <w14:schemeClr w14:val="tx1"/>
            </w14:solidFill>
          </w14:textFill>
        </w:rPr>
        <w:t>，并在投标文件递交截止时间前办妥相应手续。</w:t>
      </w:r>
    </w:p>
    <w:p>
      <w:pPr>
        <w:widowControl w:val="0"/>
        <w:kinsoku/>
        <w:autoSpaceDE/>
        <w:autoSpaceDN/>
        <w:adjustRightInd/>
        <w:snapToGrid/>
        <w:spacing w:line="380" w:lineRule="exact"/>
        <w:ind w:firstLine="420" w:firstLineChars="200"/>
        <w:jc w:val="both"/>
        <w:textAlignment w:val="auto"/>
        <w:rPr>
          <w:rFonts w:ascii="Times New Roman" w:hAnsi="Times New Roman" w:eastAsia="宋体" w:cs="Times New Roman"/>
          <w:snapToGrid/>
          <w:color w:val="000000" w:themeColor="text1"/>
          <w:kern w:val="2"/>
          <w14:textFill>
            <w14:solidFill>
              <w14:schemeClr w14:val="tx1"/>
            </w14:solidFill>
          </w14:textFill>
        </w:rPr>
      </w:pPr>
      <w:r>
        <w:rPr>
          <w:rFonts w:hint="eastAsia" w:ascii="Times New Roman" w:hAnsi="Times New Roman" w:eastAsia="宋体" w:cs="Times New Roman"/>
          <w:snapToGrid/>
          <w:color w:val="000000" w:themeColor="text1"/>
          <w:kern w:val="2"/>
          <w14:textFill>
            <w14:solidFill>
              <w14:schemeClr w14:val="tx1"/>
            </w14:solidFill>
          </w14:textFill>
        </w:rPr>
        <w:t>□2.4本项目对</w:t>
      </w:r>
      <w:r>
        <w:rPr>
          <w:rFonts w:hint="eastAsia" w:ascii="Times New Roman" w:hAnsi="Times New Roman" w:eastAsia="宋体" w:cs="Times New Roman"/>
          <w:snapToGrid/>
          <w:color w:val="000000" w:themeColor="text1"/>
          <w:kern w:val="2"/>
          <w:u w:val="single"/>
          <w14:textFill>
            <w14:solidFill>
              <w14:schemeClr w14:val="tx1"/>
            </w14:solidFill>
          </w14:textFill>
        </w:rPr>
        <w:t xml:space="preserve">  /   </w:t>
      </w:r>
      <w:r>
        <w:rPr>
          <w:rFonts w:hint="eastAsia" w:ascii="Times New Roman" w:hAnsi="Times New Roman" w:eastAsia="宋体" w:cs="Times New Roman"/>
          <w:snapToGrid/>
          <w:color w:val="000000" w:themeColor="text1"/>
          <w:kern w:val="2"/>
          <w14:textFill>
            <w14:solidFill>
              <w14:schemeClr w14:val="tx1"/>
            </w14:solidFill>
          </w14:textFill>
        </w:rPr>
        <w:t>行业信用评价结果最高等级的投标人免收投标保证金，须具备</w:t>
      </w:r>
      <w:r>
        <w:rPr>
          <w:rFonts w:hint="eastAsia" w:ascii="Times New Roman" w:hAnsi="Times New Roman" w:eastAsia="宋体" w:cs="Times New Roman"/>
          <w:snapToGrid/>
          <w:color w:val="000000" w:themeColor="text1"/>
          <w:kern w:val="2"/>
          <w:u w:val="single"/>
          <w14:textFill>
            <w14:solidFill>
              <w14:schemeClr w14:val="tx1"/>
            </w14:solidFill>
          </w14:textFill>
        </w:rPr>
        <w:t xml:space="preserve">   /   </w:t>
      </w:r>
      <w:r>
        <w:rPr>
          <w:rFonts w:hint="eastAsia" w:ascii="Times New Roman" w:hAnsi="Times New Roman" w:eastAsia="宋体" w:cs="Times New Roman"/>
          <w:snapToGrid/>
          <w:color w:val="000000" w:themeColor="text1"/>
          <w:kern w:val="2"/>
          <w14:textFill>
            <w14:solidFill>
              <w14:schemeClr w14:val="tx1"/>
            </w14:solidFill>
          </w14:textFill>
        </w:rPr>
        <w:t>条件。</w:t>
      </w:r>
    </w:p>
    <w:p>
      <w:pPr>
        <w:spacing w:line="380" w:lineRule="exact"/>
        <w:ind w:left="501"/>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Outline w14:w="4356" w14:cap="sq" w14:cmpd="sng" w14:algn="ctr">
            <w14:solidFill>
              <w14:srgbClr w14:val="000000"/>
            </w14:solidFill>
            <w14:prstDash w14:val="solid"/>
            <w14:bevel/>
          </w14:textOutline>
          <w14:textFill>
            <w14:solidFill>
              <w14:schemeClr w14:val="tx1"/>
            </w14:solidFill>
          </w14:textFill>
        </w:rPr>
        <w:t>五</w:t>
      </w:r>
      <w:r>
        <w:rPr>
          <w:rFonts w:ascii="宋体" w:hAnsi="宋体" w:eastAsia="宋体" w:cs="宋体"/>
          <w:color w:val="000000" w:themeColor="text1"/>
          <w14:textOutline w14:w="4356" w14:cap="sq" w14:cmpd="sng" w14:algn="ctr">
            <w14:solidFill>
              <w14:srgbClr w14:val="000000"/>
            </w14:solidFill>
            <w14:prstDash w14:val="solid"/>
            <w14:bevel/>
          </w14:textOutline>
          <w14:textFill>
            <w14:solidFill>
              <w14:schemeClr w14:val="tx1"/>
            </w14:solidFill>
          </w14:textFill>
        </w:rPr>
        <w:t>、投标文件递交</w:t>
      </w:r>
    </w:p>
    <w:p>
      <w:pPr>
        <w:spacing w:line="380" w:lineRule="exact"/>
        <w:ind w:firstLine="420" w:firstLineChars="20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1.投标文件递交截止时间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14:textFill>
            <w14:solidFill>
              <w14:schemeClr w14:val="tx1"/>
            </w14:solidFill>
          </w14:textFill>
        </w:rPr>
        <w:t>2024</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7</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10</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日</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09</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时</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30</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分；</w:t>
      </w:r>
    </w:p>
    <w:p>
      <w:pPr>
        <w:pStyle w:val="23"/>
        <w:spacing w:after="0" w:line="380" w:lineRule="exact"/>
        <w:ind w:left="0" w:firstLine="424" w:firstLineChars="202"/>
        <w:rPr>
          <w:rFonts w:ascii="宋体" w:hAnsi="宋体" w:eastAsia="宋体" w:cs="宋体"/>
          <w:color w:val="000000" w:themeColor="text1"/>
          <w:sz w:val="21"/>
          <w:szCs w:val="21"/>
          <w:u w:val="single"/>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2.投标文件递交</w:t>
      </w:r>
      <w:r>
        <w:rPr>
          <w:rFonts w:hint="eastAsia" w:ascii="宋体" w:hAnsi="宋体" w:eastAsia="宋体" w:cs="宋体"/>
          <w:color w:val="000000" w:themeColor="text1"/>
          <w:sz w:val="21"/>
          <w:szCs w:val="21"/>
          <w14:textFill>
            <w14:solidFill>
              <w14:schemeClr w14:val="tx1"/>
            </w14:solidFill>
          </w14:textFill>
        </w:rPr>
        <w:t>方式</w:t>
      </w:r>
      <w:r>
        <w:rPr>
          <w:rFonts w:ascii="宋体" w:hAnsi="宋体" w:eastAsia="宋体" w:cs="宋体"/>
          <w:color w:val="000000" w:themeColor="text1"/>
          <w:sz w:val="21"/>
          <w:szCs w:val="21"/>
          <w14:textFill>
            <w14:solidFill>
              <w14:schemeClr w14:val="tx1"/>
            </w14:solidFill>
          </w14:textFill>
        </w:rPr>
        <w:t>：</w:t>
      </w:r>
    </w:p>
    <w:p>
      <w:pPr>
        <w:pStyle w:val="23"/>
        <w:spacing w:after="0" w:line="380" w:lineRule="exact"/>
        <w:ind w:left="0" w:firstLine="424" w:firstLineChars="202"/>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□2.1</w:t>
      </w:r>
      <w:r>
        <w:rPr>
          <w:rFonts w:ascii="宋体" w:hAnsi="宋体" w:eastAsia="宋体" w:cs="宋体"/>
          <w:color w:val="000000" w:themeColor="text1"/>
          <w:sz w:val="21"/>
          <w:szCs w:val="21"/>
          <w14:textFill>
            <w14:solidFill>
              <w14:schemeClr w14:val="tx1"/>
            </w14:solidFill>
          </w14:textFill>
        </w:rPr>
        <w:t>电子招标投标交易平台：</w:t>
      </w:r>
      <w:r>
        <w:rPr>
          <w:rFonts w:hint="eastAsia" w:ascii="宋体" w:hAnsi="宋体" w:eastAsia="宋体" w:cs="宋体"/>
          <w:i/>
          <w:iCs/>
          <w:color w:val="000000" w:themeColor="text1"/>
          <w:sz w:val="21"/>
          <w:szCs w:val="21"/>
          <w:u w:val="single"/>
          <w14:textFill>
            <w14:solidFill>
              <w14:schemeClr w14:val="tx1"/>
            </w14:solidFill>
          </w14:textFill>
        </w:rPr>
        <w:t>诸暨市公共资源电子交易平台（https://www.zhuji.gov.cn/col/col1388385/</w:t>
      </w:r>
      <w:r>
        <w:rPr>
          <w:rFonts w:hint="eastAsia"/>
          <w:color w:val="000000" w:themeColor="text1"/>
          <w:sz w:val="21"/>
          <w:szCs w:val="21"/>
          <w:u w:val="single"/>
          <w14:textFill>
            <w14:solidFill>
              <w14:schemeClr w14:val="tx1"/>
            </w14:solidFill>
          </w14:textFill>
        </w:rPr>
        <w:t>）</w:t>
      </w:r>
      <w:r>
        <w:rPr>
          <w:color w:val="000000" w:themeColor="text1"/>
          <w:sz w:val="21"/>
          <w:szCs w:val="21"/>
          <w14:textFill>
            <w14:solidFill>
              <w14:schemeClr w14:val="tx1"/>
            </w14:solidFill>
          </w14:textFill>
        </w:rPr>
        <w:t>。</w:t>
      </w:r>
    </w:p>
    <w:p>
      <w:pPr>
        <w:pStyle w:val="23"/>
        <w:spacing w:after="0" w:line="380" w:lineRule="exact"/>
        <w:ind w:left="0" w:firstLine="424" w:firstLineChars="202"/>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☑2.2纸质标书递交，地点为：</w:t>
      </w:r>
      <w:r>
        <w:rPr>
          <w:rFonts w:hint="eastAsia" w:ascii="宋体" w:hAnsi="宋体" w:eastAsia="宋体" w:cs="宋体"/>
          <w:i/>
          <w:iCs/>
          <w:color w:val="000000" w:themeColor="text1"/>
          <w:sz w:val="21"/>
          <w:szCs w:val="21"/>
          <w:u w:val="single"/>
          <w14:textFill>
            <w14:solidFill>
              <w14:schemeClr w14:val="tx1"/>
            </w14:solidFill>
          </w14:textFill>
        </w:rPr>
        <w:t xml:space="preserve">诸暨市公共资源交易中心四楼 </w:t>
      </w:r>
      <w:r>
        <w:rPr>
          <w:rFonts w:hint="eastAsia" w:ascii="宋体" w:hAnsi="宋体" w:eastAsia="宋体" w:cs="宋体"/>
          <w:i/>
          <w:iCs/>
          <w:color w:val="000000" w:themeColor="text1"/>
          <w:sz w:val="21"/>
          <w:szCs w:val="21"/>
          <w:u w:val="single"/>
          <w:lang w:val="en-US" w:eastAsia="zh-CN"/>
          <w14:textFill>
            <w14:solidFill>
              <w14:schemeClr w14:val="tx1"/>
            </w14:solidFill>
          </w14:textFill>
        </w:rPr>
        <w:t>1</w:t>
      </w:r>
      <w:r>
        <w:rPr>
          <w:rFonts w:hint="eastAsia" w:ascii="宋体" w:hAnsi="宋体" w:eastAsia="宋体" w:cs="宋体"/>
          <w:i/>
          <w:iCs/>
          <w:color w:val="000000" w:themeColor="text1"/>
          <w:sz w:val="21"/>
          <w:szCs w:val="21"/>
          <w:u w:val="single"/>
          <w14:textFill>
            <w14:solidFill>
              <w14:schemeClr w14:val="tx1"/>
            </w14:solidFill>
          </w14:textFill>
        </w:rPr>
        <w:t xml:space="preserve"> 号开标室（暨东路58号4楼）</w:t>
      </w:r>
      <w:r>
        <w:rPr>
          <w:rFonts w:hint="eastAsia" w:ascii="宋体" w:hAnsi="宋体" w:eastAsia="宋体" w:cs="宋体"/>
          <w:color w:val="000000" w:themeColor="text1"/>
          <w:sz w:val="21"/>
          <w:szCs w:val="21"/>
          <w14:textFill>
            <w14:solidFill>
              <w14:schemeClr w14:val="tx1"/>
            </w14:solidFill>
          </w14:textFill>
        </w:rPr>
        <w:t>。</w:t>
      </w:r>
    </w:p>
    <w:p>
      <w:pPr>
        <w:pStyle w:val="23"/>
        <w:spacing w:after="0" w:line="380" w:lineRule="exact"/>
        <w:ind w:left="0" w:firstLine="424" w:firstLineChars="202"/>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iCs/>
          <w:color w:val="000000" w:themeColor="text1"/>
          <w:sz w:val="21"/>
          <w:szCs w:val="21"/>
          <w14:textFill>
            <w14:solidFill>
              <w14:schemeClr w14:val="tx1"/>
            </w14:solidFill>
          </w14:textFill>
        </w:rPr>
        <w:t>本项目采用不见面开标方式，鼓励投标文件（需密封）采用邮寄方式，接收截止时间为</w:t>
      </w:r>
      <w:r>
        <w:rPr>
          <w:rFonts w:hint="eastAsia" w:ascii="宋体" w:hAnsi="宋体" w:eastAsia="宋体" w:cs="宋体"/>
          <w:i/>
          <w:iCs/>
          <w:color w:val="000000" w:themeColor="text1"/>
          <w:sz w:val="21"/>
          <w:szCs w:val="21"/>
          <w:u w:val="single"/>
          <w14:textFill>
            <w14:solidFill>
              <w14:schemeClr w14:val="tx1"/>
            </w14:solidFill>
          </w14:textFill>
        </w:rPr>
        <w:t>2024</w:t>
      </w:r>
      <w:r>
        <w:rPr>
          <w:rFonts w:hint="eastAsia" w:ascii="宋体" w:hAnsi="宋体" w:eastAsia="宋体" w:cs="宋体"/>
          <w:i/>
          <w:iCs/>
          <w:color w:val="000000" w:themeColor="text1"/>
          <w:sz w:val="21"/>
          <w:szCs w:val="21"/>
          <w14:textFill>
            <w14:solidFill>
              <w14:schemeClr w14:val="tx1"/>
            </w14:solidFill>
          </w14:textFill>
        </w:rPr>
        <w:t>年</w:t>
      </w:r>
      <w:r>
        <w:rPr>
          <w:rFonts w:hint="eastAsia" w:ascii="宋体" w:hAnsi="宋体" w:eastAsia="宋体" w:cs="宋体"/>
          <w:i/>
          <w:iCs/>
          <w:color w:val="000000" w:themeColor="text1"/>
          <w:sz w:val="21"/>
          <w:szCs w:val="21"/>
          <w:u w:val="single"/>
          <w:lang w:val="en-US" w:eastAsia="zh-CN"/>
          <w14:textFill>
            <w14:solidFill>
              <w14:schemeClr w14:val="tx1"/>
            </w14:solidFill>
          </w14:textFill>
        </w:rPr>
        <w:t>7</w:t>
      </w:r>
      <w:r>
        <w:rPr>
          <w:rFonts w:hint="eastAsia" w:ascii="宋体" w:hAnsi="宋体" w:eastAsia="宋体" w:cs="宋体"/>
          <w:i/>
          <w:iCs/>
          <w:color w:val="000000" w:themeColor="text1"/>
          <w:sz w:val="21"/>
          <w:szCs w:val="21"/>
          <w14:textFill>
            <w14:solidFill>
              <w14:schemeClr w14:val="tx1"/>
            </w14:solidFill>
          </w14:textFill>
        </w:rPr>
        <w:t>月</w:t>
      </w:r>
      <w:r>
        <w:rPr>
          <w:rFonts w:hint="eastAsia" w:ascii="宋体" w:hAnsi="宋体" w:eastAsia="宋体" w:cs="宋体"/>
          <w:i/>
          <w:iCs/>
          <w:color w:val="000000" w:themeColor="text1"/>
          <w:sz w:val="21"/>
          <w:szCs w:val="21"/>
          <w:u w:val="single"/>
          <w:lang w:val="en-US" w:eastAsia="zh-CN"/>
          <w14:textFill>
            <w14:solidFill>
              <w14:schemeClr w14:val="tx1"/>
            </w14:solidFill>
          </w14:textFill>
        </w:rPr>
        <w:t>10</w:t>
      </w:r>
      <w:r>
        <w:rPr>
          <w:rFonts w:hint="eastAsia" w:ascii="宋体" w:hAnsi="宋体" w:eastAsia="宋体" w:cs="宋体"/>
          <w:i/>
          <w:iCs/>
          <w:color w:val="000000" w:themeColor="text1"/>
          <w:sz w:val="21"/>
          <w:szCs w:val="21"/>
          <w14:textFill>
            <w14:solidFill>
              <w14:schemeClr w14:val="tx1"/>
            </w14:solidFill>
          </w14:textFill>
        </w:rPr>
        <w:t>日</w:t>
      </w:r>
      <w:r>
        <w:rPr>
          <w:rFonts w:hint="eastAsia" w:ascii="宋体" w:hAnsi="宋体" w:eastAsia="宋体" w:cs="宋体"/>
          <w:i/>
          <w:iCs/>
          <w:color w:val="000000" w:themeColor="text1"/>
          <w:sz w:val="21"/>
          <w:szCs w:val="21"/>
          <w:u w:val="single"/>
          <w:lang w:val="en-US" w:eastAsia="zh-CN"/>
          <w14:textFill>
            <w14:solidFill>
              <w14:schemeClr w14:val="tx1"/>
            </w14:solidFill>
          </w14:textFill>
        </w:rPr>
        <w:t>0</w:t>
      </w:r>
      <w:r>
        <w:rPr>
          <w:rFonts w:hint="eastAsia" w:ascii="宋体" w:hAnsi="宋体" w:eastAsia="宋体" w:cs="宋体"/>
          <w:i/>
          <w:iCs/>
          <w:color w:val="000000" w:themeColor="text1"/>
          <w:sz w:val="21"/>
          <w:szCs w:val="21"/>
          <w:u w:val="single"/>
          <w14:textFill>
            <w14:solidFill>
              <w14:schemeClr w14:val="tx1"/>
            </w14:solidFill>
          </w14:textFill>
        </w:rPr>
        <w:t>9：30</w:t>
      </w:r>
      <w:r>
        <w:rPr>
          <w:rFonts w:hint="eastAsia" w:ascii="宋体" w:hAnsi="宋体" w:eastAsia="宋体" w:cs="宋体"/>
          <w:i/>
          <w:iCs/>
          <w:color w:val="000000" w:themeColor="text1"/>
          <w:sz w:val="21"/>
          <w:szCs w:val="21"/>
          <w14:textFill>
            <w14:solidFill>
              <w14:schemeClr w14:val="tx1"/>
            </w14:solidFill>
          </w14:textFill>
        </w:rPr>
        <w:t>时止。邮寄件以全国邮政特快专递（EMS）寄达，其他寄件方式可不予接收，投标文件接收时间以签收时间为准。邮寄地点：诸暨市公共资源交易中心四楼</w:t>
      </w:r>
      <w:r>
        <w:rPr>
          <w:rFonts w:hint="eastAsia" w:ascii="宋体" w:hAnsi="宋体" w:eastAsia="宋体" w:cs="宋体"/>
          <w:i/>
          <w:iCs/>
          <w:color w:val="000000" w:themeColor="text1"/>
          <w:sz w:val="21"/>
          <w:szCs w:val="21"/>
          <w:u w:val="single"/>
          <w14:textFill>
            <w14:solidFill>
              <w14:schemeClr w14:val="tx1"/>
            </w14:solidFill>
          </w14:textFill>
        </w:rPr>
        <w:t xml:space="preserve"> </w:t>
      </w:r>
      <w:r>
        <w:rPr>
          <w:rFonts w:hint="eastAsia" w:ascii="宋体" w:hAnsi="宋体" w:eastAsia="宋体" w:cs="宋体"/>
          <w:i/>
          <w:iCs/>
          <w:color w:val="000000" w:themeColor="text1"/>
          <w:sz w:val="21"/>
          <w:szCs w:val="21"/>
          <w:u w:val="single"/>
          <w:lang w:val="en-US" w:eastAsia="zh-CN"/>
          <w14:textFill>
            <w14:solidFill>
              <w14:schemeClr w14:val="tx1"/>
            </w14:solidFill>
          </w14:textFill>
        </w:rPr>
        <w:t>1</w:t>
      </w:r>
      <w:r>
        <w:rPr>
          <w:rFonts w:hint="eastAsia" w:ascii="宋体" w:hAnsi="宋体" w:eastAsia="宋体" w:cs="宋体"/>
          <w:i/>
          <w:iCs/>
          <w:color w:val="000000" w:themeColor="text1"/>
          <w:sz w:val="21"/>
          <w:szCs w:val="21"/>
          <w:u w:val="single"/>
          <w14:textFill>
            <w14:solidFill>
              <w14:schemeClr w14:val="tx1"/>
            </w14:solidFill>
          </w14:textFill>
        </w:rPr>
        <w:t xml:space="preserve"> </w:t>
      </w:r>
      <w:r>
        <w:rPr>
          <w:rFonts w:hint="eastAsia" w:ascii="宋体" w:hAnsi="宋体" w:eastAsia="宋体" w:cs="宋体"/>
          <w:i/>
          <w:iCs/>
          <w:color w:val="000000" w:themeColor="text1"/>
          <w:sz w:val="21"/>
          <w:szCs w:val="21"/>
          <w14:textFill>
            <w14:solidFill>
              <w14:schemeClr w14:val="tx1"/>
            </w14:solidFill>
          </w14:textFill>
        </w:rPr>
        <w:t>号开标室（暨东路58号），联系人：</w:t>
      </w:r>
      <w:r>
        <w:rPr>
          <w:rFonts w:hint="eastAsia" w:ascii="宋体" w:hAnsi="宋体" w:eastAsia="宋体" w:cs="宋体"/>
          <w:i/>
          <w:iCs/>
          <w:color w:val="000000" w:themeColor="text1"/>
          <w:sz w:val="21"/>
          <w:szCs w:val="21"/>
          <w:u w:val="single"/>
          <w14:textFill>
            <w14:solidFill>
              <w14:schemeClr w14:val="tx1"/>
            </w14:solidFill>
          </w14:textFill>
        </w:rPr>
        <w:t>周晗</w:t>
      </w:r>
      <w:r>
        <w:rPr>
          <w:rFonts w:hint="eastAsia" w:ascii="宋体" w:hAnsi="宋体" w:eastAsia="宋体" w:cs="宋体"/>
          <w:i/>
          <w:iCs/>
          <w:color w:val="000000" w:themeColor="text1"/>
          <w:sz w:val="21"/>
          <w:szCs w:val="21"/>
          <w14:textFill>
            <w14:solidFill>
              <w14:schemeClr w14:val="tx1"/>
            </w14:solidFill>
          </w14:textFill>
        </w:rPr>
        <w:t>，工作电话：</w:t>
      </w:r>
      <w:r>
        <w:rPr>
          <w:rFonts w:hint="eastAsia" w:ascii="宋体" w:hAnsi="宋体" w:eastAsia="宋体" w:cs="宋体"/>
          <w:i/>
          <w:iCs/>
          <w:color w:val="000000" w:themeColor="text1"/>
          <w:sz w:val="21"/>
          <w:szCs w:val="21"/>
          <w:u w:val="single"/>
          <w14:textFill>
            <w14:solidFill>
              <w14:schemeClr w14:val="tx1"/>
            </w14:solidFill>
          </w14:textFill>
        </w:rPr>
        <w:t>13588558139</w:t>
      </w:r>
      <w:r>
        <w:rPr>
          <w:rFonts w:hint="eastAsia" w:ascii="宋体" w:hAnsi="宋体" w:eastAsia="宋体" w:cs="宋体"/>
          <w:color w:val="000000" w:themeColor="text1"/>
          <w:sz w:val="21"/>
          <w:szCs w:val="21"/>
          <w14:textFill>
            <w14:solidFill>
              <w14:schemeClr w14:val="tx1"/>
            </w14:solidFill>
          </w14:textFill>
        </w:rPr>
        <w:t>。</w:t>
      </w:r>
    </w:p>
    <w:p>
      <w:pPr>
        <w:spacing w:line="380" w:lineRule="exact"/>
        <w:ind w:firstLine="485"/>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3.□招标文件要求递交的光盘、样品等材料，投标人应在投标截止时间前递交至</w:t>
      </w:r>
      <w:r>
        <w:rPr>
          <w:rFonts w:hint="eastAsia" w:ascii="宋体" w:hAnsi="宋体" w:eastAsia="宋体" w:cs="宋体"/>
          <w:color w:val="000000" w:themeColor="text1"/>
          <w:u w:val="single"/>
          <w14:textFill>
            <w14:solidFill>
              <w14:schemeClr w14:val="tx1"/>
            </w14:solidFill>
          </w14:textFill>
        </w:rPr>
        <w:t>（招标人指定地点）</w:t>
      </w:r>
      <w:r>
        <w:rPr>
          <w:rFonts w:hint="eastAsia" w:ascii="宋体" w:hAnsi="宋体" w:eastAsia="宋体" w:cs="宋体"/>
          <w:color w:val="000000" w:themeColor="text1"/>
          <w14:textFill>
            <w14:solidFill>
              <w14:schemeClr w14:val="tx1"/>
            </w14:solidFill>
          </w14:textFill>
        </w:rPr>
        <w:t>。递交光盘、样品等材料时应同时携带递交人</w:t>
      </w:r>
      <w:r>
        <w:rPr>
          <w:rFonts w:ascii="宋体" w:hAnsi="宋体" w:eastAsia="宋体" w:cs="宋体"/>
          <w:color w:val="000000" w:themeColor="text1"/>
          <w14:textFill>
            <w14:solidFill>
              <w14:schemeClr w14:val="tx1"/>
            </w14:solidFill>
          </w14:textFill>
        </w:rPr>
        <w:t>法定代表人</w:t>
      </w:r>
      <w:r>
        <w:rPr>
          <w:rFonts w:hint="eastAsia" w:ascii="宋体" w:hAnsi="宋体" w:eastAsia="宋体" w:cs="宋体"/>
          <w:color w:val="000000" w:themeColor="text1"/>
          <w14:textFill>
            <w14:solidFill>
              <w14:schemeClr w14:val="tx1"/>
            </w14:solidFill>
          </w14:textFill>
        </w:rPr>
        <w:t>授权委托书及身份证原件(法定代表人递交的仅需提供身份证原件)。</w:t>
      </w:r>
    </w:p>
    <w:p>
      <w:pPr>
        <w:spacing w:line="380" w:lineRule="exact"/>
        <w:ind w:firstLine="420" w:firstLineChars="200"/>
        <w:jc w:val="both"/>
        <w:rPr>
          <w:rFonts w:ascii="宋体" w:hAnsi="宋体"/>
          <w:color w:val="000000" w:themeColor="text1"/>
          <w14:textFill>
            <w14:solidFill>
              <w14:schemeClr w14:val="tx1"/>
            </w14:solidFill>
          </w14:textFill>
        </w:rPr>
      </w:pPr>
      <w:r>
        <w:rPr>
          <w:rFonts w:hint="eastAsia" w:ascii="宋体" w:hAnsi="宋体" w:eastAsia="宋体" w:cs="宋体"/>
          <w:color w:val="000000" w:themeColor="text1"/>
          <w14:textOutline w14:w="4356" w14:cap="sq" w14:cmpd="sng" w14:algn="ctr">
            <w14:solidFill>
              <w14:srgbClr w14:val="000000"/>
            </w14:solidFill>
            <w14:prstDash w14:val="solid"/>
            <w14:bevel/>
          </w14:textOutline>
          <w14:textFill>
            <w14:solidFill>
              <w14:schemeClr w14:val="tx1"/>
            </w14:solidFill>
          </w14:textFill>
        </w:rPr>
        <w:t>六、发布公告的媒介</w:t>
      </w:r>
    </w:p>
    <w:p>
      <w:pPr>
        <w:spacing w:line="380" w:lineRule="exact"/>
        <w:ind w:firstLine="420" w:firstLineChars="200"/>
        <w:jc w:val="both"/>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本次招标公告同时在</w:t>
      </w:r>
      <w:r>
        <w:rPr>
          <w:rFonts w:hint="eastAsia" w:ascii="宋体" w:hAnsi="宋体" w:eastAsia="宋体" w:cs="宋体"/>
          <w:i/>
          <w:iCs/>
          <w:color w:val="000000" w:themeColor="text1"/>
          <w:u w:val="single"/>
          <w14:textFill>
            <w14:solidFill>
              <w14:schemeClr w14:val="tx1"/>
            </w14:solidFill>
          </w14:textFill>
        </w:rPr>
        <w:t>诸暨市公共资源交易网（</w:t>
      </w:r>
      <w:r>
        <w:rPr>
          <w:rFonts w:hint="eastAsia" w:ascii="宋体" w:hAnsi="宋体"/>
          <w:i/>
          <w:iCs/>
          <w:u w:val="single"/>
        </w:rPr>
        <w:t>https://www.zhuji.gov.cn/col/col1388385/</w:t>
      </w:r>
      <w:r>
        <w:rPr>
          <w:rFonts w:hint="eastAsia" w:ascii="宋体" w:hAnsi="宋体" w:eastAsia="宋体" w:cs="宋体"/>
          <w:i/>
          <w:iCs/>
          <w:color w:val="000000" w:themeColor="text1"/>
          <w:u w:val="single"/>
          <w14:textFill>
            <w14:solidFill>
              <w14:schemeClr w14:val="tx1"/>
            </w14:solidFill>
          </w14:textFill>
        </w:rPr>
        <w:t>）</w:t>
      </w:r>
      <w:r>
        <w:rPr>
          <w:rFonts w:ascii="宋体" w:hAnsi="宋体"/>
          <w:color w:val="000000" w:themeColor="text1"/>
          <w14:textFill>
            <w14:solidFill>
              <w14:schemeClr w14:val="tx1"/>
            </w14:solidFill>
          </w14:textFill>
        </w:rPr>
        <w:t>（发布公告的媒介名称）上发布。</w:t>
      </w:r>
    </w:p>
    <w:p>
      <w:pPr>
        <w:spacing w:line="380" w:lineRule="exact"/>
        <w:ind w:firstLine="420" w:firstLineChars="200"/>
        <w:jc w:val="both"/>
        <w:rPr>
          <w:rFonts w:ascii="宋体" w:hAnsi="宋体" w:eastAsia="宋体" w:cs="宋体"/>
          <w:color w:val="000000" w:themeColor="text1"/>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14:textOutline w14:w="4356" w14:cap="sq" w14:cmpd="sng" w14:algn="ctr">
            <w14:solidFill>
              <w14:srgbClr w14:val="000000"/>
            </w14:solidFill>
            <w14:prstDash w14:val="solid"/>
            <w14:bevel/>
          </w14:textOutline>
          <w14:textFill>
            <w14:solidFill>
              <w14:schemeClr w14:val="tx1"/>
            </w14:solidFill>
          </w14:textFill>
        </w:rPr>
        <w:t>七、联系方式</w:t>
      </w:r>
    </w:p>
    <w:p>
      <w:pPr>
        <w:spacing w:before="75" w:line="380" w:lineRule="exact"/>
        <w:ind w:left="480"/>
        <w:jc w:val="both"/>
        <w:rPr>
          <w:rFonts w:ascii="宋体" w:hAnsi="宋体" w:eastAsia="宋体" w:cs="宋体"/>
          <w:color w:val="000000" w:themeColor="text1"/>
          <w:u w:val="single"/>
          <w14:textFill>
            <w14:solidFill>
              <w14:schemeClr w14:val="tx1"/>
            </w14:solidFill>
          </w14:textFill>
        </w:rPr>
      </w:pPr>
      <w:r>
        <w:rPr>
          <w:rFonts w:ascii="宋体" w:hAnsi="宋体" w:eastAsia="宋体" w:cs="宋体"/>
          <w:color w:val="000000" w:themeColor="text1"/>
          <w14:textFill>
            <w14:solidFill>
              <w14:schemeClr w14:val="tx1"/>
            </w14:solidFill>
          </w14:textFill>
        </w:rPr>
        <w:t>招标人：</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14:textFill>
            <w14:solidFill>
              <w14:schemeClr w14:val="tx1"/>
            </w14:solidFill>
          </w14:textFill>
        </w:rPr>
        <w:t>诸暨市人民医院</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招标</w:t>
      </w:r>
      <w:r>
        <w:rPr>
          <w:rFonts w:hint="eastAsia" w:ascii="宋体" w:hAnsi="宋体" w:eastAsia="宋体" w:cs="宋体"/>
          <w:color w:val="000000" w:themeColor="text1"/>
          <w14:textFill>
            <w14:solidFill>
              <w14:schemeClr w14:val="tx1"/>
            </w14:solidFill>
          </w14:textFill>
        </w:rPr>
        <w:t>代理机构</w:t>
      </w:r>
      <w:r>
        <w:rPr>
          <w:rFonts w:ascii="宋体" w:hAnsi="宋体" w:eastAsia="宋体" w:cs="宋体"/>
          <w:color w:val="000000" w:themeColor="text1"/>
          <w14:textFill>
            <w14:solidFill>
              <w14:schemeClr w14:val="tx1"/>
            </w14:solidFill>
          </w14:textFill>
        </w:rPr>
        <w:t>：</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14:textFill>
            <w14:solidFill>
              <w14:schemeClr w14:val="tx1"/>
            </w14:solidFill>
          </w14:textFill>
        </w:rPr>
        <w:t>诸暨天宇工程造价咨询有限公司</w:t>
      </w:r>
      <w:r>
        <w:rPr>
          <w:rFonts w:ascii="宋体" w:hAnsi="宋体" w:eastAsia="宋体" w:cs="宋体"/>
          <w:color w:val="000000" w:themeColor="text1"/>
          <w:u w:val="single"/>
          <w14:textFill>
            <w14:solidFill>
              <w14:schemeClr w14:val="tx1"/>
            </w14:solidFill>
          </w14:textFill>
        </w:rPr>
        <w:t xml:space="preserve"> </w:t>
      </w:r>
    </w:p>
    <w:p>
      <w:pPr>
        <w:spacing w:before="75" w:line="380" w:lineRule="exact"/>
        <w:ind w:left="480"/>
        <w:jc w:val="both"/>
        <w:rPr>
          <w:rFonts w:ascii="宋体" w:hAnsi="宋体" w:eastAsia="宋体" w:cs="宋体"/>
          <w:color w:val="000000" w:themeColor="text1"/>
          <w:u w:val="single"/>
          <w14:textFill>
            <w14:solidFill>
              <w14:schemeClr w14:val="tx1"/>
            </w14:solidFill>
          </w14:textFill>
        </w:rPr>
      </w:pPr>
      <w:r>
        <w:rPr>
          <w:rFonts w:ascii="宋体" w:hAnsi="宋体" w:eastAsia="宋体" w:cs="宋体"/>
          <w:color w:val="000000" w:themeColor="text1"/>
          <w14:textFill>
            <w14:solidFill>
              <w14:schemeClr w14:val="tx1"/>
            </w14:solidFill>
          </w14:textFill>
        </w:rPr>
        <w:t>联系人：</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14:textFill>
            <w14:solidFill>
              <w14:schemeClr w14:val="tx1"/>
            </w14:solidFill>
          </w14:textFill>
        </w:rPr>
        <w:t>李阳</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联系人：</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14:textFill>
            <w14:solidFill>
              <w14:schemeClr w14:val="tx1"/>
            </w14:solidFill>
          </w14:textFill>
        </w:rPr>
        <w:t>周晗</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u w:val="single"/>
          <w14:textFill>
            <w14:solidFill>
              <w14:schemeClr w14:val="tx1"/>
            </w14:solidFill>
          </w14:textFill>
        </w:rPr>
        <w:t xml:space="preserve"> </w:t>
      </w:r>
    </w:p>
    <w:p>
      <w:pPr>
        <w:spacing w:before="75" w:line="380" w:lineRule="exact"/>
        <w:ind w:left="480"/>
        <w:jc w:val="both"/>
        <w:rPr>
          <w:rFonts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工作</w:t>
      </w:r>
      <w:r>
        <w:rPr>
          <w:rFonts w:ascii="宋体" w:hAnsi="宋体" w:eastAsia="宋体" w:cs="宋体"/>
          <w:color w:val="000000" w:themeColor="text1"/>
          <w14:textFill>
            <w14:solidFill>
              <w14:schemeClr w14:val="tx1"/>
            </w14:solidFill>
          </w14:textFill>
        </w:rPr>
        <w:t>电话：</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14:textFill>
            <w14:solidFill>
              <w14:schemeClr w14:val="tx1"/>
            </w14:solidFill>
          </w14:textFill>
        </w:rPr>
        <w:t>18367587069</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工作</w:t>
      </w:r>
      <w:r>
        <w:rPr>
          <w:rFonts w:ascii="宋体" w:hAnsi="宋体" w:eastAsia="宋体" w:cs="宋体"/>
          <w:color w:val="000000" w:themeColor="text1"/>
          <w14:textFill>
            <w14:solidFill>
              <w14:schemeClr w14:val="tx1"/>
            </w14:solidFill>
          </w14:textFill>
        </w:rPr>
        <w:t>电话：</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14:textFill>
            <w14:solidFill>
              <w14:schemeClr w14:val="tx1"/>
            </w14:solidFill>
          </w14:textFill>
        </w:rPr>
        <w:t>13588558139</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p>
    <w:p>
      <w:pPr>
        <w:spacing w:before="75" w:line="380" w:lineRule="exact"/>
        <w:ind w:left="48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地址：</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14:textFill>
            <w14:solidFill>
              <w14:schemeClr w14:val="tx1"/>
            </w14:solidFill>
          </w14:textFill>
        </w:rPr>
        <w:t>诸暨市陶朱街道健民路9号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地址：</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14:textFill>
            <w14:solidFill>
              <w14:schemeClr w14:val="tx1"/>
            </w14:solidFill>
          </w14:textFill>
        </w:rPr>
        <w:t>诸暨市浣东街道万达财富大厦9楼</w:t>
      </w:r>
      <w:r>
        <w:rPr>
          <w:rFonts w:hint="eastAsia" w:ascii="宋体" w:hAnsi="宋体" w:eastAsia="宋体" w:cs="宋体"/>
          <w:color w:val="000000" w:themeColor="text1"/>
          <w:u w:val="single"/>
          <w14:textFill>
            <w14:solidFill>
              <w14:schemeClr w14:val="tx1"/>
            </w14:solidFill>
          </w14:textFill>
        </w:rPr>
        <w:t xml:space="preserve">    </w:t>
      </w:r>
    </w:p>
    <w:p>
      <w:pPr>
        <w:tabs>
          <w:tab w:val="left" w:pos="6089"/>
        </w:tabs>
        <w:spacing w:before="159" w:line="380" w:lineRule="exact"/>
        <w:ind w:left="5597"/>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2024</w:t>
      </w:r>
      <w:r>
        <w:rPr>
          <w:rFonts w:ascii="宋体" w:hAnsi="宋体" w:eastAsia="宋体" w:cs="宋体"/>
          <w:color w:val="000000" w:themeColor="text1"/>
          <w14:textFill>
            <w14:solidFill>
              <w14:schemeClr w14:val="tx1"/>
            </w14:solidFill>
          </w14:textFill>
        </w:rPr>
        <w:t>年</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6</w:t>
      </w:r>
      <w:r>
        <w:rPr>
          <w:rFonts w:ascii="宋体" w:hAnsi="宋体" w:eastAsia="宋体" w:cs="宋体"/>
          <w:i/>
          <w:iCs/>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月</w:t>
      </w:r>
      <w:r>
        <w:rPr>
          <w:rFonts w:ascii="宋体" w:hAnsi="宋体" w:eastAsia="宋体" w:cs="宋体"/>
          <w:i/>
          <w:iCs/>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14</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日</w:t>
      </w:r>
    </w:p>
    <w:p>
      <w:pPr>
        <w:jc w:val="both"/>
        <w:rPr>
          <w:color w:val="000000" w:themeColor="text1"/>
          <w14:textFill>
            <w14:solidFill>
              <w14:schemeClr w14:val="tx1"/>
            </w14:solidFill>
          </w14:textFill>
        </w:rPr>
      </w:pPr>
    </w:p>
    <w:p>
      <w:pPr>
        <w:pStyle w:val="2"/>
        <w:sectPr>
          <w:footerReference r:id="rId5" w:type="default"/>
          <w:pgSz w:w="11906" w:h="16839"/>
          <w:pgMar w:top="1418" w:right="1559" w:bottom="1418" w:left="1474" w:header="0" w:footer="1032" w:gutter="0"/>
          <w:pgNumType w:start="1"/>
          <w:cols w:space="720" w:num="1"/>
        </w:sectPr>
      </w:pPr>
    </w:p>
    <w:p>
      <w:pPr>
        <w:spacing w:before="318" w:line="225" w:lineRule="auto"/>
        <w:ind w:left="3604"/>
        <w:jc w:val="both"/>
        <w:outlineLvl w:val="0"/>
        <w:rPr>
          <w:rFonts w:ascii="宋体" w:hAnsi="宋体" w:eastAsia="宋体" w:cs="宋体"/>
          <w:color w:val="000000" w:themeColor="text1"/>
          <w:sz w:val="31"/>
          <w:szCs w:val="31"/>
          <w14:textFill>
            <w14:solidFill>
              <w14:schemeClr w14:val="tx1"/>
            </w14:solidFill>
          </w14:textFill>
        </w:rPr>
      </w:pPr>
      <w:bookmarkStart w:id="1" w:name="_bookmark2"/>
      <w:bookmarkEnd w:id="1"/>
      <w:r>
        <w:rPr>
          <w:rFonts w:ascii="宋体" w:hAnsi="宋体" w:eastAsia="宋体" w:cs="宋体"/>
          <w:color w:val="000000" w:themeColor="text1"/>
          <w:sz w:val="31"/>
          <w:szCs w:val="31"/>
          <w14:textOutline w14:w="5791" w14:cap="sq" w14:cmpd="sng" w14:algn="ctr">
            <w14:solidFill>
              <w14:srgbClr w14:val="000000"/>
            </w14:solidFill>
            <w14:prstDash w14:val="solid"/>
            <w14:bevel/>
          </w14:textOutline>
          <w14:textFill>
            <w14:solidFill>
              <w14:schemeClr w14:val="tx1"/>
            </w14:solidFill>
          </w14:textFill>
        </w:rPr>
        <w:t>第二章投标人须知</w:t>
      </w:r>
    </w:p>
    <w:p>
      <w:pPr>
        <w:spacing w:before="236" w:line="220" w:lineRule="auto"/>
        <w:ind w:left="3329"/>
        <w:jc w:val="both"/>
        <w:outlineLvl w:val="1"/>
        <w:rPr>
          <w:rFonts w:ascii="宋体" w:hAnsi="宋体" w:eastAsia="宋体" w:cs="宋体"/>
          <w:color w:val="000000" w:themeColor="text1"/>
          <w:sz w:val="28"/>
          <w:szCs w:val="28"/>
          <w14:textFill>
            <w14:solidFill>
              <w14:schemeClr w14:val="tx1"/>
            </w14:solidFill>
          </w14:textFill>
        </w:rPr>
      </w:pPr>
      <w:bookmarkStart w:id="2" w:name="_bookmark3"/>
      <w:bookmarkEnd w:id="2"/>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第一节投标人须知前附表</w:t>
      </w:r>
    </w:p>
    <w:p>
      <w:pPr>
        <w:spacing w:line="170" w:lineRule="exact"/>
        <w:jc w:val="both"/>
        <w:rPr>
          <w:color w:val="000000" w:themeColor="text1"/>
          <w14:textFill>
            <w14:solidFill>
              <w14:schemeClr w14:val="tx1"/>
            </w14:solidFill>
          </w14:textFill>
        </w:rPr>
      </w:pPr>
    </w:p>
    <w:tbl>
      <w:tblPr>
        <w:tblStyle w:val="35"/>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7"/>
        <w:gridCol w:w="2055"/>
        <w:gridCol w:w="553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Outline w14:w="4356" w14:cap="sq" w14:cmpd="sng" w14:algn="ctr">
                  <w14:solidFill>
                    <w14:srgbClr w14:val="000000"/>
                  </w14:solidFill>
                  <w14:prstDash w14:val="solid"/>
                  <w14:bevel/>
                </w14:textOutline>
                <w14:textFill>
                  <w14:solidFill>
                    <w14:schemeClr w14:val="tx1"/>
                  </w14:solidFill>
                </w14:textFill>
              </w:rPr>
              <w:t>条款号</w:t>
            </w:r>
          </w:p>
        </w:tc>
        <w:tc>
          <w:tcPr>
            <w:tcW w:w="2055" w:type="dxa"/>
            <w:vAlign w:val="center"/>
          </w:tcPr>
          <w:p>
            <w:pPr>
              <w:tabs>
                <w:tab w:val="left" w:pos="1480"/>
              </w:tabs>
              <w:spacing w:line="312" w:lineRule="auto"/>
              <w:ind w:left="105" w:leftChars="50" w:right="105" w:rightChars="50"/>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Outline w14:w="4356" w14:cap="sq" w14:cmpd="sng" w14:algn="ctr">
                  <w14:solidFill>
                    <w14:srgbClr w14:val="000000"/>
                  </w14:solidFill>
                  <w14:prstDash w14:val="solid"/>
                  <w14:bevel/>
                </w14:textOutline>
                <w14:textFill>
                  <w14:solidFill>
                    <w14:schemeClr w14:val="tx1"/>
                  </w14:solidFill>
                </w14:textFill>
              </w:rPr>
              <w:t>条款名称</w:t>
            </w:r>
          </w:p>
        </w:tc>
        <w:tc>
          <w:tcPr>
            <w:tcW w:w="5535" w:type="dxa"/>
            <w:vAlign w:val="center"/>
          </w:tcPr>
          <w:p>
            <w:pPr>
              <w:tabs>
                <w:tab w:val="left" w:pos="5680"/>
              </w:tabs>
              <w:spacing w:line="312" w:lineRule="auto"/>
              <w:ind w:left="105" w:leftChars="50" w:right="105" w:rightChars="50"/>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Outline w14:w="4356" w14:cap="sq" w14:cmpd="sng" w14:algn="ctr">
                  <w14:solidFill>
                    <w14:srgbClr w14:val="000000"/>
                  </w14:solidFill>
                  <w14:prstDash w14:val="solid"/>
                  <w14:bevel/>
                </w14:textOutline>
                <w14:textFill>
                  <w14:solidFill>
                    <w14:schemeClr w14:val="tx1"/>
                  </w14:solidFill>
                </w14:textFill>
              </w:rPr>
              <w:t>编列内容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1.1.2</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招标人</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名称：</w:t>
            </w:r>
            <w:r>
              <w:rPr>
                <w:rFonts w:hint="eastAsia" w:ascii="宋体" w:hAnsi="宋体" w:eastAsia="宋体" w:cs="宋体"/>
                <w:i/>
                <w:iCs/>
                <w:color w:val="000000" w:themeColor="text1"/>
                <w:u w:val="single"/>
                <w14:textFill>
                  <w14:solidFill>
                    <w14:schemeClr w14:val="tx1"/>
                  </w14:solidFill>
                </w14:textFill>
              </w:rPr>
              <w:t>诸暨市人民医院</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地址：</w:t>
            </w:r>
            <w:r>
              <w:rPr>
                <w:rFonts w:hint="eastAsia" w:ascii="宋体" w:hAnsi="宋体" w:eastAsia="宋体" w:cs="宋体"/>
                <w:i/>
                <w:iCs/>
                <w:color w:val="000000" w:themeColor="text1"/>
                <w:u w:val="single"/>
                <w14:textFill>
                  <w14:solidFill>
                    <w14:schemeClr w14:val="tx1"/>
                  </w14:solidFill>
                </w14:textFill>
              </w:rPr>
              <w:t>诸暨市陶朱街道健民路9号</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联系人：</w:t>
            </w:r>
            <w:r>
              <w:rPr>
                <w:rFonts w:hint="eastAsia" w:ascii="宋体" w:hAnsi="宋体" w:eastAsia="宋体" w:cs="宋体"/>
                <w:i/>
                <w:iCs/>
                <w:color w:val="000000" w:themeColor="text1"/>
                <w:u w:val="single"/>
                <w14:textFill>
                  <w14:solidFill>
                    <w14:schemeClr w14:val="tx1"/>
                  </w14:solidFill>
                </w14:textFill>
              </w:rPr>
              <w:t>李阳</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工作</w:t>
            </w:r>
            <w:r>
              <w:rPr>
                <w:rFonts w:ascii="宋体" w:hAnsi="宋体" w:eastAsia="宋体" w:cs="宋体"/>
                <w:color w:val="000000" w:themeColor="text1"/>
                <w14:textFill>
                  <w14:solidFill>
                    <w14:schemeClr w14:val="tx1"/>
                  </w14:solidFill>
                </w14:textFill>
              </w:rPr>
              <w:t>电话：</w:t>
            </w:r>
            <w:r>
              <w:rPr>
                <w:rFonts w:hint="eastAsia" w:ascii="宋体" w:hAnsi="宋体" w:eastAsia="宋体" w:cs="宋体"/>
                <w:i/>
                <w:iCs/>
                <w:color w:val="000000" w:themeColor="text1"/>
                <w:u w:val="single"/>
                <w14:textFill>
                  <w14:solidFill>
                    <w14:schemeClr w14:val="tx1"/>
                  </w14:solidFill>
                </w14:textFill>
              </w:rPr>
              <w:t>18367587069</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电子邮箱：</w:t>
            </w:r>
            <w:r>
              <w:rPr>
                <w:rFonts w:hint="eastAsia" w:ascii="宋体" w:hAnsi="宋体" w:eastAsia="宋体" w:cs="宋体"/>
                <w:i/>
                <w:iCs/>
                <w:color w:val="000000" w:themeColor="text1"/>
                <w:u w:val="single"/>
                <w14:textFill>
                  <w14:solidFill>
                    <w14:schemeClr w14:val="tx1"/>
                  </w14:solidFill>
                </w14:textFill>
              </w:rPr>
              <w:t xml:space="preserve">  /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1.1.3</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招标代理机构</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名称：</w:t>
            </w:r>
            <w:r>
              <w:rPr>
                <w:rFonts w:hint="eastAsia" w:ascii="宋体" w:hAnsi="宋体" w:eastAsia="宋体" w:cs="宋体"/>
                <w:i/>
                <w:iCs/>
                <w:color w:val="000000" w:themeColor="text1"/>
                <w:u w:val="single"/>
                <w14:textFill>
                  <w14:solidFill>
                    <w14:schemeClr w14:val="tx1"/>
                  </w14:solidFill>
                </w14:textFill>
              </w:rPr>
              <w:t>诸暨天宇工程造价咨询有限公司</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地址：</w:t>
            </w:r>
            <w:r>
              <w:rPr>
                <w:rFonts w:hint="eastAsia" w:ascii="宋体" w:hAnsi="宋体" w:eastAsia="宋体" w:cs="宋体"/>
                <w:i/>
                <w:iCs/>
                <w:color w:val="000000" w:themeColor="text1"/>
                <w:u w:val="single"/>
                <w14:textFill>
                  <w14:solidFill>
                    <w14:schemeClr w14:val="tx1"/>
                  </w14:solidFill>
                </w14:textFill>
              </w:rPr>
              <w:t>诸暨市浣东街道万达财富大厦9楼</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联系人：</w:t>
            </w:r>
            <w:r>
              <w:rPr>
                <w:rFonts w:hint="eastAsia" w:ascii="宋体" w:hAnsi="宋体" w:eastAsia="宋体" w:cs="宋体"/>
                <w:i/>
                <w:iCs/>
                <w:color w:val="000000" w:themeColor="text1"/>
                <w:u w:val="single"/>
                <w14:textFill>
                  <w14:solidFill>
                    <w14:schemeClr w14:val="tx1"/>
                  </w14:solidFill>
                </w14:textFill>
              </w:rPr>
              <w:t>周晗</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工作</w:t>
            </w:r>
            <w:r>
              <w:rPr>
                <w:rFonts w:ascii="宋体" w:hAnsi="宋体" w:eastAsia="宋体" w:cs="宋体"/>
                <w:color w:val="000000" w:themeColor="text1"/>
                <w14:textFill>
                  <w14:solidFill>
                    <w14:schemeClr w14:val="tx1"/>
                  </w14:solidFill>
                </w14:textFill>
              </w:rPr>
              <w:t>电话：</w:t>
            </w:r>
            <w:r>
              <w:rPr>
                <w:rFonts w:hint="eastAsia" w:ascii="宋体" w:hAnsi="宋体" w:eastAsia="宋体" w:cs="宋体"/>
                <w:i/>
                <w:iCs/>
                <w:color w:val="000000" w:themeColor="text1"/>
                <w:u w:val="single"/>
                <w14:textFill>
                  <w14:solidFill>
                    <w14:schemeClr w14:val="tx1"/>
                  </w14:solidFill>
                </w14:textFill>
              </w:rPr>
              <w:t>13588558139</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电子邮箱：</w:t>
            </w:r>
            <w:r>
              <w:fldChar w:fldCharType="begin"/>
            </w:r>
            <w:r>
              <w:instrText xml:space="preserve"> HYPERLINK "mailto:478965496@qq.com" </w:instrText>
            </w:r>
            <w:r>
              <w:fldChar w:fldCharType="separate"/>
            </w:r>
            <w:r>
              <w:rPr>
                <w:rStyle w:val="32"/>
                <w:rFonts w:hint="eastAsia" w:ascii="宋体" w:hAnsi="宋体" w:eastAsia="宋体" w:cs="宋体"/>
                <w:i/>
                <w:iCs/>
                <w:color w:val="auto"/>
              </w:rPr>
              <w:t>478965496@qq.com</w:t>
            </w:r>
            <w:r>
              <w:rPr>
                <w:rStyle w:val="32"/>
                <w:rFonts w:hint="eastAsia" w:ascii="宋体" w:hAnsi="宋体" w:eastAsia="宋体" w:cs="宋体"/>
                <w:i/>
                <w:iCs/>
                <w:color w:val="auto"/>
              </w:rPr>
              <w:fldChar w:fldCharType="end"/>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1.1.4</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项目名称</w:t>
            </w:r>
          </w:p>
        </w:tc>
        <w:tc>
          <w:tcPr>
            <w:tcW w:w="5535" w:type="dxa"/>
          </w:tcPr>
          <w:p>
            <w:pPr>
              <w:tabs>
                <w:tab w:val="left" w:pos="5680"/>
              </w:tabs>
              <w:spacing w:line="360" w:lineRule="auto"/>
              <w:ind w:left="105" w:leftChars="50" w:right="105" w:rightChars="50"/>
              <w:jc w:val="both"/>
              <w:rPr>
                <w:color w:val="000000" w:themeColor="text1"/>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诸暨市人民医院二期建设工程—医疗综合体扩改建工程电梯设备采购及安装项目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1.1.5</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建设地点</w:t>
            </w:r>
          </w:p>
        </w:tc>
        <w:tc>
          <w:tcPr>
            <w:tcW w:w="5535" w:type="dxa"/>
          </w:tcPr>
          <w:p>
            <w:pPr>
              <w:tabs>
                <w:tab w:val="left" w:pos="5680"/>
              </w:tabs>
              <w:spacing w:line="360" w:lineRule="auto"/>
              <w:ind w:left="105" w:leftChars="50" w:right="105" w:rightChars="50"/>
              <w:jc w:val="both"/>
              <w:rPr>
                <w:color w:val="000000" w:themeColor="text1"/>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诸暨市人民医院二期建设工程—医疗综合体扩改建工程位于诸暨市陶朱街道健民路9号，南邻健民路，西邻仁爱路，北侧为自然山体绿化。交货地点为诸暨市人民医院二期建设工程—医疗综合体扩改建工程施工现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1.2.1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position w:val="12"/>
                <w14:textFill>
                  <w14:solidFill>
                    <w14:schemeClr w14:val="tx1"/>
                  </w14:solidFill>
                </w14:textFill>
              </w:rPr>
            </w:pPr>
            <w:r>
              <w:rPr>
                <w:rFonts w:ascii="宋体" w:hAnsi="宋体" w:eastAsia="宋体" w:cs="宋体"/>
                <w:color w:val="000000" w:themeColor="text1"/>
                <w:position w:val="12"/>
                <w14:textFill>
                  <w14:solidFill>
                    <w14:schemeClr w14:val="tx1"/>
                  </w14:solidFill>
                </w14:textFill>
              </w:rPr>
              <w:t>资金来源</w:t>
            </w:r>
          </w:p>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及比例</w:t>
            </w:r>
          </w:p>
        </w:tc>
        <w:tc>
          <w:tcPr>
            <w:tcW w:w="5535" w:type="dxa"/>
            <w:vAlign w:val="center"/>
          </w:tcPr>
          <w:p>
            <w:pPr>
              <w:tabs>
                <w:tab w:val="left" w:pos="5680"/>
              </w:tabs>
              <w:spacing w:line="360" w:lineRule="auto"/>
              <w:ind w:left="105" w:leftChars="50" w:right="105" w:rightChars="50"/>
              <w:jc w:val="both"/>
              <w:rPr>
                <w:color w:val="000000" w:themeColor="text1"/>
                <w14:textFill>
                  <w14:solidFill>
                    <w14:schemeClr w14:val="tx1"/>
                  </w14:solidFill>
                </w14:textFill>
              </w:rPr>
            </w:pPr>
            <w:r>
              <w:rPr>
                <w:rFonts w:hint="eastAsia"/>
                <w:i/>
                <w:iCs/>
                <w:color w:val="000000" w:themeColor="text1"/>
                <w:u w:val="single"/>
                <w14:textFill>
                  <w14:solidFill>
                    <w14:schemeClr w14:val="tx1"/>
                  </w14:solidFill>
                </w14:textFill>
              </w:rPr>
              <w:t>财政拨款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1.2.2</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资金落实情况</w:t>
            </w:r>
          </w:p>
        </w:tc>
        <w:tc>
          <w:tcPr>
            <w:tcW w:w="5535" w:type="dxa"/>
          </w:tcPr>
          <w:p>
            <w:pPr>
              <w:tabs>
                <w:tab w:val="left" w:pos="5680"/>
              </w:tabs>
              <w:spacing w:line="360" w:lineRule="auto"/>
              <w:ind w:left="105" w:leftChars="50" w:right="105" w:rightChars="50"/>
              <w:jc w:val="both"/>
              <w:rPr>
                <w:color w:val="000000" w:themeColor="text1"/>
                <w14:textFill>
                  <w14:solidFill>
                    <w14:schemeClr w14:val="tx1"/>
                  </w14:solidFill>
                </w14:textFill>
              </w:rPr>
            </w:pPr>
            <w:r>
              <w:rPr>
                <w:rFonts w:hint="eastAsia" w:eastAsia="宋体"/>
                <w:i/>
                <w:iCs/>
                <w:color w:val="000000" w:themeColor="text1"/>
                <w:u w:val="single"/>
                <w14:textFill>
                  <w14:solidFill>
                    <w14:schemeClr w14:val="tx1"/>
                  </w14:solidFill>
                </w14:textFill>
              </w:rPr>
              <w:t>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1.3.1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招标范围</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见招标公告内容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1.3.2</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交货期</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交货期</w:t>
            </w:r>
            <w:r>
              <w:rPr>
                <w:rFonts w:ascii="宋体" w:hAnsi="宋体" w:eastAsia="宋体" w:cs="宋体"/>
                <w:color w:val="000000" w:themeColor="text1"/>
                <w14:textFill>
                  <w14:solidFill>
                    <w14:schemeClr w14:val="tx1"/>
                  </w14:solidFill>
                </w14:textFill>
              </w:rPr>
              <w:t>不超过</w:t>
            </w:r>
            <w:r>
              <w:rPr>
                <w:rFonts w:hint="eastAsia" w:ascii="宋体" w:hAnsi="宋体" w:eastAsia="宋体" w:cs="宋体"/>
                <w:color w:val="000000" w:themeColor="text1"/>
                <w:u w:val="single"/>
                <w14:textFill>
                  <w14:solidFill>
                    <w14:schemeClr w14:val="tx1"/>
                  </w14:solidFill>
                </w14:textFill>
              </w:rPr>
              <w:t xml:space="preserve"> 100 </w:t>
            </w:r>
            <w:r>
              <w:rPr>
                <w:rFonts w:hint="eastAsia" w:ascii="宋体" w:hAnsi="宋体" w:eastAsia="宋体" w:cs="宋体"/>
                <w:color w:val="000000" w:themeColor="text1"/>
                <w14:textFill>
                  <w14:solidFill>
                    <w14:schemeClr w14:val="tx1"/>
                  </w14:solidFill>
                </w14:textFill>
              </w:rPr>
              <w:t>个</w:t>
            </w:r>
            <w:r>
              <w:rPr>
                <w:rFonts w:ascii="宋体" w:hAnsi="宋体" w:eastAsia="宋体" w:cs="宋体"/>
                <w:color w:val="000000" w:themeColor="text1"/>
                <w14:textFill>
                  <w14:solidFill>
                    <w14:schemeClr w14:val="tx1"/>
                  </w14:solidFill>
                </w14:textFill>
              </w:rPr>
              <w:t>日历天</w:t>
            </w:r>
            <w:r>
              <w:rPr>
                <w:rFonts w:hint="eastAsia" w:ascii="宋体" w:hAnsi="宋体" w:eastAsia="宋体" w:cs="宋体"/>
                <w:color w:val="000000" w:themeColor="text1"/>
                <w14:textFill>
                  <w14:solidFill>
                    <w14:schemeClr w14:val="tx1"/>
                  </w14:solidFill>
                </w14:textFill>
              </w:rPr>
              <w:t>（交货期自接到招标人供货书面通知之日起算），到货后</w:t>
            </w:r>
            <w:r>
              <w:rPr>
                <w:rFonts w:ascii="宋体" w:hAnsi="宋体" w:eastAsia="宋体" w:cs="宋体"/>
                <w:color w:val="000000" w:themeColor="text1"/>
                <w14:textFill>
                  <w14:solidFill>
                    <w14:schemeClr w14:val="tx1"/>
                  </w14:solidFill>
                </w14:textFill>
              </w:rPr>
              <w:t>不超过</w:t>
            </w:r>
            <w:r>
              <w:rPr>
                <w:rFonts w:hint="eastAsia" w:ascii="宋体" w:hAnsi="宋体" w:eastAsia="宋体" w:cs="宋体"/>
                <w:color w:val="000000" w:themeColor="text1"/>
                <w:u w:val="single"/>
                <w14:textFill>
                  <w14:solidFill>
                    <w14:schemeClr w14:val="tx1"/>
                  </w14:solidFill>
                </w14:textFill>
              </w:rPr>
              <w:t xml:space="preserve"> 100 </w:t>
            </w:r>
            <w:r>
              <w:rPr>
                <w:rFonts w:hint="eastAsia" w:ascii="宋体" w:hAnsi="宋体" w:eastAsia="宋体" w:cs="宋体"/>
                <w:color w:val="000000" w:themeColor="text1"/>
                <w14:textFill>
                  <w14:solidFill>
                    <w14:schemeClr w14:val="tx1"/>
                  </w14:solidFill>
                </w14:textFill>
              </w:rPr>
              <w:t>个日历天内完成安装、调试并通过当地特种设备检测机构验收</w:t>
            </w:r>
            <w:r>
              <w:rPr>
                <w:rFonts w:ascii="宋体" w:hAnsi="宋体" w:eastAsia="宋体" w:cs="宋体"/>
                <w:color w:val="000000" w:themeColor="text1"/>
                <w14:textFill>
                  <w14:solidFill>
                    <w14:schemeClr w14:val="tx1"/>
                  </w14:solidFill>
                </w14:textFill>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1.3.3</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质量保证期</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不少于</w:t>
            </w:r>
            <w:r>
              <w:rPr>
                <w:rFonts w:hint="eastAsia" w:ascii="宋体" w:hAnsi="宋体" w:eastAsia="宋体" w:cs="宋体"/>
                <w:color w:val="000000" w:themeColor="text1"/>
                <w:u w:val="single"/>
                <w14:textFill>
                  <w14:solidFill>
                    <w14:schemeClr w14:val="tx1"/>
                  </w14:solidFill>
                </w14:textFill>
              </w:rPr>
              <w:t xml:space="preserve"> 24 </w:t>
            </w:r>
            <w:r>
              <w:rPr>
                <w:rFonts w:ascii="宋体" w:hAnsi="宋体" w:eastAsia="宋体" w:cs="宋体"/>
                <w:color w:val="000000" w:themeColor="text1"/>
                <w14:textFill>
                  <w14:solidFill>
                    <w14:schemeClr w14:val="tx1"/>
                  </w14:solidFill>
                </w14:textFill>
              </w:rPr>
              <w:t>个月，时间从</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14:textFill>
                  <w14:solidFill>
                    <w14:schemeClr w14:val="tx1"/>
                  </w14:solidFill>
                </w14:textFill>
              </w:rPr>
              <w:t>项目通过综合竣工验收</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起算。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1.4.1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投标人资格条件、要求</w:t>
            </w:r>
          </w:p>
        </w:tc>
        <w:tc>
          <w:tcPr>
            <w:tcW w:w="5535" w:type="dxa"/>
            <w:vAlign w:val="center"/>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见招标公告内容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1.4.2</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是否接受联合体投标</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□不接受</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接受，应满足下列要求：</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1.投标人（和项目负责人）自 2021 年 1 月 1 日起至投标截止日无行贿犯罪记录（以在中国裁判文书网查询的结果为准）。</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2.①如投标人为投标产品制造商的，应提供《中华人民共和国特种设备生产许可证》【许可项目涵盖：电梯制造（含安装、修理、改造）；许可子项目涵盖：曳引驱动乘客电梯（含消防员电梯）、自动扶梯与自动人行道】；</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②如投标人为经销商的，应提供投标产品制造商的《中华人民共和国特种设备生产许可证》【许可项目涵盖：电梯制造（含安装、修理、改造）；许可子项目涵盖：曳引驱动乘客电梯（含消防员电梯）、自动扶梯与自动人行道】；同时，提供投标人的《中华人民共和国特种设备生产许可证》【许可项目涵盖：电梯制造（含安装、修理、改造）或电梯安装（含修理）；许可子项目涵盖：曳引驱动乘客电梯（含消防员电梯）、自动扶梯与自动人行道】；</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③如投标人为联合体投标的，应提供投标产品制造商的《中华人民共和国特种设备生产许可证》【许可项目涵盖：电梯制造（含安装、修理、改造）；许可子项目涵盖：曳引驱动乘客电梯（含消防员电梯）、自动扶梯与自动人行道】；同时，提供联合体负责安装维保成员的《中华人民共和国特种设备生产许可证》【许可项目涵盖：电梯制造（含安装、修理、改造）或电梯安装（含修理）；许可子项目涵盖：曳引驱动乘客电梯（含消防员电梯）、自动扶梯与自动人行道】。</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注：上述证件均为按《市场监管总局关于特种设备行政许可有关事项的公告》（2021年第41号）所换的新证，若投标人尚未换取新证，须提供老证（老证尚未取消且在有效期内）。以上提供的证书均需在有效期内，且均需提供原件复印件并加盖证书持有单位公章及投标人公章（投标人为证书持有单位的，可只盖投标人公章）。</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（2）一个制造商对同一品牌同一型号的设备，仅能委托一个代理商参加投标。代理商投标的，提供投标电梯品牌制造商唯一授权书。</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（3）投标人不得存在进入清算程序或被宣告破产，或其他丧失履约能力的情形。提供承诺函。</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3.本</w:t>
            </w:r>
            <w:r>
              <w:rPr>
                <w:rFonts w:ascii="宋体" w:hAnsi="宋体" w:eastAsia="宋体" w:cs="宋体"/>
                <w:i/>
                <w:iCs/>
                <w:color w:val="000000" w:themeColor="text1"/>
                <w:u w:val="single"/>
                <w14:textFill>
                  <w14:solidFill>
                    <w14:schemeClr w14:val="tx1"/>
                  </w14:solidFill>
                </w14:textFill>
              </w:rPr>
              <w:t>次招标接受联合体投标，联合体投标的，应满足下列要求：</w:t>
            </w:r>
            <w:r>
              <w:rPr>
                <w:rFonts w:hint="eastAsia" w:ascii="宋体" w:hAnsi="宋体" w:eastAsia="宋体" w:cs="宋体"/>
                <w:i/>
                <w:iCs/>
                <w:color w:val="000000" w:themeColor="text1"/>
                <w:u w:val="single"/>
                <w14:textFill>
                  <w14:solidFill>
                    <w14:schemeClr w14:val="tx1"/>
                  </w14:solidFill>
                </w14:textFill>
              </w:rPr>
              <w:t>联合体成员应全部满足上述第1-2条规定的资格要求。同时，联合体还应当符合国家有关法律、法规、规章及项目所在地有关联合体投标的规定，包括：《中华人民共和国招标投标法》第三十一条、《中华人民共和国招标投标法实施条例》第三十七条、《工程建设项目货物招标投标办法》（七部委27号令）第三十八条以及投标人须知1.4.2和1.4.3等的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1.9.1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踏勘现场</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不组织。</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□组织。联系人：</w:t>
            </w:r>
            <w:r>
              <w:rPr>
                <w:rFonts w:hint="eastAsia" w:ascii="宋体" w:hAnsi="宋体" w:eastAsia="宋体" w:cs="宋体"/>
                <w:color w:val="000000" w:themeColor="text1"/>
                <w:u w:val="single"/>
                <w14:textFill>
                  <w14:solidFill>
                    <w14:schemeClr w14:val="tx1"/>
                  </w14:solidFill>
                </w14:textFill>
              </w:rPr>
              <w:t xml:space="preserve">    /   </w:t>
            </w:r>
            <w:r>
              <w:rPr>
                <w:rFonts w:ascii="宋体" w:hAnsi="宋体" w:eastAsia="宋体" w:cs="宋体"/>
                <w:color w:val="000000" w:themeColor="text1"/>
                <w14:textFill>
                  <w14:solidFill>
                    <w14:schemeClr w14:val="tx1"/>
                  </w14:solidFill>
                </w14:textFill>
              </w:rPr>
              <w:t>联系电话：</w:t>
            </w:r>
            <w:r>
              <w:rPr>
                <w:rFonts w:hint="eastAsia" w:ascii="宋体" w:hAnsi="宋体" w:eastAsia="宋体" w:cs="宋体"/>
                <w:color w:val="000000" w:themeColor="text1"/>
                <w:u w:val="single"/>
                <w14:textFill>
                  <w14:solidFill>
                    <w14:schemeClr w14:val="tx1"/>
                  </w14:solidFill>
                </w14:textFill>
              </w:rPr>
              <w:t xml:space="preserve">   /   </w:t>
            </w:r>
            <w:r>
              <w:rPr>
                <w:rFonts w:ascii="宋体" w:hAnsi="宋体" w:eastAsia="宋体" w:cs="宋体"/>
                <w:color w:val="000000" w:themeColor="text1"/>
                <w14:textFill>
                  <w14:solidFill>
                    <w14:schemeClr w14:val="tx1"/>
                  </w14:solidFill>
                </w14:textFill>
              </w:rPr>
              <w:t>踏勘时间：</w:t>
            </w:r>
            <w:r>
              <w:rPr>
                <w:rFonts w:hint="eastAsia" w:ascii="宋体" w:hAnsi="宋体" w:eastAsia="宋体" w:cs="宋体"/>
                <w:color w:val="000000" w:themeColor="text1"/>
                <w:u w:val="single"/>
                <w14:textFill>
                  <w14:solidFill>
                    <w14:schemeClr w14:val="tx1"/>
                  </w14:solidFill>
                </w14:textFill>
              </w:rPr>
              <w:t xml:space="preserve">      /         </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踏勘集中地点：</w:t>
            </w:r>
            <w:r>
              <w:rPr>
                <w:rFonts w:hint="eastAsia" w:ascii="宋体" w:hAnsi="宋体" w:eastAsia="宋体" w:cs="宋体"/>
                <w:color w:val="000000" w:themeColor="text1"/>
                <w:u w:val="single"/>
                <w14:textFill>
                  <w14:solidFill>
                    <w14:schemeClr w14:val="tx1"/>
                  </w14:solidFill>
                </w14:textFill>
              </w:rPr>
              <w:t xml:space="preserve">      /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1.10.1</w:t>
            </w:r>
          </w:p>
        </w:tc>
        <w:tc>
          <w:tcPr>
            <w:tcW w:w="2055" w:type="dxa"/>
            <w:vAlign w:val="center"/>
          </w:tcPr>
          <w:p>
            <w:pPr>
              <w:widowControl w:val="0"/>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投标预备会</w:t>
            </w:r>
          </w:p>
        </w:tc>
        <w:tc>
          <w:tcPr>
            <w:tcW w:w="5535" w:type="dxa"/>
          </w:tcPr>
          <w:p>
            <w:pPr>
              <w:widowControl w:val="0"/>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不召开。</w:t>
            </w:r>
          </w:p>
          <w:p>
            <w:pPr>
              <w:widowControl w:val="0"/>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□召开。召开时间：</w:t>
            </w:r>
            <w:r>
              <w:rPr>
                <w:rFonts w:hint="eastAsia" w:ascii="宋体" w:hAnsi="宋体" w:eastAsia="宋体" w:cs="宋体"/>
                <w:color w:val="000000" w:themeColor="text1"/>
                <w:u w:val="single"/>
                <w14:textFill>
                  <w14:solidFill>
                    <w14:schemeClr w14:val="tx1"/>
                  </w14:solidFill>
                </w14:textFill>
              </w:rPr>
              <w:t xml:space="preserve">     /     </w:t>
            </w:r>
            <w:r>
              <w:rPr>
                <w:rFonts w:ascii="宋体" w:hAnsi="宋体" w:eastAsia="宋体" w:cs="宋体"/>
                <w:color w:val="000000" w:themeColor="text1"/>
                <w14:textFill>
                  <w14:solidFill>
                    <w14:schemeClr w14:val="tx1"/>
                  </w14:solidFill>
                </w14:textFill>
              </w:rPr>
              <w:t>召开地点：</w:t>
            </w:r>
            <w:r>
              <w:rPr>
                <w:rFonts w:hint="eastAsia" w:ascii="宋体" w:hAnsi="宋体" w:eastAsia="宋体" w:cs="宋体"/>
                <w:color w:val="000000" w:themeColor="text1"/>
                <w:u w:val="single"/>
                <w14:textFill>
                  <w14:solidFill>
                    <w14:schemeClr w14:val="tx1"/>
                  </w14:solidFill>
                </w14:textFill>
              </w:rPr>
              <w:t xml:space="preserve">   /  </w:t>
            </w:r>
            <w:r>
              <w:rPr>
                <w:rFonts w:hint="eastAsia" w:ascii="宋体" w:hAnsi="宋体" w:eastAsia="宋体" w:cs="宋体"/>
                <w:color w:val="000000" w:themeColor="text1"/>
                <w14:textFill>
                  <w14:solidFill>
                    <w14:schemeClr w14:val="tx1"/>
                  </w14:solidFill>
                </w14:textFill>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1.10.2</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投标人提出问题的截止时间、上传疑问方式</w:t>
            </w:r>
          </w:p>
        </w:tc>
        <w:tc>
          <w:tcPr>
            <w:tcW w:w="5535" w:type="dxa"/>
          </w:tcPr>
          <w:p>
            <w:pPr>
              <w:snapToGrid/>
              <w:spacing w:line="360" w:lineRule="auto"/>
              <w:rPr>
                <w:rFonts w:ascii="宋体" w:hAnsi="宋体"/>
                <w:color w:val="auto"/>
                <w:u w:val="single"/>
              </w:rPr>
            </w:pPr>
            <w:r>
              <w:rPr>
                <w:rFonts w:hint="eastAsia" w:ascii="宋体"/>
              </w:rPr>
              <w:t>提问截止时间：</w:t>
            </w:r>
            <w:r>
              <w:rPr>
                <w:rFonts w:hint="eastAsia" w:ascii="宋体"/>
                <w:u w:val="single"/>
              </w:rPr>
              <w:t xml:space="preserve"> </w:t>
            </w:r>
            <w:r>
              <w:rPr>
                <w:rFonts w:hint="eastAsia" w:ascii="宋体" w:eastAsia="宋体"/>
                <w:i/>
                <w:iCs/>
                <w:u w:val="single"/>
                <w:lang w:val="en-US" w:eastAsia="zh-CN"/>
              </w:rPr>
              <w:t>2024</w:t>
            </w:r>
            <w:r>
              <w:rPr>
                <w:rFonts w:hint="eastAsia" w:ascii="宋体"/>
                <w:u w:val="single"/>
              </w:rPr>
              <w:t xml:space="preserve"> </w:t>
            </w:r>
            <w:r>
              <w:rPr>
                <w:rFonts w:hint="eastAsia" w:ascii="宋体"/>
              </w:rPr>
              <w:t>年</w:t>
            </w:r>
            <w:r>
              <w:rPr>
                <w:rFonts w:hint="eastAsia" w:ascii="宋体"/>
                <w:u w:val="single"/>
              </w:rPr>
              <w:t xml:space="preserve"> </w:t>
            </w:r>
            <w:r>
              <w:rPr>
                <w:rFonts w:hint="eastAsia" w:ascii="宋体" w:eastAsia="宋体"/>
                <w:i/>
                <w:iCs/>
                <w:u w:val="single"/>
                <w:lang w:val="en-US" w:eastAsia="zh-CN"/>
              </w:rPr>
              <w:t>6</w:t>
            </w:r>
            <w:r>
              <w:rPr>
                <w:rFonts w:hint="eastAsia" w:ascii="宋体"/>
                <w:u w:val="single"/>
              </w:rPr>
              <w:t xml:space="preserve"> </w:t>
            </w:r>
            <w:r>
              <w:rPr>
                <w:rFonts w:hint="eastAsia" w:ascii="宋体"/>
              </w:rPr>
              <w:t>月</w:t>
            </w:r>
            <w:r>
              <w:rPr>
                <w:rFonts w:hint="eastAsia" w:ascii="宋体"/>
                <w:u w:val="single"/>
              </w:rPr>
              <w:t xml:space="preserve"> </w:t>
            </w:r>
            <w:r>
              <w:rPr>
                <w:rFonts w:hint="eastAsia" w:ascii="宋体" w:eastAsia="宋体"/>
                <w:i/>
                <w:iCs/>
                <w:u w:val="single"/>
                <w:lang w:val="en-US" w:eastAsia="zh-CN"/>
              </w:rPr>
              <w:t>20</w:t>
            </w:r>
            <w:r>
              <w:rPr>
                <w:rFonts w:hint="eastAsia" w:ascii="宋体"/>
                <w:u w:val="single"/>
              </w:rPr>
              <w:t xml:space="preserve"> </w:t>
            </w:r>
            <w:r>
              <w:rPr>
                <w:rFonts w:hint="eastAsia" w:ascii="宋体"/>
              </w:rPr>
              <w:t>日</w:t>
            </w:r>
            <w:r>
              <w:rPr>
                <w:rFonts w:hint="eastAsia" w:ascii="宋体"/>
                <w:u w:val="single"/>
              </w:rPr>
              <w:t xml:space="preserve"> </w:t>
            </w:r>
            <w:r>
              <w:rPr>
                <w:rFonts w:hint="eastAsia" w:ascii="宋体" w:eastAsia="宋体"/>
                <w:i/>
                <w:iCs/>
                <w:u w:val="single"/>
                <w:lang w:val="en-US" w:eastAsia="zh-CN"/>
              </w:rPr>
              <w:t>17</w:t>
            </w:r>
            <w:r>
              <w:rPr>
                <w:rFonts w:hint="eastAsia" w:ascii="宋体"/>
                <w:u w:val="single"/>
              </w:rPr>
              <w:t xml:space="preserve"> </w:t>
            </w:r>
            <w:r>
              <w:rPr>
                <w:rFonts w:hint="eastAsia" w:ascii="宋体"/>
              </w:rPr>
              <w:t>时</w:t>
            </w:r>
            <w:r>
              <w:rPr>
                <w:rFonts w:hint="eastAsia" w:ascii="宋体"/>
                <w:u w:val="single"/>
              </w:rPr>
              <w:t xml:space="preserve"> </w:t>
            </w:r>
            <w:r>
              <w:rPr>
                <w:rFonts w:hint="eastAsia" w:ascii="宋体" w:eastAsia="宋体"/>
                <w:i/>
                <w:iCs/>
                <w:u w:val="single"/>
                <w:lang w:val="en-US" w:eastAsia="zh-CN"/>
              </w:rPr>
              <w:t>00</w:t>
            </w:r>
            <w:r>
              <w:rPr>
                <w:rFonts w:hint="eastAsia" w:ascii="宋体"/>
                <w:u w:val="single"/>
              </w:rPr>
              <w:t xml:space="preserve"> </w:t>
            </w:r>
            <w:r>
              <w:rPr>
                <w:rFonts w:hint="eastAsia" w:ascii="宋体"/>
              </w:rPr>
              <w:t>分。</w:t>
            </w:r>
            <w:r>
              <w:rPr>
                <w:rFonts w:hint="eastAsia" w:ascii="宋体" w:hAnsi="宋体"/>
              </w:rPr>
              <w:t>（投标人在截止时间以后提出的澄清招标文件的要求，招标人可以拒绝受理），提交方式:</w:t>
            </w:r>
            <w:r>
              <w:fldChar w:fldCharType="begin"/>
            </w:r>
            <w:r>
              <w:instrText xml:space="preserve"> HYPERLINK "mailto:请在上述时间截止前将加盖公章的PDF电子格式的投标提问书发送至478965496@qq.com" </w:instrText>
            </w:r>
            <w:r>
              <w:fldChar w:fldCharType="separate"/>
            </w:r>
            <w:r>
              <w:rPr>
                <w:rStyle w:val="32"/>
                <w:rFonts w:hint="eastAsia" w:ascii="宋体" w:hAnsi="宋体"/>
                <w:i/>
                <w:color w:val="auto"/>
              </w:rPr>
              <w:t>请在上述时间截止前将加盖公章的PDF电子格式的投标提问书发送至</w:t>
            </w:r>
            <w:r>
              <w:rPr>
                <w:rStyle w:val="32"/>
                <w:rFonts w:hint="eastAsia" w:ascii="宋体" w:hAnsi="宋体" w:eastAsia="宋体"/>
                <w:i/>
                <w:color w:val="auto"/>
              </w:rPr>
              <w:t>478965496@qq.com</w:t>
            </w:r>
            <w:r>
              <w:rPr>
                <w:rStyle w:val="32"/>
                <w:rFonts w:hint="eastAsia" w:ascii="宋体" w:hAnsi="宋体" w:eastAsia="宋体"/>
                <w:i/>
                <w:color w:val="auto"/>
              </w:rPr>
              <w:fldChar w:fldCharType="end"/>
            </w:r>
            <w:r>
              <w:rPr>
                <w:rFonts w:hint="eastAsia" w:ascii="宋体" w:hAnsi="宋体"/>
                <w:i/>
                <w:color w:val="auto"/>
                <w:u w:val="single"/>
              </w:rPr>
              <w:t>。</w:t>
            </w:r>
          </w:p>
          <w:p>
            <w:pPr>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olor w:val="auto"/>
              </w:rPr>
              <w:t>工作电话</w:t>
            </w:r>
            <w:r>
              <w:rPr>
                <w:rFonts w:hint="eastAsia" w:ascii="宋体" w:hAnsi="宋体"/>
              </w:rPr>
              <w:t>：</w:t>
            </w:r>
            <w:r>
              <w:rPr>
                <w:rFonts w:hint="eastAsia" w:ascii="宋体" w:hAnsi="宋体"/>
                <w:i/>
                <w:u w:val="single"/>
              </w:rPr>
              <w:t xml:space="preserve"> </w:t>
            </w:r>
            <w:r>
              <w:rPr>
                <w:rFonts w:hint="eastAsia" w:ascii="宋体" w:hAnsi="宋体" w:eastAsia="宋体"/>
                <w:i/>
                <w:u w:val="single"/>
              </w:rPr>
              <w:t>13588558139</w:t>
            </w:r>
            <w:r>
              <w:rPr>
                <w:rFonts w:hint="eastAsia" w:ascii="宋体" w:hAnsi="宋体"/>
                <w:i/>
                <w:u w:val="single"/>
              </w:rPr>
              <w:t xml:space="preserve"> </w:t>
            </w:r>
            <w:r>
              <w:rPr>
                <w:rFonts w:hint="eastAsia" w:ascii="宋体" w:hAnsi="宋体"/>
              </w:rPr>
              <w:t>联系人：</w:t>
            </w:r>
            <w:r>
              <w:rPr>
                <w:rFonts w:hint="eastAsia" w:ascii="宋体" w:hAnsi="宋体"/>
                <w:i/>
                <w:u w:val="single"/>
              </w:rPr>
              <w:t xml:space="preserve"> </w:t>
            </w:r>
            <w:r>
              <w:rPr>
                <w:rFonts w:hint="eastAsia" w:ascii="宋体" w:hAnsi="宋体" w:eastAsia="宋体"/>
                <w:i/>
                <w:u w:val="single"/>
              </w:rPr>
              <w:t>周晗</w:t>
            </w:r>
            <w:r>
              <w:rPr>
                <w:rFonts w:hint="eastAsia" w:ascii="宋体" w:hAnsi="宋体" w:eastAsia="宋体"/>
                <w:i/>
                <w:u w:val="single"/>
                <w:lang w:val="en-US" w:eastAsia="zh-CN"/>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1.10.3</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招标文件的澄清、补充、修改的时间，澄清、修改、补充文件的下载网址</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澄清、补充、修改的内容不影响投标文件编制的，将在投标文件递交截止时间天前，以上款相同的形式发布。</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潜在投标人应自行关注诸暨市公共资源交易网，招标人不再逐一通知。投标人因自身贻误行为导致投标失败的，责任自负。</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公布、</w:t>
            </w:r>
            <w:r>
              <w:rPr>
                <w:rFonts w:ascii="宋体" w:hAnsi="宋体" w:eastAsia="宋体" w:cs="宋体"/>
                <w:color w:val="000000" w:themeColor="text1"/>
                <w14:textFill>
                  <w14:solidFill>
                    <w14:schemeClr w14:val="tx1"/>
                  </w14:solidFill>
                </w14:textFill>
              </w:rPr>
              <w:t>下载网址：</w:t>
            </w:r>
            <w:r>
              <w:rPr>
                <w:rFonts w:hint="eastAsia" w:ascii="宋体" w:hAnsi="宋体" w:eastAsia="宋体" w:cs="宋体"/>
                <w:i/>
                <w:iCs/>
                <w:color w:val="000000" w:themeColor="text1"/>
                <w:u w:val="single"/>
                <w14:textFill>
                  <w14:solidFill>
                    <w14:schemeClr w14:val="tx1"/>
                  </w14:solidFill>
                </w14:textFill>
              </w:rPr>
              <w:t>诸暨市公共资源交易网（</w:t>
            </w:r>
            <w:r>
              <w:rPr>
                <w:rFonts w:hint="eastAsia" w:ascii="宋体" w:hAnsi="宋体"/>
                <w:i/>
                <w:iCs/>
                <w:u w:val="single"/>
              </w:rPr>
              <w:t>https://www.zhuji.gov.cn/col/col1388385/</w:t>
            </w:r>
            <w:r>
              <w:rPr>
                <w:rFonts w:hint="eastAsia" w:ascii="宋体" w:hAnsi="宋体" w:eastAsia="宋体" w:cs="宋体"/>
                <w:i/>
                <w:iCs/>
                <w:color w:val="000000" w:themeColor="text1"/>
                <w:u w:val="single"/>
                <w14:textFill>
                  <w14:solidFill>
                    <w14:schemeClr w14:val="tx1"/>
                  </w14:solidFill>
                </w14:textFill>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分包</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不允许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1.12</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偏离</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□不允许。</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允许。允许偏离的内容、偏离范围和幅度：</w:t>
            </w:r>
            <w:r>
              <w:rPr>
                <w:rFonts w:hint="eastAsia" w:ascii="宋体" w:hAnsi="宋体" w:eastAsia="宋体" w:cs="宋体"/>
                <w:i/>
                <w:iCs/>
                <w:color w:val="000000" w:themeColor="text1"/>
                <w:u w:val="single"/>
                <w14:textFill>
                  <w14:solidFill>
                    <w14:schemeClr w14:val="tx1"/>
                  </w14:solidFill>
                </w14:textFill>
              </w:rPr>
              <w:t>不允许负偏离，供应商应当完全响应或优于本次招标文件中的技术要求（详见招标文件第五章），否则其投标文件将被否决。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构成招标文件的其他材料</w:t>
            </w:r>
          </w:p>
        </w:tc>
        <w:tc>
          <w:tcPr>
            <w:tcW w:w="5535" w:type="dxa"/>
            <w:vAlign w:val="center"/>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 xml:space="preserve">   /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2.2.1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投标人要求澄清招标文件的截止时间</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同投标人须知前附表第1.10.2项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2.2.2</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投标截止时间</w:t>
            </w:r>
          </w:p>
        </w:tc>
        <w:tc>
          <w:tcPr>
            <w:tcW w:w="5535" w:type="dxa"/>
          </w:tcPr>
          <w:p>
            <w:pPr>
              <w:tabs>
                <w:tab w:val="left" w:pos="558"/>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i/>
                <w:iCs/>
                <w:color w:val="000000" w:themeColor="text1"/>
                <w:u w:val="single"/>
                <w:lang w:val="en-US" w:eastAsia="zh-CN"/>
                <w14:textFill>
                  <w14:solidFill>
                    <w14:schemeClr w14:val="tx1"/>
                  </w14:solidFill>
                </w14:textFill>
              </w:rPr>
              <w:t>2024</w:t>
            </w:r>
            <w:r>
              <w:rPr>
                <w:rFonts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7</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10</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日</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09</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时</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30</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2.2.3</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投标人确认收到招标文件澄清的时间</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潜在投标人应自行关注</w:t>
            </w:r>
            <w:r>
              <w:rPr>
                <w:rFonts w:hint="eastAsia" w:ascii="宋体" w:hAnsi="宋体" w:eastAsia="宋体" w:cs="宋体"/>
                <w:i/>
                <w:iCs/>
                <w:color w:val="000000" w:themeColor="text1"/>
                <w:u w:val="single"/>
                <w14:textFill>
                  <w14:solidFill>
                    <w14:schemeClr w14:val="tx1"/>
                  </w14:solidFill>
                </w14:textFill>
              </w:rPr>
              <w:t>诸暨市公共资源交易网（</w:t>
            </w:r>
            <w:r>
              <w:rPr>
                <w:rFonts w:hint="eastAsia" w:ascii="宋体" w:hAnsi="宋体"/>
                <w:i/>
                <w:iCs/>
                <w:u w:val="single"/>
              </w:rPr>
              <w:t>https://www.zhuji.gov.cn/col/col1388385/</w:t>
            </w:r>
            <w:r>
              <w:rPr>
                <w:rFonts w:hint="eastAsia" w:ascii="宋体" w:hAnsi="宋体" w:eastAsia="宋体" w:cs="宋体"/>
                <w:i/>
                <w:iCs/>
                <w:color w:val="000000" w:themeColor="text1"/>
                <w:u w:val="single"/>
                <w14:textFill>
                  <w14:solidFill>
                    <w14:schemeClr w14:val="tx1"/>
                  </w14:solidFill>
                </w14:textFill>
              </w:rPr>
              <w:t>）</w:t>
            </w:r>
            <w:r>
              <w:rPr>
                <w:rFonts w:ascii="宋体" w:hAnsi="宋体" w:eastAsia="宋体" w:cs="宋体"/>
                <w:color w:val="000000" w:themeColor="text1"/>
                <w14:textFill>
                  <w14:solidFill>
                    <w14:schemeClr w14:val="tx1"/>
                  </w14:solidFill>
                </w14:textFill>
              </w:rPr>
              <w:t>，招标人不再一一通知。投标人因自身贻误行为导致投标失败的，责任自负。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构成投标文件</w:t>
            </w:r>
          </w:p>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其他材料</w:t>
            </w:r>
          </w:p>
        </w:tc>
        <w:tc>
          <w:tcPr>
            <w:tcW w:w="5535" w:type="dxa"/>
            <w:vAlign w:val="center"/>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 xml:space="preserve">  /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3.2.3</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最高投标限价</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本次招标最高投标限价为</w:t>
            </w:r>
            <w:r>
              <w:rPr>
                <w:rFonts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1170</w:t>
            </w:r>
            <w:r>
              <w:rPr>
                <w:rFonts w:hint="eastAsia" w:ascii="宋体" w:hAnsi="宋体" w:eastAsia="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万元</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□在投标截止时间15个日历天前以补充文件的形式公布</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□本次招标最高投标限价的计算方法：。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3.2.4</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投标报价的</w:t>
            </w:r>
          </w:p>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其他要求</w:t>
            </w:r>
          </w:p>
        </w:tc>
        <w:tc>
          <w:tcPr>
            <w:tcW w:w="5535" w:type="dxa"/>
            <w:vAlign w:val="center"/>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 xml:space="preserve">  /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3.3.1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投标有效期</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不少于个</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90</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日历天(从投标截止之日起算)。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3.4</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投标保证金数额</w:t>
            </w:r>
          </w:p>
        </w:tc>
        <w:tc>
          <w:tcPr>
            <w:tcW w:w="5535" w:type="dxa"/>
            <w:vAlign w:val="center"/>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投标保证金的金额与形式：见公告。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3.5.2</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近年财务状况的年份要求</w:t>
            </w:r>
          </w:p>
        </w:tc>
        <w:tc>
          <w:tcPr>
            <w:tcW w:w="5535" w:type="dxa"/>
            <w:vAlign w:val="center"/>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 xml:space="preserve">  /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3.5.3</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近年完成的类似项目的年份要求</w:t>
            </w:r>
          </w:p>
        </w:tc>
        <w:tc>
          <w:tcPr>
            <w:tcW w:w="5535" w:type="dxa"/>
            <w:vAlign w:val="center"/>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投标人须提供所投电梯品牌生产制造商（或经销商）自2020年1月1日以来，具有单个合同金额在600万元及以上的医院电梯项目业绩，投标文件中提供合同复印件，时间以合同签订时间为准，金额以合同中载明金额为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3.5.5</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近年发生的重大诉讼及仲裁情况的年份要求</w:t>
            </w:r>
          </w:p>
        </w:tc>
        <w:tc>
          <w:tcPr>
            <w:tcW w:w="5535" w:type="dxa"/>
            <w:vAlign w:val="center"/>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 xml:space="preserve">  /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3.5.7</w:t>
            </w:r>
          </w:p>
        </w:tc>
        <w:tc>
          <w:tcPr>
            <w:tcW w:w="2055" w:type="dxa"/>
            <w:vAlign w:val="center"/>
          </w:tcPr>
          <w:p>
            <w:pPr>
              <w:tabs>
                <w:tab w:val="left" w:pos="1480"/>
              </w:tabs>
              <w:spacing w:line="312" w:lineRule="auto"/>
              <w:ind w:left="105" w:leftChars="50" w:right="105" w:rightChars="50"/>
              <w:jc w:val="both"/>
              <w:rPr>
                <w:color w:val="000000" w:themeColor="text1"/>
                <w14:textFill>
                  <w14:solidFill>
                    <w14:schemeClr w14:val="tx1"/>
                  </w14:solidFill>
                </w14:textFill>
              </w:rPr>
            </w:pPr>
          </w:p>
          <w:p>
            <w:pPr>
              <w:tabs>
                <w:tab w:val="left" w:pos="1480"/>
              </w:tabs>
              <w:spacing w:line="312" w:lineRule="auto"/>
              <w:ind w:left="105" w:leftChars="50" w:right="105" w:rightChars="50"/>
              <w:jc w:val="both"/>
              <w:rPr>
                <w:color w:val="000000" w:themeColor="text1"/>
                <w14:textFill>
                  <w14:solidFill>
                    <w14:schemeClr w14:val="tx1"/>
                  </w14:solidFill>
                </w14:textFill>
              </w:rPr>
            </w:pPr>
          </w:p>
          <w:p>
            <w:pPr>
              <w:tabs>
                <w:tab w:val="left" w:pos="1480"/>
              </w:tabs>
              <w:spacing w:line="312" w:lineRule="auto"/>
              <w:ind w:left="105" w:leftChars="50" w:right="105" w:rightChars="50"/>
              <w:jc w:val="both"/>
              <w:rPr>
                <w:color w:val="000000" w:themeColor="text1"/>
                <w14:textFill>
                  <w14:solidFill>
                    <w14:schemeClr w14:val="tx1"/>
                  </w14:solidFill>
                </w14:textFill>
              </w:rPr>
            </w:pPr>
          </w:p>
          <w:p>
            <w:pPr>
              <w:tabs>
                <w:tab w:val="left" w:pos="1480"/>
              </w:tabs>
              <w:spacing w:line="312" w:lineRule="auto"/>
              <w:ind w:left="105" w:leftChars="50" w:right="105" w:rightChars="50"/>
              <w:jc w:val="both"/>
              <w:rPr>
                <w:color w:val="000000" w:themeColor="text1"/>
                <w14:textFill>
                  <w14:solidFill>
                    <w14:schemeClr w14:val="tx1"/>
                  </w14:solidFill>
                </w14:textFill>
              </w:rPr>
            </w:pPr>
          </w:p>
          <w:p>
            <w:pPr>
              <w:tabs>
                <w:tab w:val="left" w:pos="1480"/>
              </w:tabs>
              <w:spacing w:line="312" w:lineRule="auto"/>
              <w:ind w:left="105" w:leftChars="50" w:right="105" w:rightChars="50"/>
              <w:jc w:val="both"/>
              <w:rPr>
                <w:color w:val="000000" w:themeColor="text1"/>
                <w14:textFill>
                  <w14:solidFill>
                    <w14:schemeClr w14:val="tx1"/>
                  </w14:solidFill>
                </w14:textFill>
              </w:rPr>
            </w:pPr>
          </w:p>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实质性响应招标文件及评审打分资料</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position w:val="2"/>
                <w14:textOutline w14:w="4356" w14:cap="sq" w14:cmpd="sng" w14:algn="ctr">
                  <w14:solidFill>
                    <w14:srgbClr w14:val="000000"/>
                  </w14:solidFill>
                  <w14:prstDash w14:val="solid"/>
                  <w14:bevel/>
                </w14:textOutline>
                <w14:textFill>
                  <w14:solidFill>
                    <w14:schemeClr w14:val="tx1"/>
                  </w14:solidFill>
                </w14:textFill>
              </w:rPr>
              <w:t>一、实质性响应招标文件资料</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position w:val="1"/>
                <w14:textFill>
                  <w14:solidFill>
                    <w14:schemeClr w14:val="tx1"/>
                  </w14:solidFill>
                </w14:textFill>
              </w:rPr>
              <w:t>1.企业法人营业执照；</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2.法定代表人授权委托书(投标文件委托代理人签字的提供)；</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3.联合体各方签订的共同投标协议(联合体投标的提供)；</w:t>
            </w:r>
          </w:p>
          <w:p>
            <w:pPr>
              <w:tabs>
                <w:tab w:val="left" w:pos="5680"/>
              </w:tabs>
              <w:spacing w:line="360" w:lineRule="auto"/>
              <w:ind w:left="105" w:leftChars="50" w:right="105" w:rightChars="50"/>
              <w:jc w:val="both"/>
              <w:rPr>
                <w:rFonts w:ascii="宋体" w:hAnsi="宋体" w:eastAsia="宋体" w:cs="宋体"/>
                <w:strike/>
                <w:color w:val="000000" w:themeColor="text1"/>
                <w14:textFill>
                  <w14:solidFill>
                    <w14:schemeClr w14:val="tx1"/>
                  </w14:solidFill>
                </w14:textFill>
              </w:rPr>
            </w:pPr>
            <w:r>
              <w:rPr>
                <w:rFonts w:ascii="宋体" w:hAnsi="宋体" w:eastAsia="宋体" w:cs="宋体"/>
                <w:strike/>
                <w:color w:val="000000" w:themeColor="text1"/>
                <w14:textFill>
                  <w14:solidFill>
                    <w14:schemeClr w14:val="tx1"/>
                  </w14:solidFill>
                </w14:textFill>
              </w:rPr>
              <w:t>4.投标保证金缴纳证明资料；</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5.</w:t>
            </w:r>
            <w:r>
              <w:rPr>
                <w:rFonts w:hint="eastAsia" w:ascii="宋体" w:hAnsi="宋体" w:eastAsia="宋体" w:cs="宋体"/>
                <w:i/>
                <w:iCs/>
                <w:color w:val="000000" w:themeColor="text1"/>
                <w:u w:val="single"/>
                <w14:textFill>
                  <w14:solidFill>
                    <w14:schemeClr w14:val="tx1"/>
                  </w14:solidFill>
                </w14:textFill>
              </w:rPr>
              <w:t>（1）投标人须具备电梯的制造和安装能力，具体要求如下：①如投标人为投标产品制造商的，应提供《中华人民共和国特种设备生产许可证》【许可项目涵盖：电梯制造（含安装、修理、改造）；许可子项目涵盖：曳引驱动乘客电梯（含消防员电梯）、自动扶梯与自动人行道】；</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②如投标人为经销商的，应提供投标产品制造商的《中华人民共和国特种设备生产许可证》【许可项目涵盖：电梯制造（含安装、修理、改造）；许可子项目涵盖：曳引驱动乘客电梯（含消防员电梯）、自动扶梯与自动人行道】；同时，提供投标人的《中华人民共和国特种设备生产许可证》【许可项目涵盖：电梯制造（含安装、修理、改造）或电梯安装（含修理）；许可子项目涵盖：曳引驱动乘客电梯（含消防员电梯）、自动扶梯与自动人行道】；</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③如投标人为联合体投标的，应提供投标产品制造商的《中华人民共和国特种设备生产许可证》【许可项目涵盖：电梯制造（含安装、修理、改造）；许可子项目涵盖：曳引驱动乘客电梯（含消防员电梯）、自动扶梯与自动人行道】；同时，提供联合体负责安装维保成员的《中华人民共和国特种设备生产许可证》【许可项目涵盖：电梯制造（含安装、修理、改造）或电梯安装（含修理）；许可子项目涵盖：曳引驱动乘客电梯（含消防员电梯）、自动扶梯与自动人行道】。</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注：上述证件均为按《市场监管总局关于特种设备行政许可有关事项的公告》（2021年第41号）所换的新证，若投标人尚未换取新证，须提供老证（老证尚未取消且在有效期内）。以上提供的证书均需在有效期内，且均需提供原件复印件并加盖证书持有单位公章及投标人公章（投标人为证书持有单位的，可只盖投标人公章）。</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（2）一个制造商对同一品牌同一型号的设备，仅能委托一个代理商参加投标。代理商投标的，提供投标电梯品牌制造商唯一授权书。</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（3）投标人不得存在进入清算程序或被宣告破产，或其他丧失履约能力的情形。提供承诺函</w:t>
            </w:r>
            <w:r>
              <w:rPr>
                <w:rFonts w:ascii="宋体" w:hAnsi="宋体" w:eastAsia="宋体" w:cs="宋体"/>
                <w:color w:val="000000" w:themeColor="text1"/>
                <w14:textFill>
                  <w14:solidFill>
                    <w14:schemeClr w14:val="tx1"/>
                  </w14:solidFill>
                </w14:textFill>
              </w:rPr>
              <w:t>。</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6.投标人须提供所投电梯品牌生产制造商（或经销商）自2020年1月1日以来，具有单个合同金额在600万元及以上的医院电梯项目业绩，投标文件中提供合同复印件，时间以合同签订时间为准，金额以合同中载明金额为准。</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position w:val="1"/>
                <w14:textOutline w14:w="4356" w14:cap="sq" w14:cmpd="sng" w14:algn="ctr">
                  <w14:solidFill>
                    <w14:srgbClr w14:val="000000"/>
                  </w14:solidFill>
                  <w14:prstDash w14:val="solid"/>
                  <w14:bevel/>
                </w14:textOutline>
                <w14:textFill>
                  <w14:solidFill>
                    <w14:schemeClr w14:val="tx1"/>
                  </w14:solidFill>
                </w14:textFill>
              </w:rPr>
              <w:t>二、评审打分资料</w:t>
            </w:r>
            <w:r>
              <w:rPr>
                <w:rFonts w:hint="eastAsia" w:ascii="宋体" w:hAnsi="宋体" w:eastAsia="宋体" w:cs="宋体"/>
                <w:i/>
                <w:iCs/>
                <w:color w:val="000000" w:themeColor="text1"/>
                <w:position w:val="1"/>
                <w14:textOutline w14:w="4356" w14:cap="sq" w14:cmpd="sng" w14:algn="ctr">
                  <w14:solidFill>
                    <w14:srgbClr w14:val="000000"/>
                  </w14:solidFill>
                  <w14:prstDash w14:val="solid"/>
                  <w14:bevel/>
                </w14:textOutline>
                <w14:textFill>
                  <w14:solidFill>
                    <w14:schemeClr w14:val="tx1"/>
                  </w14:solidFill>
                </w14:textFill>
              </w:rPr>
              <w:t>（建议按招标文件第三章的技术评分中的子项及评审标准顺序编制投标文件）</w:t>
            </w:r>
          </w:p>
          <w:p>
            <w:pPr>
              <w:tabs>
                <w:tab w:val="left" w:pos="5680"/>
              </w:tabs>
              <w:spacing w:line="360" w:lineRule="auto"/>
              <w:ind w:left="105" w:leftChars="50" w:right="105" w:rightChars="50"/>
              <w:jc w:val="both"/>
              <w:rPr>
                <w:rFonts w:ascii="宋体" w:hAnsi="宋体" w:eastAsia="宋体" w:cs="宋体"/>
                <w:i/>
                <w:iCs/>
                <w:color w:val="000000" w:themeColor="text1"/>
                <w14:textFill>
                  <w14:solidFill>
                    <w14:schemeClr w14:val="tx1"/>
                  </w14:solidFill>
                </w14:textFill>
              </w:rPr>
            </w:pPr>
            <w:r>
              <w:rPr>
                <w:rFonts w:ascii="宋体" w:hAnsi="宋体" w:eastAsia="宋体" w:cs="宋体"/>
                <w:i/>
                <w:iCs/>
                <w:color w:val="000000" w:themeColor="text1"/>
                <w14:textFill>
                  <w14:solidFill>
                    <w14:schemeClr w14:val="tx1"/>
                  </w14:solidFill>
                </w14:textFill>
              </w:rPr>
              <w:t>1.</w:t>
            </w:r>
            <w:r>
              <w:rPr>
                <w:rFonts w:hint="eastAsia" w:ascii="宋体" w:hAnsi="宋体" w:eastAsia="宋体" w:cs="宋体"/>
                <w:i/>
                <w:iCs/>
                <w:color w:val="000000" w:themeColor="text1"/>
                <w14:textFill>
                  <w14:solidFill>
                    <w14:schemeClr w14:val="tx1"/>
                  </w14:solidFill>
                </w14:textFill>
              </w:rPr>
              <w:t>企业实力资料；</w:t>
            </w:r>
          </w:p>
          <w:p>
            <w:pPr>
              <w:tabs>
                <w:tab w:val="left" w:pos="5680"/>
              </w:tabs>
              <w:spacing w:line="360" w:lineRule="auto"/>
              <w:ind w:left="105" w:leftChars="50" w:right="105" w:rightChars="50"/>
              <w:jc w:val="both"/>
              <w:rPr>
                <w:rFonts w:ascii="宋体" w:hAnsi="宋体" w:eastAsia="宋体" w:cs="宋体"/>
                <w:i/>
                <w:iCs/>
                <w:color w:val="000000" w:themeColor="text1"/>
                <w14:textFill>
                  <w14:solidFill>
                    <w14:schemeClr w14:val="tx1"/>
                  </w14:solidFill>
                </w14:textFill>
              </w:rPr>
            </w:pPr>
            <w:r>
              <w:rPr>
                <w:rFonts w:hint="eastAsia" w:ascii="宋体" w:hAnsi="宋体" w:eastAsia="宋体" w:cs="宋体"/>
                <w:i/>
                <w:iCs/>
                <w:color w:val="000000" w:themeColor="text1"/>
                <w14:textFill>
                  <w14:solidFill>
                    <w14:schemeClr w14:val="tx1"/>
                  </w14:solidFill>
                </w14:textFill>
              </w:rPr>
              <w:t>2.投标产品整体评价资料；</w:t>
            </w:r>
          </w:p>
          <w:p>
            <w:pPr>
              <w:tabs>
                <w:tab w:val="left" w:pos="5680"/>
              </w:tabs>
              <w:spacing w:line="360" w:lineRule="auto"/>
              <w:ind w:left="105" w:leftChars="50" w:right="105" w:rightChars="50"/>
              <w:jc w:val="both"/>
              <w:rPr>
                <w:rFonts w:ascii="宋体" w:hAnsi="宋体" w:eastAsia="宋体" w:cs="宋体"/>
                <w:i/>
                <w:iCs/>
                <w:color w:val="000000" w:themeColor="text1"/>
                <w14:textFill>
                  <w14:solidFill>
                    <w14:schemeClr w14:val="tx1"/>
                  </w14:solidFill>
                </w14:textFill>
              </w:rPr>
            </w:pPr>
            <w:r>
              <w:rPr>
                <w:rFonts w:hint="eastAsia" w:ascii="宋体" w:hAnsi="宋体" w:eastAsia="宋体" w:cs="宋体"/>
                <w:i/>
                <w:iCs/>
                <w:color w:val="000000" w:themeColor="text1"/>
                <w14:textFill>
                  <w14:solidFill>
                    <w14:schemeClr w14:val="tx1"/>
                  </w14:solidFill>
                </w14:textFill>
              </w:rPr>
              <w:t>3.主要部件情况资料；</w:t>
            </w:r>
          </w:p>
          <w:p>
            <w:pPr>
              <w:tabs>
                <w:tab w:val="left" w:pos="5680"/>
              </w:tabs>
              <w:spacing w:line="360" w:lineRule="auto"/>
              <w:ind w:left="105" w:leftChars="50" w:right="105" w:rightChars="50"/>
              <w:jc w:val="both"/>
              <w:rPr>
                <w:rFonts w:ascii="宋体" w:hAnsi="宋体" w:eastAsia="宋体" w:cs="宋体"/>
                <w:i/>
                <w:iCs/>
                <w:color w:val="000000" w:themeColor="text1"/>
                <w14:textFill>
                  <w14:solidFill>
                    <w14:schemeClr w14:val="tx1"/>
                  </w14:solidFill>
                </w14:textFill>
              </w:rPr>
            </w:pPr>
            <w:r>
              <w:rPr>
                <w:rFonts w:hint="eastAsia" w:ascii="宋体" w:hAnsi="宋体" w:eastAsia="宋体" w:cs="宋体"/>
                <w:i/>
                <w:iCs/>
                <w:color w:val="000000" w:themeColor="text1"/>
                <w14:textFill>
                  <w14:solidFill>
                    <w14:schemeClr w14:val="tx1"/>
                  </w14:solidFill>
                </w14:textFill>
              </w:rPr>
              <w:t>4.主要技术指标资料；</w:t>
            </w:r>
          </w:p>
          <w:p>
            <w:pPr>
              <w:tabs>
                <w:tab w:val="left" w:pos="5680"/>
              </w:tabs>
              <w:spacing w:line="360" w:lineRule="auto"/>
              <w:ind w:left="105" w:leftChars="50" w:right="105" w:rightChars="50"/>
              <w:jc w:val="both"/>
              <w:rPr>
                <w:rFonts w:ascii="宋体" w:hAnsi="宋体" w:eastAsia="宋体" w:cs="宋体"/>
                <w:i/>
                <w:iCs/>
                <w:color w:val="000000" w:themeColor="text1"/>
                <w14:textFill>
                  <w14:solidFill>
                    <w14:schemeClr w14:val="tx1"/>
                  </w14:solidFill>
                </w14:textFill>
              </w:rPr>
            </w:pPr>
            <w:r>
              <w:rPr>
                <w:rFonts w:hint="eastAsia" w:ascii="宋体" w:hAnsi="宋体" w:eastAsia="宋体" w:cs="宋体"/>
                <w:i/>
                <w:iCs/>
                <w:color w:val="000000" w:themeColor="text1"/>
                <w14:textFill>
                  <w14:solidFill>
                    <w14:schemeClr w14:val="tx1"/>
                  </w14:solidFill>
                </w14:textFill>
              </w:rPr>
              <w:t>5.施工安装资料；</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i/>
                <w:iCs/>
                <w:color w:val="000000" w:themeColor="text1"/>
                <w14:textFill>
                  <w14:solidFill>
                    <w14:schemeClr w14:val="tx1"/>
                  </w14:solidFill>
                </w14:textFill>
              </w:rPr>
              <w:t>6.售后及服务资料。</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3.6</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position w:val="12"/>
                <w14:textFill>
                  <w14:solidFill>
                    <w14:schemeClr w14:val="tx1"/>
                  </w14:solidFill>
                </w14:textFill>
              </w:rPr>
              <w:t>是否允许递交</w:t>
            </w:r>
          </w:p>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备选投标方案</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不允许。</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3.7.3</w:t>
            </w:r>
            <w:r>
              <w:rPr>
                <w:rFonts w:hint="eastAsia" w:ascii="宋体" w:hAnsi="宋体" w:eastAsia="宋体" w:cs="宋体"/>
                <w:color w:val="000000" w:themeColor="text1"/>
                <w14:textFill>
                  <w14:solidFill>
                    <w14:schemeClr w14:val="tx1"/>
                  </w14:solidFill>
                </w14:textFill>
              </w:rPr>
              <w:t>（1）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☑纸质投标文件</w:t>
            </w:r>
            <w:r>
              <w:rPr>
                <w:rFonts w:ascii="宋体" w:hAnsi="宋体" w:eastAsia="宋体" w:cs="宋体"/>
                <w:color w:val="000000" w:themeColor="text1"/>
                <w14:textFill>
                  <w14:solidFill>
                    <w14:schemeClr w14:val="tx1"/>
                  </w14:solidFill>
                </w14:textFill>
              </w:rPr>
              <w:t>签字或盖章要求</w:t>
            </w:r>
          </w:p>
        </w:tc>
        <w:tc>
          <w:tcPr>
            <w:tcW w:w="5535" w:type="dxa"/>
            <w:vAlign w:val="center"/>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按招标文件要求盖单位公章、法定代表人签字或盖章。委托代理人签字的，投标文件应附法定代表人签署的授权委托书。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Merge w:val="restart"/>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3.7.3</w:t>
            </w:r>
            <w:r>
              <w:rPr>
                <w:rFonts w:hint="eastAsia" w:ascii="宋体" w:hAnsi="宋体" w:eastAsia="宋体" w:cs="宋体"/>
                <w:color w:val="000000" w:themeColor="text1"/>
                <w14:textFill>
                  <w14:solidFill>
                    <w14:schemeClr w14:val="tx1"/>
                  </w14:solidFill>
                </w14:textFill>
              </w:rPr>
              <w:t>（2）</w:t>
            </w:r>
          </w:p>
        </w:tc>
        <w:tc>
          <w:tcPr>
            <w:tcW w:w="2055" w:type="dxa"/>
            <w:vAlign w:val="center"/>
          </w:tcPr>
          <w:p>
            <w:pPr>
              <w:pStyle w:val="44"/>
            </w:pPr>
            <w:r>
              <w:t>□</w:t>
            </w:r>
            <w:r>
              <w:rPr>
                <w:rFonts w:hint="eastAsia"/>
              </w:rPr>
              <w:t>电子投标文件盖章要求</w:t>
            </w:r>
          </w:p>
        </w:tc>
        <w:tc>
          <w:tcPr>
            <w:tcW w:w="5535" w:type="dxa"/>
            <w:vAlign w:val="center"/>
          </w:tcPr>
          <w:p>
            <w:pPr>
              <w:pStyle w:val="44"/>
              <w:spacing w:line="360" w:lineRule="auto"/>
            </w:pPr>
            <w:r>
              <w:rPr>
                <w:rFonts w:hint="eastAsia"/>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sym w:font="Wingdings 2" w:char="00A3"/>
            </w:r>
            <w:r>
              <w:rPr>
                <w:rFonts w:hint="eastAsia" w:ascii="宋体" w:hAnsi="宋体" w:eastAsia="宋体" w:cs="宋体"/>
                <w:color w:val="000000" w:themeColor="text1"/>
                <w14:textFill>
                  <w14:solidFill>
                    <w14:schemeClr w14:val="tx1"/>
                  </w14:solidFill>
                </w14:textFill>
              </w:rPr>
              <w:t>投标文件所附证书证件、业绩证明文件、投标保证金等证明材料用原件扫描件并加盖投标单位电子印章；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Merge w:val="continue"/>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p>
        </w:tc>
        <w:tc>
          <w:tcPr>
            <w:tcW w:w="2055" w:type="dxa"/>
            <w:vAlign w:val="center"/>
          </w:tcPr>
          <w:p>
            <w:pPr>
              <w:pStyle w:val="44"/>
            </w:pPr>
            <w:r>
              <w:rPr>
                <w:rFonts w:hint="eastAsia"/>
              </w:rPr>
              <w:t>电子投标文件加密章要求</w:t>
            </w:r>
          </w:p>
        </w:tc>
        <w:tc>
          <w:tcPr>
            <w:tcW w:w="5535" w:type="dxa"/>
            <w:vAlign w:val="center"/>
          </w:tcPr>
          <w:p>
            <w:pPr>
              <w:pStyle w:val="44"/>
              <w:spacing w:line="360" w:lineRule="auto"/>
            </w:pPr>
            <w:r>
              <w:rPr>
                <w:rFonts w:hint="eastAsia"/>
              </w:rPr>
              <w:t>电子投标的项目，在投标截止时间前，将由投标工具软件制作生成的加密投标文件上传至</w:t>
            </w:r>
            <w:r>
              <w:rPr>
                <w:rFonts w:hint="eastAsia" w:eastAsia="宋体"/>
              </w:rPr>
              <w:t>诸暨</w:t>
            </w:r>
            <w:r>
              <w:rPr>
                <w:rFonts w:hint="eastAsia"/>
              </w:rPr>
              <w:t>市公共资源交易中心电子招投标交易平台。</w:t>
            </w:r>
          </w:p>
          <w:p>
            <w:pPr>
              <w:pStyle w:val="44"/>
              <w:spacing w:line="360" w:lineRule="auto"/>
            </w:pPr>
            <w:r>
              <w:rPr>
                <w:rFonts w:hint="eastAsia"/>
              </w:rPr>
              <w:t>其他：/。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3.7.4</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投标文件份数</w:t>
            </w:r>
          </w:p>
        </w:tc>
        <w:tc>
          <w:tcPr>
            <w:tcW w:w="5535" w:type="dxa"/>
          </w:tcPr>
          <w:p>
            <w:pPr>
              <w:tabs>
                <w:tab w:val="left" w:pos="14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 xml:space="preserve">资格审查资料：正本壹份，副本柒份； </w:t>
            </w:r>
          </w:p>
          <w:p>
            <w:pPr>
              <w:tabs>
                <w:tab w:val="left" w:pos="14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商务标：正本壹份，副本柒份；</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技术标：正本壹份，副本柒份。</w:t>
            </w:r>
          </w:p>
          <w:p>
            <w:pPr>
              <w:pStyle w:val="2"/>
              <w:ind w:firstLine="0"/>
              <w:rPr>
                <w:lang w:val="en-US"/>
              </w:rPr>
            </w:pPr>
            <w:r>
              <w:rPr>
                <w:rFonts w:hint="eastAsia" w:hAnsi="宋体" w:cs="宋体"/>
                <w:i/>
                <w:iCs/>
                <w:color w:val="000000" w:themeColor="text1"/>
                <w:kern w:val="0"/>
                <w:sz w:val="21"/>
                <w:szCs w:val="21"/>
                <w:u w:val="single"/>
                <w:lang w:val="en-US"/>
                <w14:textFill>
                  <w14:solidFill>
                    <w14:schemeClr w14:val="tx1"/>
                  </w14:solidFill>
                </w14:textFill>
              </w:rPr>
              <w:t>注：投标文件分三部分，即资格审查资料、技术标、商务标，投标人须按不同部分分别封装，正本和副本的封面均需标明投标人全称，须清楚地注明“正本”和“副本”，并由投标人的法定代表人签字或盖章并盖单位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光盘、样品等材料的包装和标记</w:t>
            </w:r>
          </w:p>
        </w:tc>
        <w:tc>
          <w:tcPr>
            <w:tcW w:w="5535" w:type="dxa"/>
            <w:vAlign w:val="center"/>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i/>
                <w:iCs/>
                <w:color w:val="000000" w:themeColor="text1"/>
                <w:u w:val="single"/>
                <w14:textFill>
                  <w14:solidFill>
                    <w14:schemeClr w14:val="tx1"/>
                  </w14:solidFill>
                </w14:textFill>
              </w:rPr>
              <w:t xml:space="preserve">  /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strike/>
                <w:color w:val="000000" w:themeColor="text1"/>
                <w14:textFill>
                  <w14:solidFill>
                    <w14:schemeClr w14:val="tx1"/>
                  </w14:solidFill>
                </w14:textFill>
              </w:rPr>
              <w:t>4.2</w:t>
            </w:r>
          </w:p>
        </w:tc>
        <w:tc>
          <w:tcPr>
            <w:tcW w:w="2055" w:type="dxa"/>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sym w:font="Wingdings 2" w:char="00A3"/>
            </w:r>
            <w:r>
              <w:rPr>
                <w:rFonts w:hint="eastAsia" w:ascii="宋体" w:hAnsi="宋体" w:eastAsia="宋体" w:cs="宋体"/>
                <w:color w:val="000000" w:themeColor="text1"/>
                <w14:textFill>
                  <w14:solidFill>
                    <w14:schemeClr w14:val="tx1"/>
                  </w14:solidFill>
                </w14:textFill>
              </w:rPr>
              <w:t>电子投标文件加密要求</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使用投标工具软件编制生成的电子投标文件。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Merge w:val="restart"/>
            <w:vAlign w:val="center"/>
          </w:tcPr>
          <w:p>
            <w:pPr>
              <w:spacing w:line="312" w:lineRule="auto"/>
              <w:ind w:right="105" w:rightChars="50" w:firstLine="210" w:firstLineChars="10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4.2.2</w:t>
            </w:r>
          </w:p>
        </w:tc>
        <w:tc>
          <w:tcPr>
            <w:tcW w:w="2055" w:type="dxa"/>
            <w:vMerge w:val="restart"/>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递交投标文件方式和地点</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截止时间：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14:textFill>
                  <w14:solidFill>
                    <w14:schemeClr w14:val="tx1"/>
                  </w14:solidFill>
                </w14:textFill>
              </w:rPr>
              <w:t>2024</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7</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10</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日</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09</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时</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30</w:t>
            </w:r>
            <w:r>
              <w:rPr>
                <w:rFonts w:hint="eastAsia" w:ascii="宋体" w:hAnsi="宋体" w:eastAsia="宋体" w:cs="宋体"/>
                <w:i/>
                <w:iCs/>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Merge w:val="continue"/>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p>
        </w:tc>
        <w:tc>
          <w:tcPr>
            <w:tcW w:w="2055" w:type="dxa"/>
            <w:vMerge w:val="continue"/>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本项目投标文件投标人采用☑现场递交/□电子投标文件上传平台。</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☑现场递交：投标人将密封的投标文件在</w:t>
            </w:r>
            <w:r>
              <w:rPr>
                <w:rFonts w:hint="eastAsia" w:ascii="宋体" w:hAnsi="宋体" w:eastAsia="宋体" w:cs="宋体"/>
                <w:i/>
                <w:iCs/>
                <w:color w:val="000000" w:themeColor="text1"/>
                <w:u w:val="single"/>
                <w14:textFill>
                  <w14:solidFill>
                    <w14:schemeClr w14:val="tx1"/>
                  </w14:solidFill>
                </w14:textFill>
              </w:rPr>
              <w:t>2024</w:t>
            </w:r>
            <w:r>
              <w:rPr>
                <w:rFonts w:hint="eastAsia" w:ascii="宋体" w:hAnsi="宋体" w:eastAsia="宋体" w:cs="宋体"/>
                <w:i/>
                <w:iCs/>
                <w:color w:val="000000" w:themeColor="text1"/>
                <w14:textFill>
                  <w14:solidFill>
                    <w14:schemeClr w14:val="tx1"/>
                  </w14:solidFill>
                </w14:textFill>
              </w:rPr>
              <w:t>年</w:t>
            </w:r>
            <w:r>
              <w:rPr>
                <w:rFonts w:hint="eastAsia" w:ascii="宋体" w:hAnsi="宋体" w:eastAsia="宋体" w:cs="宋体"/>
                <w:i/>
                <w:iCs/>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7</w:t>
            </w:r>
            <w:r>
              <w:rPr>
                <w:rFonts w:hint="eastAsia" w:ascii="宋体" w:hAnsi="宋体" w:eastAsia="宋体" w:cs="宋体"/>
                <w:i/>
                <w:iCs/>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14:textFill>
                  <w14:solidFill>
                    <w14:schemeClr w14:val="tx1"/>
                  </w14:solidFill>
                </w14:textFill>
              </w:rPr>
              <w:t>月</w:t>
            </w:r>
            <w:r>
              <w:rPr>
                <w:rFonts w:hint="eastAsia" w:ascii="宋体" w:hAnsi="宋体" w:eastAsia="宋体" w:cs="宋体"/>
                <w:i/>
                <w:iCs/>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10</w:t>
            </w:r>
            <w:r>
              <w:rPr>
                <w:rFonts w:hint="eastAsia" w:ascii="宋体" w:hAnsi="宋体" w:eastAsia="宋体" w:cs="宋体"/>
                <w:i/>
                <w:iCs/>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14:textFill>
                  <w14:solidFill>
                    <w14:schemeClr w14:val="tx1"/>
                  </w14:solidFill>
                </w14:textFill>
              </w:rPr>
              <w:t>日</w:t>
            </w:r>
            <w:r>
              <w:rPr>
                <w:rFonts w:hint="eastAsia" w:ascii="宋体" w:hAnsi="宋体" w:eastAsia="宋体" w:cs="宋体"/>
                <w:i/>
                <w:iCs/>
                <w:color w:val="000000" w:themeColor="text1"/>
                <w:u w:val="single"/>
                <w:lang w:val="en-US" w:eastAsia="zh-CN"/>
                <w14:textFill>
                  <w14:solidFill>
                    <w14:schemeClr w14:val="tx1"/>
                  </w14:solidFill>
                </w14:textFill>
              </w:rPr>
              <w:t>0</w:t>
            </w:r>
            <w:r>
              <w:rPr>
                <w:rFonts w:hint="eastAsia" w:ascii="宋体" w:hAnsi="宋体" w:eastAsia="宋体" w:cs="宋体"/>
                <w:i/>
                <w:iCs/>
                <w:color w:val="000000" w:themeColor="text1"/>
                <w:u w:val="single"/>
                <w14:textFill>
                  <w14:solidFill>
                    <w14:schemeClr w14:val="tx1"/>
                  </w14:solidFill>
                </w14:textFill>
              </w:rPr>
              <w:t>9</w:t>
            </w:r>
            <w:r>
              <w:rPr>
                <w:rFonts w:hint="eastAsia" w:ascii="宋体" w:hAnsi="宋体" w:eastAsia="宋体" w:cs="宋体"/>
                <w:i/>
                <w:iCs/>
                <w:color w:val="000000" w:themeColor="text1"/>
                <w:u w:val="single"/>
                <w:lang w:val="en-US" w:eastAsia="zh-CN"/>
                <w14:textFill>
                  <w14:solidFill>
                    <w14:schemeClr w14:val="tx1"/>
                  </w14:solidFill>
                </w14:textFill>
              </w:rPr>
              <w:t xml:space="preserve"> </w:t>
            </w:r>
            <w:r>
              <w:rPr>
                <w:rFonts w:hint="eastAsia" w:ascii="宋体" w:hAnsi="宋体" w:eastAsia="宋体" w:cs="宋体"/>
                <w:i/>
                <w:iCs/>
                <w:color w:val="000000" w:themeColor="text1"/>
                <w:u w:val="single"/>
                <w14:textFill>
                  <w14:solidFill>
                    <w14:schemeClr w14:val="tx1"/>
                  </w14:solidFill>
                </w14:textFill>
              </w:rPr>
              <w:t>：30</w:t>
            </w:r>
            <w:r>
              <w:rPr>
                <w:rFonts w:hint="eastAsia" w:ascii="宋体" w:hAnsi="宋体" w:eastAsia="宋体" w:cs="宋体"/>
                <w:i/>
                <w:iCs/>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时前递交至</w:t>
            </w:r>
            <w:r>
              <w:rPr>
                <w:rFonts w:hint="eastAsia" w:ascii="宋体" w:hAnsi="宋体" w:eastAsia="宋体" w:cs="宋体"/>
                <w:i/>
                <w:iCs/>
                <w:color w:val="000000" w:themeColor="text1"/>
                <w:u w:val="single"/>
                <w14:textFill>
                  <w14:solidFill>
                    <w14:schemeClr w14:val="tx1"/>
                  </w14:solidFill>
                </w14:textFill>
              </w:rPr>
              <w:t>诸暨市公共资源交易中心四楼</w:t>
            </w:r>
            <w:r>
              <w:rPr>
                <w:rFonts w:hint="eastAsia" w:ascii="宋体" w:hAnsi="宋体" w:eastAsia="宋体" w:cs="宋体"/>
                <w:i/>
                <w:iCs/>
                <w:color w:val="000000" w:themeColor="text1"/>
                <w:u w:val="single"/>
                <w:lang w:val="en-US" w:eastAsia="zh-CN"/>
                <w14:textFill>
                  <w14:solidFill>
                    <w14:schemeClr w14:val="tx1"/>
                  </w14:solidFill>
                </w14:textFill>
              </w:rPr>
              <w:t>1</w:t>
            </w:r>
            <w:r>
              <w:rPr>
                <w:rFonts w:hint="eastAsia" w:ascii="宋体" w:hAnsi="宋体" w:eastAsia="宋体" w:cs="宋体"/>
                <w:i/>
                <w:iCs/>
                <w:color w:val="000000" w:themeColor="text1"/>
                <w:u w:val="single"/>
                <w14:textFill>
                  <w14:solidFill>
                    <w14:schemeClr w14:val="tx1"/>
                  </w14:solidFill>
                </w14:textFill>
              </w:rPr>
              <w:t>号开标室</w:t>
            </w:r>
            <w:r>
              <w:rPr>
                <w:rFonts w:hint="eastAsia" w:ascii="宋体" w:hAnsi="宋体" w:eastAsia="宋体" w:cs="宋体"/>
                <w:color w:val="000000" w:themeColor="text1"/>
                <w14:textFill>
                  <w14:solidFill>
                    <w14:schemeClr w14:val="tx1"/>
                  </w14:solidFill>
                </w14:textFill>
              </w:rPr>
              <w:t>。投标文件递交地址：暨东路58号4楼（诸暨市公共资源交易中心）。</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i/>
                <w:iCs/>
                <w:color w:val="000000" w:themeColor="text1"/>
                <w14:textFill>
                  <w14:solidFill>
                    <w14:schemeClr w14:val="tx1"/>
                  </w14:solidFill>
                </w14:textFill>
              </w:rPr>
              <w:t>本项目采用不见面开标方式，鼓励投标文件（需密封）采用邮寄方式，接收截止时间为</w:t>
            </w:r>
            <w:r>
              <w:rPr>
                <w:rFonts w:hint="eastAsia" w:ascii="宋体" w:hAnsi="宋体" w:eastAsia="宋体" w:cs="宋体"/>
                <w:i/>
                <w:iCs/>
                <w:color w:val="000000" w:themeColor="text1"/>
                <w:u w:val="single"/>
                <w14:textFill>
                  <w14:solidFill>
                    <w14:schemeClr w14:val="tx1"/>
                  </w14:solidFill>
                </w14:textFill>
              </w:rPr>
              <w:t>2024</w:t>
            </w:r>
            <w:r>
              <w:rPr>
                <w:rFonts w:hint="eastAsia" w:ascii="宋体" w:hAnsi="宋体" w:eastAsia="宋体" w:cs="宋体"/>
                <w:i/>
                <w:iCs/>
                <w:color w:val="000000" w:themeColor="text1"/>
                <w14:textFill>
                  <w14:solidFill>
                    <w14:schemeClr w14:val="tx1"/>
                  </w14:solidFill>
                </w14:textFill>
              </w:rPr>
              <w:t>年</w:t>
            </w:r>
            <w:r>
              <w:rPr>
                <w:rFonts w:hint="eastAsia" w:ascii="宋体" w:hAnsi="宋体" w:eastAsia="宋体" w:cs="宋体"/>
                <w:i/>
                <w:iCs/>
                <w:color w:val="000000" w:themeColor="text1"/>
                <w:u w:val="single"/>
                <w:lang w:val="en-US" w:eastAsia="zh-CN"/>
                <w14:textFill>
                  <w14:solidFill>
                    <w14:schemeClr w14:val="tx1"/>
                  </w14:solidFill>
                </w14:textFill>
              </w:rPr>
              <w:t>7</w:t>
            </w:r>
            <w:r>
              <w:rPr>
                <w:rFonts w:hint="eastAsia" w:ascii="宋体" w:hAnsi="宋体" w:eastAsia="宋体" w:cs="宋体"/>
                <w:i/>
                <w:iCs/>
                <w:color w:val="000000" w:themeColor="text1"/>
                <w14:textFill>
                  <w14:solidFill>
                    <w14:schemeClr w14:val="tx1"/>
                  </w14:solidFill>
                </w14:textFill>
              </w:rPr>
              <w:t>月</w:t>
            </w:r>
            <w:r>
              <w:rPr>
                <w:rFonts w:hint="eastAsia" w:ascii="宋体" w:hAnsi="宋体" w:eastAsia="宋体" w:cs="宋体"/>
                <w:i/>
                <w:iCs/>
                <w:color w:val="000000" w:themeColor="text1"/>
                <w:u w:val="single"/>
                <w:lang w:val="en-US" w:eastAsia="zh-CN"/>
                <w14:textFill>
                  <w14:solidFill>
                    <w14:schemeClr w14:val="tx1"/>
                  </w14:solidFill>
                </w14:textFill>
              </w:rPr>
              <w:t>10</w:t>
            </w:r>
            <w:r>
              <w:rPr>
                <w:rFonts w:hint="eastAsia" w:ascii="宋体" w:hAnsi="宋体" w:eastAsia="宋体" w:cs="宋体"/>
                <w:i/>
                <w:iCs/>
                <w:color w:val="000000" w:themeColor="text1"/>
                <w14:textFill>
                  <w14:solidFill>
                    <w14:schemeClr w14:val="tx1"/>
                  </w14:solidFill>
                </w14:textFill>
              </w:rPr>
              <w:t>日</w:t>
            </w:r>
            <w:r>
              <w:rPr>
                <w:rFonts w:hint="eastAsia" w:ascii="宋体" w:hAnsi="宋体" w:eastAsia="宋体" w:cs="宋体"/>
                <w:i/>
                <w:iCs/>
                <w:color w:val="000000" w:themeColor="text1"/>
                <w:lang w:val="en-US" w:eastAsia="zh-CN"/>
                <w14:textFill>
                  <w14:solidFill>
                    <w14:schemeClr w14:val="tx1"/>
                  </w14:solidFill>
                </w14:textFill>
              </w:rPr>
              <w:t>0</w:t>
            </w:r>
            <w:r>
              <w:rPr>
                <w:rFonts w:hint="eastAsia" w:ascii="宋体" w:hAnsi="宋体" w:eastAsia="宋体" w:cs="宋体"/>
                <w:i/>
                <w:iCs/>
                <w:color w:val="000000" w:themeColor="text1"/>
                <w:u w:val="single"/>
                <w14:textFill>
                  <w14:solidFill>
                    <w14:schemeClr w14:val="tx1"/>
                  </w14:solidFill>
                </w14:textFill>
              </w:rPr>
              <w:t>9：30</w:t>
            </w:r>
            <w:r>
              <w:rPr>
                <w:rFonts w:hint="eastAsia" w:ascii="宋体" w:hAnsi="宋体" w:eastAsia="宋体" w:cs="宋体"/>
                <w:i/>
                <w:iCs/>
                <w:color w:val="000000" w:themeColor="text1"/>
                <w14:textFill>
                  <w14:solidFill>
                    <w14:schemeClr w14:val="tx1"/>
                  </w14:solidFill>
                </w14:textFill>
              </w:rPr>
              <w:t>时止。邮寄件以全国邮政特快专递（EMS）寄达，其他寄件方式可不予接收，投标文件接收时间以签收时间为准。邮寄地点：诸暨市公共资源交易中心四楼</w:t>
            </w:r>
            <w:r>
              <w:rPr>
                <w:rFonts w:hint="eastAsia" w:ascii="宋体" w:hAnsi="宋体" w:eastAsia="宋体" w:cs="宋体"/>
                <w:i/>
                <w:iCs/>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1</w:t>
            </w:r>
            <w:r>
              <w:rPr>
                <w:rFonts w:hint="eastAsia" w:ascii="宋体" w:hAnsi="宋体" w:eastAsia="宋体" w:cs="宋体"/>
                <w:i/>
                <w:iCs/>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14:textFill>
                  <w14:solidFill>
                    <w14:schemeClr w14:val="tx1"/>
                  </w14:solidFill>
                </w14:textFill>
              </w:rPr>
              <w:t>号开标室（暨东路58号），联系人：</w:t>
            </w:r>
            <w:r>
              <w:rPr>
                <w:rFonts w:hint="eastAsia" w:ascii="宋体" w:hAnsi="宋体" w:eastAsia="宋体" w:cs="宋体"/>
                <w:i/>
                <w:iCs/>
                <w:color w:val="000000" w:themeColor="text1"/>
                <w:u w:val="single"/>
                <w14:textFill>
                  <w14:solidFill>
                    <w14:schemeClr w14:val="tx1"/>
                  </w14:solidFill>
                </w14:textFill>
              </w:rPr>
              <w:t>周晗</w:t>
            </w:r>
            <w:r>
              <w:rPr>
                <w:rFonts w:hint="eastAsia" w:ascii="宋体" w:hAnsi="宋体" w:eastAsia="宋体" w:cs="宋体"/>
                <w:i/>
                <w:iCs/>
                <w:color w:val="000000" w:themeColor="text1"/>
                <w14:textFill>
                  <w14:solidFill>
                    <w14:schemeClr w14:val="tx1"/>
                  </w14:solidFill>
                </w14:textFill>
              </w:rPr>
              <w:t>，工作电话：</w:t>
            </w:r>
            <w:r>
              <w:rPr>
                <w:rFonts w:hint="eastAsia" w:ascii="宋体" w:hAnsi="宋体" w:eastAsia="宋体" w:cs="宋体"/>
                <w:i/>
                <w:iCs/>
                <w:color w:val="000000" w:themeColor="text1"/>
                <w:u w:val="single"/>
                <w14:textFill>
                  <w14:solidFill>
                    <w14:schemeClr w14:val="tx1"/>
                  </w14:solidFill>
                </w14:textFill>
              </w:rPr>
              <w:t>13588558139</w:t>
            </w:r>
            <w:r>
              <w:rPr>
                <w:rFonts w:hint="eastAsia" w:ascii="宋体" w:hAnsi="宋体" w:eastAsia="宋体" w:cs="宋体"/>
                <w:color w:val="000000" w:themeColor="text1"/>
                <w14:textFill>
                  <w14:solidFill>
                    <w14:schemeClr w14:val="tx1"/>
                  </w14:solidFill>
                </w14:textFill>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Merge w:val="continue"/>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p>
        </w:tc>
        <w:tc>
          <w:tcPr>
            <w:tcW w:w="2055" w:type="dxa"/>
            <w:vMerge w:val="continue"/>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□使用专用密钥上传至诸暨市公共资源电子交易平台（https://www.zhuji.gov.cn/col/col1388385/）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4.2.3</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是否退还投标文件</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否</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是。未中标的投标文件将予以退还。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Merge w:val="restart"/>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4.4</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投标文件的拒收</w:t>
            </w:r>
          </w:p>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情形</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position w:val="2"/>
                <w14:textFill>
                  <w14:solidFill>
                    <w14:schemeClr w14:val="tx1"/>
                  </w14:solidFill>
                </w14:textFill>
              </w:rPr>
            </w:pPr>
            <w:r>
              <w:rPr>
                <w:rFonts w:ascii="宋体" w:hAnsi="宋体" w:eastAsia="宋体" w:cs="宋体"/>
                <w:color w:val="000000" w:themeColor="text1"/>
                <w:position w:val="2"/>
                <w14:textFill>
                  <w14:solidFill>
                    <w14:schemeClr w14:val="tx1"/>
                  </w14:solidFill>
                </w14:textFill>
              </w:rPr>
              <w:t>一、投标人未按规定</w:t>
            </w:r>
            <w:r>
              <w:rPr>
                <w:rFonts w:hint="eastAsia" w:ascii="宋体" w:hAnsi="宋体" w:eastAsia="宋体" w:cs="宋体"/>
                <w:color w:val="000000" w:themeColor="text1"/>
                <w:position w:val="2"/>
                <w14:textFill>
                  <w14:solidFill>
                    <w14:schemeClr w14:val="tx1"/>
                  </w14:solidFill>
                </w14:textFill>
              </w:rPr>
              <w:t>密封或封套外信息与所投标段内容不符</w:t>
            </w:r>
            <w:r>
              <w:rPr>
                <w:rFonts w:ascii="宋体" w:hAnsi="宋体" w:eastAsia="宋体" w:cs="宋体"/>
                <w:color w:val="000000" w:themeColor="text1"/>
                <w:position w:val="2"/>
                <w14:textFill>
                  <w14:solidFill>
                    <w14:schemeClr w14:val="tx1"/>
                  </w14:solidFill>
                </w14:textFill>
              </w:rPr>
              <w:t>的投标文件。</w:t>
            </w:r>
          </w:p>
          <w:p>
            <w:pPr>
              <w:tabs>
                <w:tab w:val="left" w:pos="5680"/>
              </w:tabs>
              <w:spacing w:line="360" w:lineRule="auto"/>
              <w:ind w:left="105" w:leftChars="50" w:right="105" w:rightChars="50"/>
              <w:jc w:val="both"/>
              <w:rPr>
                <w:rFonts w:ascii="宋体" w:hAnsi="宋体" w:eastAsia="宋体" w:cs="宋体"/>
                <w:color w:val="000000" w:themeColor="text1"/>
                <w:position w:val="2"/>
                <w14:textFill>
                  <w14:solidFill>
                    <w14:schemeClr w14:val="tx1"/>
                  </w14:solidFill>
                </w14:textFill>
              </w:rPr>
            </w:pPr>
            <w:r>
              <w:rPr>
                <w:rFonts w:ascii="宋体" w:hAnsi="宋体" w:eastAsia="宋体" w:cs="宋体"/>
                <w:color w:val="000000" w:themeColor="text1"/>
                <w:position w:val="2"/>
                <w14:textFill>
                  <w14:solidFill>
                    <w14:schemeClr w14:val="tx1"/>
                  </w14:solidFill>
                </w14:textFill>
              </w:rPr>
              <w:t>二、未在投标截止时间前</w:t>
            </w:r>
            <w:r>
              <w:rPr>
                <w:rFonts w:hint="eastAsia" w:ascii="宋体" w:hAnsi="宋体" w:eastAsia="宋体" w:cs="宋体"/>
                <w:color w:val="000000" w:themeColor="text1"/>
                <w:position w:val="2"/>
                <w14:textFill>
                  <w14:solidFill>
                    <w14:schemeClr w14:val="tx1"/>
                  </w14:solidFill>
                </w14:textFill>
              </w:rPr>
              <w:t>递交的</w:t>
            </w:r>
            <w:r>
              <w:rPr>
                <w:rFonts w:ascii="宋体" w:hAnsi="宋体" w:eastAsia="宋体" w:cs="宋体"/>
                <w:color w:val="000000" w:themeColor="text1"/>
                <w:position w:val="2"/>
                <w14:textFill>
                  <w14:solidFill>
                    <w14:schemeClr w14:val="tx1"/>
                  </w14:solidFill>
                </w14:textFill>
              </w:rPr>
              <w:t>投标文件。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Merge w:val="continue"/>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□电子投标文件的拒收情形</w:t>
            </w:r>
          </w:p>
        </w:tc>
        <w:tc>
          <w:tcPr>
            <w:tcW w:w="5535" w:type="dxa"/>
            <w:vAlign w:val="center"/>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1.投标截止时间后送达（上传）的投标文件、未按招标文件要求上传的；</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2.投标人未按规定加密的投标文件，应当拒收并提示。</w:t>
            </w:r>
            <w:r>
              <w:rPr>
                <w:rFonts w:hint="eastAsia" w:ascii="宋体" w:hAnsi="宋体" w:eastAsia="宋体" w:cs="宋体"/>
                <w:color w:val="000000" w:themeColor="text1"/>
                <w14:textFill>
                  <w14:solidFill>
                    <w14:schemeClr w14:val="tx1"/>
                  </w14:solidFill>
                </w14:textFill>
              </w:rPr>
              <w:br w:type="textWrapping"/>
            </w:r>
            <w:r>
              <w:rPr>
                <w:rFonts w:hint="eastAsia" w:ascii="宋体" w:hAnsi="宋体" w:eastAsia="宋体" w:cs="宋体"/>
                <w:color w:val="000000" w:themeColor="text1"/>
                <w14:textFill>
                  <w14:solidFill>
                    <w14:schemeClr w14:val="tx1"/>
                  </w14:solidFill>
                </w14:textFill>
              </w:rPr>
              <w:t>3.存在下列情况之一的，视为拒收：</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（1）电子投标文件无法解密的；</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（2）电子投标文件解密后无法正确读取的；</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（3）电子投标文件无法导入成功的；</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4.□未被邀请的申请人提交的投标文件</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5.其他:  法律、法规所规定的其他情形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5.1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开标时间和地点、参加开标会议的要求</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position w:val="2"/>
                <w14:textFill>
                  <w14:solidFill>
                    <w14:schemeClr w14:val="tx1"/>
                  </w14:solidFill>
                </w14:textFill>
              </w:rPr>
              <w:t>一、开标时间：同投标截止时间。</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二、</w:t>
            </w:r>
            <w:r>
              <w:rPr>
                <w:rFonts w:hint="eastAsia" w:ascii="宋体" w:hAnsi="宋体" w:eastAsia="宋体" w:cs="宋体"/>
                <w:color w:val="000000" w:themeColor="text1"/>
                <w14:textFill>
                  <w14:solidFill>
                    <w14:schemeClr w14:val="tx1"/>
                  </w14:solidFill>
                </w14:textFill>
              </w:rPr>
              <w:t>开标地点：诸暨市公共资源交易中心四楼</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lang w:val="en-US" w:eastAsia="zh-CN"/>
                <w14:textFill>
                  <w14:solidFill>
                    <w14:schemeClr w14:val="tx1"/>
                  </w14:solidFill>
                </w14:textFill>
              </w:rPr>
              <w:t>1</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号开标室</w:t>
            </w:r>
            <w:r>
              <w:rPr>
                <w:rFonts w:ascii="宋体" w:hAnsi="宋体" w:eastAsia="宋体" w:cs="宋体"/>
                <w:color w:val="000000" w:themeColor="text1"/>
                <w14:textFill>
                  <w14:solidFill>
                    <w14:schemeClr w14:val="tx1"/>
                  </w14:solidFill>
                </w14:textFill>
              </w:rPr>
              <w:t>。</w:t>
            </w:r>
          </w:p>
          <w:p>
            <w:pPr>
              <w:tabs>
                <w:tab w:val="left" w:pos="5680"/>
              </w:tabs>
              <w:spacing w:line="360" w:lineRule="auto"/>
              <w:ind w:left="105" w:leftChars="50" w:right="105" w:rightChars="50"/>
              <w:jc w:val="both"/>
              <w:rPr>
                <w:rFonts w:eastAsia="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□三、开标平台:</w:t>
            </w:r>
            <w:r>
              <w:rPr>
                <w:rFonts w:hint="eastAsia" w:ascii="宋体" w:hAnsi="宋体" w:eastAsia="宋体" w:cs="宋体"/>
                <w:i/>
                <w:iCs/>
                <w:color w:val="000000" w:themeColor="text1"/>
                <w:u w:val="single"/>
                <w14:textFill>
                  <w14:solidFill>
                    <w14:schemeClr w14:val="tx1"/>
                  </w14:solidFill>
                </w14:textFill>
              </w:rPr>
              <w:t>诸暨市公共资源电子交易平台（</w:t>
            </w:r>
            <w:r>
              <w:rPr>
                <w:rFonts w:hint="eastAsia" w:ascii="宋体" w:hAnsi="宋体"/>
                <w:i/>
                <w:iCs/>
                <w:u w:val="single"/>
              </w:rPr>
              <w:t>https://www.zhuji.gov.cn/col/col1388385/</w:t>
            </w:r>
            <w:r>
              <w:rPr>
                <w:rFonts w:hint="eastAsia" w:ascii="宋体" w:hAnsi="宋体" w:eastAsia="宋体" w:cs="宋体"/>
                <w:i/>
                <w:iCs/>
                <w:color w:val="000000" w:themeColor="text1"/>
                <w:u w:val="single"/>
                <w14:textFill>
                  <w14:solidFill>
                    <w14:schemeClr w14:val="tx1"/>
                  </w14:solidFill>
                </w14:textFill>
              </w:rPr>
              <w:t>）</w:t>
            </w:r>
          </w:p>
          <w:p>
            <w:pPr>
              <w:tabs>
                <w:tab w:val="left" w:pos="5680"/>
              </w:tabs>
              <w:spacing w:line="360" w:lineRule="auto"/>
              <w:ind w:left="105" w:leftChars="50" w:right="105" w:rightChars="50"/>
              <w:jc w:val="both"/>
              <w:rPr>
                <w:rFonts w:ascii="宋体" w:hAnsi="宋体" w:eastAsia="宋体" w:cs="宋体"/>
                <w:i/>
                <w:color w:val="FF0000"/>
              </w:rPr>
            </w:pPr>
            <w:r>
              <w:rPr>
                <w:rFonts w:hint="eastAsia" w:ascii="宋体" w:hAnsi="宋体" w:eastAsia="宋体" w:cs="宋体"/>
                <w:color w:val="000000" w:themeColor="text1"/>
                <w:position w:val="1"/>
                <w14:textFill>
                  <w14:solidFill>
                    <w14:schemeClr w14:val="tx1"/>
                  </w14:solidFill>
                </w14:textFill>
              </w:rPr>
              <w:t>四</w:t>
            </w:r>
            <w:r>
              <w:rPr>
                <w:rFonts w:ascii="宋体" w:hAnsi="宋体" w:eastAsia="宋体" w:cs="宋体"/>
                <w:color w:val="000000" w:themeColor="text1"/>
                <w:position w:val="1"/>
                <w14:textFill>
                  <w14:solidFill>
                    <w14:schemeClr w14:val="tx1"/>
                  </w14:solidFill>
                </w14:textFill>
              </w:rPr>
              <w:t>、参加开标会议的要求</w:t>
            </w:r>
          </w:p>
          <w:p>
            <w:pPr>
              <w:tabs>
                <w:tab w:val="left" w:pos="5680"/>
              </w:tabs>
              <w:spacing w:line="360" w:lineRule="auto"/>
              <w:ind w:left="105" w:leftChars="50" w:right="105" w:rightChars="50"/>
              <w:jc w:val="both"/>
              <w:rPr>
                <w:rFonts w:ascii="宋体" w:hAnsi="宋体" w:eastAsia="宋体" w:cs="宋体"/>
                <w:i/>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由代理机构工作人员现场在监督部门监督下核验投标文件密封性并开启投标文件，组织评审，并对开评标活动进行全程录音录像</w:t>
            </w:r>
            <w:r>
              <w:rPr>
                <w:rFonts w:ascii="宋体" w:hAnsi="宋体" w:eastAsia="宋体" w:cs="宋体"/>
                <w:color w:val="000000" w:themeColor="text1"/>
                <w14:textFill>
                  <w14:solidFill>
                    <w14:schemeClr w14:val="tx1"/>
                  </w14:solidFill>
                </w14:textFill>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pStyle w:val="44"/>
            </w:pPr>
            <w:r>
              <w:rPr>
                <w:rFonts w:hint="eastAsia"/>
              </w:rPr>
              <w:t>5.4</w:t>
            </w:r>
          </w:p>
        </w:tc>
        <w:tc>
          <w:tcPr>
            <w:tcW w:w="2055" w:type="dxa"/>
            <w:vAlign w:val="center"/>
          </w:tcPr>
          <w:p>
            <w:pPr>
              <w:pStyle w:val="44"/>
            </w:pPr>
            <w:r>
              <w:rPr>
                <w:rFonts w:hint="eastAsia"/>
              </w:rPr>
              <w:t>□特殊情况处置</w:t>
            </w:r>
          </w:p>
        </w:tc>
        <w:tc>
          <w:tcPr>
            <w:tcW w:w="5535" w:type="dxa"/>
            <w:vAlign w:val="center"/>
          </w:tcPr>
          <w:p>
            <w:pPr>
              <w:tabs>
                <w:tab w:val="left" w:pos="5680"/>
              </w:tabs>
              <w:spacing w:line="360" w:lineRule="auto"/>
              <w:ind w:left="105" w:leftChars="50" w:right="105" w:rightChars="50"/>
              <w:jc w:val="both"/>
              <w:textAlignment w:val="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1.因网络、系统、电力等不可抗力因素延期开标的，需更新制作投标文件并按招标文件要求重新递交。</w:t>
            </w:r>
          </w:p>
          <w:p>
            <w:pPr>
              <w:tabs>
                <w:tab w:val="left" w:pos="5680"/>
              </w:tabs>
              <w:spacing w:line="360" w:lineRule="auto"/>
              <w:ind w:left="105" w:leftChars="50" w:right="105" w:rightChars="50"/>
              <w:jc w:val="both"/>
              <w:textAlignment w:val="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pPr>
              <w:tabs>
                <w:tab w:val="left" w:pos="5680"/>
              </w:tabs>
              <w:spacing w:line="360" w:lineRule="auto"/>
              <w:ind w:left="105" w:leftChars="50" w:right="105" w:rightChars="50"/>
              <w:jc w:val="both"/>
              <w:textAlignment w:val="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（2）投标人必须使用生成电子投标文件的CA数字证书加密电子投标文件，未加密的视为撤销其投标文件。</w:t>
            </w:r>
          </w:p>
          <w:p>
            <w:pPr>
              <w:tabs>
                <w:tab w:val="left" w:pos="5680"/>
              </w:tabs>
              <w:spacing w:line="360" w:lineRule="auto"/>
              <w:ind w:left="105" w:leftChars="50" w:right="105" w:rightChars="50"/>
              <w:jc w:val="both"/>
              <w:textAlignment w:val="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3.其他：电子投标项目开标的其他相关程序按照我市相关规定《绍兴市区工程建设项目电子招标投标管理暂行办法》执行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6.1.1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评标委员会的组建</w:t>
            </w:r>
          </w:p>
        </w:tc>
        <w:tc>
          <w:tcPr>
            <w:tcW w:w="5535" w:type="dxa"/>
          </w:tcPr>
          <w:p>
            <w:pPr>
              <w:tabs>
                <w:tab w:val="left" w:pos="5680"/>
              </w:tabs>
              <w:spacing w:line="360" w:lineRule="auto"/>
              <w:ind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rPr>
              <w:t>评标委员会构成：</w:t>
            </w:r>
            <w:r>
              <w:rPr>
                <w:rFonts w:hint="eastAsia" w:ascii="宋体" w:hAnsi="宋体"/>
                <w:highlight w:val="none"/>
                <w:u w:val="single"/>
              </w:rPr>
              <w:t xml:space="preserve"> </w:t>
            </w:r>
            <w:r>
              <w:rPr>
                <w:rFonts w:hint="eastAsia" w:ascii="宋体" w:hAnsi="宋体"/>
                <w:i/>
                <w:iCs/>
                <w:highlight w:val="none"/>
                <w:u w:val="single"/>
              </w:rPr>
              <w:t>成员为5人及以上单数，根据《</w:t>
            </w:r>
            <w:r>
              <w:rPr>
                <w:rFonts w:hint="eastAsia" w:ascii="宋体" w:hAnsi="宋体"/>
                <w:i/>
                <w:iCs/>
                <w:highlight w:val="none"/>
                <w:u w:val="single"/>
                <w:lang w:val="en-US" w:eastAsia="zh-CN"/>
              </w:rPr>
              <w:t>浙江省综合性评标专家库管理办法实施细则</w:t>
            </w:r>
            <w:r>
              <w:rPr>
                <w:rFonts w:hint="eastAsia" w:ascii="宋体" w:hAnsi="宋体"/>
                <w:i/>
                <w:iCs/>
                <w:highlight w:val="none"/>
                <w:u w:val="single"/>
              </w:rPr>
              <w:t>》</w:t>
            </w:r>
            <w:r>
              <w:rPr>
                <w:rFonts w:hint="eastAsia" w:ascii="宋体" w:hAnsi="宋体"/>
                <w:i/>
                <w:iCs/>
                <w:highlight w:val="none"/>
                <w:u w:val="single"/>
                <w:lang w:eastAsia="zh-CN"/>
              </w:rPr>
              <w:t>（</w:t>
            </w:r>
            <w:r>
              <w:rPr>
                <w:rFonts w:hint="eastAsia" w:ascii="宋体" w:hAnsi="宋体"/>
                <w:i/>
                <w:iCs/>
                <w:highlight w:val="none"/>
                <w:u w:val="single"/>
              </w:rPr>
              <w:t>浙发改公管【2021】240号</w:t>
            </w:r>
            <w:r>
              <w:rPr>
                <w:rFonts w:hint="eastAsia" w:ascii="宋体" w:hAnsi="宋体"/>
                <w:i/>
                <w:iCs/>
                <w:highlight w:val="none"/>
                <w:u w:val="single"/>
                <w:lang w:eastAsia="zh-CN"/>
              </w:rPr>
              <w:t>）</w:t>
            </w:r>
            <w:r>
              <w:rPr>
                <w:rFonts w:hint="eastAsia" w:ascii="宋体" w:hAnsi="宋体"/>
                <w:i/>
                <w:iCs/>
                <w:highlight w:val="none"/>
                <w:u w:val="single"/>
              </w:rPr>
              <w:t>文件；评</w:t>
            </w:r>
            <w:r>
              <w:rPr>
                <w:rFonts w:hint="eastAsia" w:ascii="宋体" w:hAnsi="宋体"/>
                <w:i/>
                <w:iCs/>
                <w:u w:val="single"/>
              </w:rPr>
              <w:t>标专家确定方式：按规定抽取。评标过程中，评标专家被发现有回避事由、擅离职守或因健康等原因不能继续评标的，可按如下操作:1位专家不能参与评标的，自动从评标委员会中取消1名招标人代表；2位专家不能参与评标的，不再补抽，由其余人员组成评标委员会进行评标，最终的评标委员会成员人数不得少于5人，且符合《中华人民共和国招标投标法》第三十七条第二款的规定</w:t>
            </w:r>
            <w:r>
              <w:rPr>
                <w:rFonts w:hint="eastAsia" w:ascii="宋体" w:hAnsi="宋体"/>
                <w:u w:val="single"/>
              </w:rPr>
              <w:t xml:space="preserve"> </w:t>
            </w:r>
            <w:r>
              <w:rPr>
                <w:rFonts w:hint="eastAsia" w:ascii="宋体" w:hAnsi="宋体" w:eastAsia="宋体" w:cs="宋体"/>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6.3</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评标方法</w:t>
            </w:r>
          </w:p>
        </w:tc>
        <w:tc>
          <w:tcPr>
            <w:tcW w:w="5535" w:type="dxa"/>
            <w:vAlign w:val="center"/>
          </w:tcPr>
          <w:p>
            <w:pPr>
              <w:widowControl w:val="0"/>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
                <w14:textFill>
                  <w14:solidFill>
                    <w14:schemeClr w14:val="tx1"/>
                  </w14:solidFill>
                </w14:textFill>
              </w:rPr>
              <w:t>□</w:t>
            </w:r>
            <w:r>
              <w:fldChar w:fldCharType="begin"/>
            </w:r>
            <w:r>
              <w:instrText xml:space="preserve"> HYPERLINK "http://218.108.28.22/zjgcjy/infodetail/?infoid=25b0d8ef-782f-44f1-a7c2-cdfa059b2aa2&amp;siteid=1&amp;categoryNum=032003" </w:instrText>
            </w:r>
            <w:r>
              <w:fldChar w:fldCharType="separate"/>
            </w:r>
            <w:r>
              <w:rPr>
                <w:rFonts w:ascii="宋体" w:hAnsi="宋体" w:eastAsia="宋体" w:cs="宋体"/>
                <w:color w:val="000000" w:themeColor="text1"/>
                <w:position w:val="3"/>
                <w14:textFill>
                  <w14:solidFill>
                    <w14:schemeClr w14:val="tx1"/>
                  </w14:solidFill>
                </w14:textFill>
              </w:rPr>
              <w:t>经评审的最低投标价法</w:t>
            </w:r>
            <w:r>
              <w:rPr>
                <w:rFonts w:ascii="宋体" w:hAnsi="宋体" w:eastAsia="宋体" w:cs="宋体"/>
                <w:color w:val="000000" w:themeColor="text1"/>
                <w:position w:val="3"/>
                <w14:textFill>
                  <w14:solidFill>
                    <w14:schemeClr w14:val="tx1"/>
                  </w14:solidFill>
                </w14:textFill>
              </w:rPr>
              <w:fldChar w:fldCharType="end"/>
            </w:r>
            <w:r>
              <w:rPr>
                <w:rFonts w:ascii="宋体" w:hAnsi="宋体" w:eastAsia="宋体" w:cs="宋体"/>
                <w:color w:val="000000" w:themeColor="text1"/>
                <w:position w:val="3"/>
                <w14:textFill>
                  <w14:solidFill>
                    <w14:schemeClr w14:val="tx1"/>
                  </w14:solidFill>
                </w14:textFill>
              </w:rPr>
              <w:t>。</w:t>
            </w:r>
          </w:p>
          <w:p>
            <w:pPr>
              <w:widowControl w:val="0"/>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4"/>
                <w14:textFill>
                  <w14:solidFill>
                    <w14:schemeClr w14:val="tx1"/>
                  </w14:solidFill>
                </w14:textFill>
              </w:rPr>
              <w:t>☑</w:t>
            </w:r>
            <w:r>
              <w:fldChar w:fldCharType="begin"/>
            </w:r>
            <w:r>
              <w:instrText xml:space="preserve"> HYPERLINK "http://218.108.28.22/zjgcjy/infodetail/?infoid=3561d4c5-1965-4914-8d10-bfd371957ee6&amp;siteid=1&amp;categoryNum=032003" </w:instrText>
            </w:r>
            <w:r>
              <w:fldChar w:fldCharType="separate"/>
            </w:r>
            <w:r>
              <w:rPr>
                <w:rFonts w:ascii="宋体" w:hAnsi="宋体" w:eastAsia="宋体" w:cs="宋体"/>
                <w:color w:val="000000" w:themeColor="text1"/>
                <w:position w:val="4"/>
                <w14:textFill>
                  <w14:solidFill>
                    <w14:schemeClr w14:val="tx1"/>
                  </w14:solidFill>
                </w14:textFill>
              </w:rPr>
              <w:t>综合评估法</w:t>
            </w:r>
            <w:r>
              <w:rPr>
                <w:rFonts w:ascii="宋体" w:hAnsi="宋体" w:eastAsia="宋体" w:cs="宋体"/>
                <w:color w:val="000000" w:themeColor="text1"/>
                <w:position w:val="4"/>
                <w14:textFill>
                  <w14:solidFill>
                    <w14:schemeClr w14:val="tx1"/>
                  </w14:solidFill>
                </w14:textFill>
              </w:rPr>
              <w:fldChar w:fldCharType="end"/>
            </w:r>
            <w:r>
              <w:rPr>
                <w:rFonts w:ascii="宋体" w:hAnsi="宋体" w:eastAsia="宋体" w:cs="宋体"/>
                <w:color w:val="000000" w:themeColor="text1"/>
                <w:position w:val="4"/>
                <w14:textFill>
                  <w14:solidFill>
                    <w14:schemeClr w14:val="tx1"/>
                  </w14:solidFill>
                </w14:textFill>
              </w:rPr>
              <w:t>。</w:t>
            </w:r>
            <w:r>
              <w:fldChar w:fldCharType="begin"/>
            </w:r>
            <w:r>
              <w:instrText xml:space="preserve"> HYPERLINK "http://218.108.28.22/zjgcjy/infodetail/?infoid=3561d4c5-1965-4914-8d10-bfd371957ee6&amp;siteid=1&amp;categoryNum=032003" </w:instrText>
            </w:r>
            <w:r>
              <w:fldChar w:fldCharType="separate"/>
            </w:r>
            <w:r>
              <w:fldChar w:fldCharType="end"/>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6.4.2</w:t>
            </w:r>
          </w:p>
        </w:tc>
        <w:tc>
          <w:tcPr>
            <w:tcW w:w="2055" w:type="dxa"/>
            <w:vAlign w:val="center"/>
          </w:tcPr>
          <w:p>
            <w:pPr>
              <w:tabs>
                <w:tab w:val="left" w:pos="1480"/>
              </w:tabs>
              <w:spacing w:line="312" w:lineRule="auto"/>
              <w:ind w:left="105" w:leftChars="50" w:right="105" w:rightChars="5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评标委员会推荐</w:t>
            </w:r>
          </w:p>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中标候选人</w:t>
            </w:r>
          </w:p>
        </w:tc>
        <w:tc>
          <w:tcPr>
            <w:tcW w:w="5535" w:type="dxa"/>
          </w:tcPr>
          <w:p>
            <w:pPr>
              <w:pStyle w:val="20"/>
              <w:tabs>
                <w:tab w:val="left" w:pos="5680"/>
              </w:tabs>
              <w:snapToGrid w:val="0"/>
              <w:spacing w:after="0" w:line="360" w:lineRule="auto"/>
              <w:ind w:left="105" w:leftChars="50" w:right="105" w:rightChars="50"/>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ascii="宋体" w:hAnsi="宋体" w:eastAsia="宋体" w:cs="宋体"/>
                <w:color w:val="000000" w:themeColor="text1"/>
                <w:sz w:val="21"/>
                <w:szCs w:val="21"/>
                <w14:textFill>
                  <w14:solidFill>
                    <w14:schemeClr w14:val="tx1"/>
                  </w14:solidFill>
                </w14:textFill>
              </w:rPr>
              <w:t>推荐的中标候选人数量：</w:t>
            </w:r>
            <w:r>
              <w:rPr>
                <w:rFonts w:hint="eastAsia" w:ascii="宋体" w:hAnsi="宋体" w:eastAsia="宋体" w:cs="宋体"/>
                <w:color w:val="000000" w:themeColor="text1"/>
                <w:sz w:val="21"/>
                <w:szCs w:val="21"/>
                <w:u w:val="single"/>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家</w:t>
            </w:r>
            <w:r>
              <w:rPr>
                <w:rFonts w:ascii="宋体" w:hAnsi="宋体" w:eastAsia="宋体" w:cs="宋体"/>
                <w:color w:val="000000" w:themeColor="text1"/>
                <w:sz w:val="21"/>
                <w:szCs w:val="21"/>
                <w14:textFill>
                  <w14:solidFill>
                    <w14:schemeClr w14:val="tx1"/>
                  </w14:solidFill>
                </w14:textFill>
              </w:rPr>
              <w:t>。</w:t>
            </w:r>
          </w:p>
          <w:p>
            <w:pPr>
              <w:pStyle w:val="20"/>
              <w:tabs>
                <w:tab w:val="left" w:pos="5680"/>
              </w:tabs>
              <w:snapToGrid w:val="0"/>
              <w:spacing w:after="0" w:line="360" w:lineRule="auto"/>
              <w:ind w:left="105" w:leftChars="50" w:right="105" w:rightChars="5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w:t>
            </w:r>
            <w:r>
              <w:rPr>
                <w:rFonts w:hint="eastAsia" w:ascii="宋体" w:hAnsi="宋体" w:eastAsia="宋体" w:cs="宋体"/>
                <w:i/>
                <w:iCs/>
                <w:color w:val="000000" w:themeColor="text1"/>
                <w:sz w:val="21"/>
                <w:szCs w:val="21"/>
                <w:u w:val="single"/>
                <w14:textFill>
                  <w14:solidFill>
                    <w14:schemeClr w14:val="tx1"/>
                  </w14:solidFill>
                </w14:textFill>
              </w:rPr>
              <w:t>经评审通过的有效投标人数量大于等于10家时，按照排序推荐前5名中标候选人，经评审通过的有效投标人数量小于10家时，按照排序推荐前3名中标候选人</w:t>
            </w:r>
            <w:r>
              <w:rPr>
                <w:rFonts w:hint="eastAsia"/>
                <w:color w:val="000000" w:themeColor="text1"/>
                <w:sz w:val="21"/>
                <w:szCs w:val="21"/>
                <w14:textFill>
                  <w14:solidFill>
                    <w14:schemeClr w14:val="tx1"/>
                  </w14:solidFill>
                </w14:textFill>
              </w:rPr>
              <w:t>。（适用于“评定分离”。</w:t>
            </w:r>
            <w:r>
              <w:rPr>
                <w:rFonts w:hint="eastAsia"/>
                <w:strike/>
                <w:color w:val="000000" w:themeColor="text1"/>
                <w:sz w:val="21"/>
                <w:szCs w:val="21"/>
                <w14:textFill>
                  <w14:solidFill>
                    <w14:schemeClr w14:val="tx1"/>
                  </w14:solidFill>
                </w14:textFill>
              </w:rPr>
              <w:t>注：原则上推荐3名中标候选人，最多不超过5个。</w:t>
            </w:r>
            <w:r>
              <w:rPr>
                <w:rFonts w:hint="eastAsia"/>
                <w:color w:val="000000" w:themeColor="text1"/>
                <w:sz w:val="21"/>
                <w:szCs w:val="21"/>
                <w14:textFill>
                  <w14:solidFill>
                    <w14:schemeClr w14:val="tx1"/>
                  </w14:solidFill>
                </w14:textFill>
              </w:rPr>
              <w:t>推荐名单的中标候选人不排名次。）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7.1</w:t>
            </w:r>
          </w:p>
        </w:tc>
        <w:tc>
          <w:tcPr>
            <w:tcW w:w="2055" w:type="dxa"/>
            <w:vAlign w:val="center"/>
          </w:tcPr>
          <w:p>
            <w:pPr>
              <w:pStyle w:val="44"/>
              <w:rPr>
                <w:rFonts w:hAnsi="Times New Roman"/>
              </w:rPr>
            </w:pPr>
            <w:r>
              <w:t>确定中标人</w:t>
            </w:r>
          </w:p>
        </w:tc>
        <w:tc>
          <w:tcPr>
            <w:tcW w:w="5535" w:type="dxa"/>
            <w:vAlign w:val="center"/>
          </w:tcPr>
          <w:p>
            <w:pPr>
              <w:pStyle w:val="44"/>
              <w:spacing w:line="360" w:lineRule="auto"/>
              <w:rPr>
                <w:rFonts w:ascii="宋体"/>
              </w:rPr>
            </w:pPr>
            <w:r>
              <w:rPr>
                <w:rFonts w:hint="eastAsia" w:ascii="宋体" w:eastAsia="宋体"/>
              </w:rPr>
              <w:t>□</w:t>
            </w:r>
            <w:r>
              <w:rPr>
                <w:rFonts w:hint="eastAsia"/>
              </w:rPr>
              <w:t>授权</w:t>
            </w:r>
            <w:r>
              <w:t>评标委员会确定中标人</w:t>
            </w:r>
            <w:r>
              <w:rPr>
                <w:rFonts w:ascii="宋体"/>
              </w:rPr>
              <w:t>。</w:t>
            </w:r>
          </w:p>
          <w:p>
            <w:pPr>
              <w:pStyle w:val="44"/>
              <w:spacing w:line="360" w:lineRule="auto"/>
            </w:pPr>
            <w:r>
              <w:rPr>
                <w:rFonts w:hint="eastAsia" w:eastAsia="宋体"/>
              </w:rPr>
              <w:t>□</w:t>
            </w:r>
            <w:r>
              <w:rPr>
                <w:rFonts w:hint="eastAsia"/>
              </w:rPr>
              <w:t>根据评标委员会推荐，由招标人</w:t>
            </w:r>
            <w:r>
              <w:rPr>
                <w:rFonts w:ascii="Times New Roman"/>
              </w:rPr>
              <w:t>确定中标人</w:t>
            </w:r>
            <w:r>
              <w:t>。</w:t>
            </w:r>
          </w:p>
          <w:p>
            <w:pPr>
              <w:pStyle w:val="44"/>
              <w:spacing w:line="360" w:lineRule="auto"/>
            </w:pPr>
            <w:r>
              <w:rPr>
                <w:rFonts w:hint="eastAsia" w:eastAsia="宋体"/>
              </w:rPr>
              <w:t>☑</w:t>
            </w:r>
            <w:r>
              <w:rPr>
                <w:rFonts w:hint="eastAsia"/>
              </w:rPr>
              <w:t>评定分离，根据评标委员会推荐，另行组织定标会议，由定标委员会</w:t>
            </w:r>
            <w:r>
              <w:rPr>
                <w:rFonts w:ascii="Times New Roman"/>
              </w:rPr>
              <w:t>确定中标人</w:t>
            </w:r>
            <w:r>
              <w:t>。</w:t>
            </w:r>
          </w:p>
          <w:p>
            <w:pPr>
              <w:pStyle w:val="44"/>
              <w:spacing w:line="360" w:lineRule="auto"/>
            </w:pPr>
            <w:r>
              <w:rPr>
                <w:rFonts w:hint="eastAsia" w:ascii="宋体" w:hAnsi="宋体"/>
              </w:rPr>
              <w:t>□</w:t>
            </w:r>
            <w:r>
              <w:rPr>
                <w:rFonts w:hAnsi="宋体"/>
              </w:rPr>
              <w:t>其他：</w:t>
            </w:r>
            <w:r>
              <w:t xml:space="preserve">              </w:t>
            </w:r>
            <w:r>
              <w:rPr>
                <w:rFonts w:hAnsi="宋体"/>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7.1.4</w:t>
            </w:r>
          </w:p>
        </w:tc>
        <w:tc>
          <w:tcPr>
            <w:tcW w:w="2055" w:type="dxa"/>
            <w:vAlign w:val="center"/>
          </w:tcPr>
          <w:p>
            <w:pPr>
              <w:pStyle w:val="44"/>
              <w:ind w:firstLine="0" w:firstLineChars="0"/>
            </w:pPr>
            <w:r>
              <w:rPr>
                <w:rFonts w:hint="eastAsia" w:eastAsia="宋体"/>
              </w:rPr>
              <w:t>☑</w:t>
            </w:r>
            <w:r>
              <w:rPr>
                <w:rFonts w:hint="eastAsia" w:ascii="宋体" w:hAnsi="宋体" w:eastAsia="宋体" w:cs="宋体"/>
              </w:rPr>
              <w:t>中标公告媒介及期限</w:t>
            </w:r>
          </w:p>
        </w:tc>
        <w:tc>
          <w:tcPr>
            <w:tcW w:w="5535" w:type="dxa"/>
            <w:vAlign w:val="center"/>
          </w:tcPr>
          <w:p>
            <w:pPr>
              <w:spacing w:line="360" w:lineRule="auto"/>
              <w:rPr>
                <w:rFonts w:ascii="宋体" w:hAnsi="宋体" w:eastAsia="宋体" w:cs="宋体"/>
              </w:rPr>
            </w:pPr>
            <w:r>
              <w:rPr>
                <w:rFonts w:hint="eastAsia" w:ascii="宋体" w:hAnsi="宋体" w:eastAsia="宋体" w:cs="宋体"/>
              </w:rPr>
              <w:t>公</w:t>
            </w:r>
            <w:r>
              <w:rPr>
                <w:rFonts w:hint="eastAsia" w:ascii="宋体" w:hAnsi="宋体" w:eastAsia="宋体" w:cs="宋体"/>
                <w:spacing w:val="-2"/>
              </w:rPr>
              <w:t>告</w:t>
            </w:r>
            <w:r>
              <w:rPr>
                <w:rFonts w:hint="eastAsia" w:ascii="宋体" w:hAnsi="宋体" w:eastAsia="宋体" w:cs="宋体"/>
              </w:rPr>
              <w:t>媒介：</w:t>
            </w:r>
            <w:r>
              <w:rPr>
                <w:rFonts w:hint="eastAsia" w:ascii="宋体" w:hAnsi="宋体" w:eastAsia="宋体" w:cs="宋体"/>
                <w:u w:val="single"/>
              </w:rPr>
              <w:t xml:space="preserve"> </w:t>
            </w:r>
            <w:r>
              <w:rPr>
                <w:rFonts w:hint="eastAsia" w:ascii="宋体" w:hAnsi="宋体" w:eastAsia="宋体" w:cs="宋体"/>
                <w:i/>
                <w:iCs/>
                <w:u w:val="single"/>
              </w:rPr>
              <w:t>诸暨市公共资源交易网 （https://www.zhuji.gov.cn/col/col1388385/）</w:t>
            </w:r>
            <w:r>
              <w:rPr>
                <w:rFonts w:hint="eastAsia" w:ascii="宋体" w:hAnsi="宋体" w:eastAsia="宋体" w:cs="宋体"/>
                <w:u w:val="single"/>
              </w:rPr>
              <w:t xml:space="preserve"> </w:t>
            </w:r>
          </w:p>
          <w:p>
            <w:pPr>
              <w:spacing w:line="360" w:lineRule="auto"/>
              <w:rPr>
                <w:rFonts w:hAnsi="宋体"/>
              </w:rPr>
            </w:pPr>
            <w:r>
              <w:rPr>
                <w:rFonts w:hint="eastAsia" w:ascii="宋体" w:hAnsi="宋体" w:eastAsia="宋体" w:cs="宋体"/>
                <w:spacing w:val="-2"/>
              </w:rPr>
              <w:t>公告期限：不少于3日。如遇国家法定休假日，应顺延至法定休假日后第一个工作日。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7.2.1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中标候选人公示</w:t>
            </w:r>
          </w:p>
        </w:tc>
        <w:tc>
          <w:tcPr>
            <w:tcW w:w="5535" w:type="dxa"/>
            <w:vAlign w:val="center"/>
          </w:tcPr>
          <w:p>
            <w:pPr>
              <w:tabs>
                <w:tab w:val="left" w:pos="2150"/>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对中标候选人的情况（有业绩、荣誉要求的，包括业绩、荣誉）在诸暨市公共资源交易网予以公示，公示期间招标人将对业绩及相关资质、证书原件等进行核查，公示期为3日。如遇国家法定休假日，应顺延至法定休假日后第一个工作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7.4.1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履约保证金</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履约保证金的形式：</w:t>
            </w:r>
            <w:bookmarkStart w:id="3" w:name="EB729f8822ed244be9b6cbf8c77e802a6c"/>
            <w:r>
              <w:rPr>
                <w:rFonts w:hint="eastAsia" w:ascii="宋体" w:hAnsi="宋体" w:eastAsia="宋体" w:cs="宋体"/>
                <w:color w:val="000000" w:themeColor="text1"/>
                <w14:textFill>
                  <w14:solidFill>
                    <w14:schemeClr w14:val="tx1"/>
                  </w14:solidFill>
                </w14:textFill>
              </w:rPr>
              <w:t>现金、支票、汇票、转账、银行保函、融资担保公司保函或者保险机构保证、保险、保单。</w:t>
            </w:r>
            <w:bookmarkEnd w:id="3"/>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履约保证金的金额：合同总价的</w:t>
            </w:r>
            <w:r>
              <w:rPr>
                <w:rFonts w:hint="eastAsia" w:ascii="宋体" w:hAnsi="宋体" w:eastAsia="宋体" w:cs="宋体"/>
                <w:color w:val="000000" w:themeColor="text1"/>
                <w:u w:val="single"/>
                <w14:textFill>
                  <w14:solidFill>
                    <w14:schemeClr w14:val="tx1"/>
                  </w14:solidFill>
                </w14:textFill>
              </w:rPr>
              <w:t xml:space="preserve"> 2 </w:t>
            </w:r>
            <w:r>
              <w:rPr>
                <w:rFonts w:ascii="宋体" w:hAnsi="宋体" w:eastAsia="宋体" w:cs="宋体"/>
                <w:color w:val="000000" w:themeColor="text1"/>
                <w14:textFill>
                  <w14:solidFill>
                    <w14:schemeClr w14:val="tx1"/>
                  </w14:solidFill>
                </w14:textFill>
              </w:rPr>
              <w:t>%(不得超过2%)。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8.2</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不再招标的情形</w:t>
            </w:r>
          </w:p>
        </w:tc>
        <w:tc>
          <w:tcPr>
            <w:tcW w:w="5535" w:type="dxa"/>
          </w:tcPr>
          <w:p>
            <w:pPr>
              <w:tabs>
                <w:tab w:val="left" w:pos="5680"/>
              </w:tabs>
              <w:spacing w:line="360" w:lineRule="auto"/>
              <w:ind w:left="105" w:leftChars="50" w:right="105" w:rightChars="5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重新招标后投标人仍少于</w:t>
            </w:r>
            <w:r>
              <w:rPr>
                <w:rFonts w:hint="eastAsia" w:ascii="宋体" w:hAnsi="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个，属于必须审批、核准的工程建设项目，经报相关部门批准后，可以不再进行招标。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9.5</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异议和投诉</w:t>
            </w:r>
          </w:p>
        </w:tc>
        <w:tc>
          <w:tcPr>
            <w:tcW w:w="5535" w:type="dxa"/>
          </w:tcPr>
          <w:p>
            <w:pPr>
              <w:spacing w:line="360" w:lineRule="auto"/>
              <w:rPr>
                <w:rFonts w:ascii="Times New Roman" w:hAnsi="Times New Roman"/>
              </w:rPr>
            </w:pPr>
            <w:r>
              <w:rPr>
                <w:rFonts w:ascii="Times New Roman" w:hAnsi="Times New Roman"/>
              </w:rPr>
              <w:t>9.5.1异议</w:t>
            </w:r>
          </w:p>
          <w:p>
            <w:pPr>
              <w:spacing w:line="360" w:lineRule="auto"/>
              <w:ind w:firstLine="420" w:firstLineChars="200"/>
              <w:rPr>
                <w:rFonts w:ascii="Times New Roman" w:hAnsi="Times New Roman"/>
              </w:rPr>
            </w:pPr>
            <w:r>
              <w:rPr>
                <w:rFonts w:ascii="Times New Roman" w:hAnsi="Times New Roman"/>
              </w:rPr>
              <w:t>（1）潜在投标人或者其他利害关系人对招标文件有异议的，应当在投标截止时间10日前以书面形式向招标人提出。招标人将在收到异议之日起3日内作出书面答复；作出答复前，暂停招标投标活动。</w:t>
            </w:r>
          </w:p>
          <w:p>
            <w:pPr>
              <w:spacing w:line="360" w:lineRule="auto"/>
              <w:ind w:firstLine="420" w:firstLineChars="200"/>
              <w:rPr>
                <w:rFonts w:ascii="Times New Roman" w:hAnsi="Times New Roman"/>
              </w:rPr>
            </w:pPr>
            <w:r>
              <w:rPr>
                <w:rFonts w:ascii="Times New Roman" w:hAnsi="Times New Roman"/>
              </w:rPr>
              <w:t>（2）投标人认为开标不符合有关规定的，应当在开标时提出异议。招标人将当场对异议给予处理或者告知处理的办法。异议和答复应记入开标记录或者制作专门记录以存档备查。</w:t>
            </w:r>
          </w:p>
          <w:p>
            <w:pPr>
              <w:spacing w:line="360" w:lineRule="auto"/>
              <w:ind w:firstLine="420" w:firstLineChars="200"/>
              <w:rPr>
                <w:rFonts w:ascii="Times New Roman" w:hAnsi="Times New Roman"/>
              </w:rPr>
            </w:pPr>
            <w:r>
              <w:rPr>
                <w:rFonts w:ascii="Times New Roman" w:hAnsi="Times New Roman"/>
              </w:rPr>
              <w:t>（3）投标人及其他利害关系人对评标结果有异议的，应当在中标候选人公示期内以书面形式向招标人提出。招标人将在收到异议之日起3日内作出书面答复；作出答复前，暂停招标投标活动。</w:t>
            </w:r>
          </w:p>
          <w:p>
            <w:pPr>
              <w:spacing w:line="360" w:lineRule="auto"/>
              <w:rPr>
                <w:rFonts w:ascii="Times New Roman" w:hAnsi="Times New Roman"/>
              </w:rPr>
            </w:pPr>
            <w:r>
              <w:rPr>
                <w:rFonts w:ascii="Times New Roman" w:hAnsi="Times New Roman"/>
              </w:rPr>
              <w:t>9.5.2投诉</w:t>
            </w:r>
          </w:p>
          <w:p>
            <w:pPr>
              <w:spacing w:line="360" w:lineRule="auto"/>
              <w:ind w:firstLine="420" w:firstLineChars="200"/>
              <w:rPr>
                <w:rFonts w:ascii="Times New Roman" w:hAnsi="Times New Roman"/>
              </w:rPr>
            </w:pPr>
            <w:r>
              <w:rPr>
                <w:rFonts w:ascii="Times New Roman" w:hAnsi="Times New Roman"/>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pPr>
              <w:spacing w:line="360" w:lineRule="auto"/>
              <w:ind w:firstLine="420" w:firstLineChars="200"/>
              <w:rPr>
                <w:rFonts w:ascii="宋体" w:hAnsi="宋体" w:eastAsia="宋体" w:cs="宋体"/>
                <w:b/>
                <w:color w:val="000000" w:themeColor="text1"/>
                <w14:textFill>
                  <w14:solidFill>
                    <w14:schemeClr w14:val="tx1"/>
                  </w14:solidFill>
                </w14:textFill>
              </w:rPr>
            </w:pPr>
            <w:r>
              <w:rPr>
                <w:rFonts w:ascii="Times New Roman" w:hAnsi="Times New Roman"/>
              </w:rPr>
              <w:t>上述时限最后一日如遇国家法定休假日的，顺延至法定休假日后的第一个工作日。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pStyle w:val="44"/>
              <w:rPr>
                <w:rFonts w:ascii="Times New Roman" w:hAnsi="Times New Roman"/>
              </w:rPr>
            </w:pPr>
            <w:r>
              <w:rPr>
                <w:rFonts w:ascii="Times New Roman" w:hAnsi="Times New Roman"/>
              </w:rPr>
              <w:t>10</w:t>
            </w:r>
          </w:p>
        </w:tc>
        <w:tc>
          <w:tcPr>
            <w:tcW w:w="2055" w:type="dxa"/>
            <w:vAlign w:val="center"/>
          </w:tcPr>
          <w:p>
            <w:pPr>
              <w:pStyle w:val="44"/>
              <w:ind w:firstLine="0" w:firstLineChars="0"/>
              <w:rPr>
                <w:rFonts w:ascii="Times New Roman" w:hAnsi="Times New Roman"/>
              </w:rPr>
            </w:pPr>
            <w:r>
              <w:rPr>
                <w:rFonts w:hint="eastAsia" w:ascii="宋体" w:hAnsi="宋体" w:eastAsia="宋体" w:cs="宋体"/>
              </w:rPr>
              <w:t>需要补充的其他内容</w:t>
            </w:r>
          </w:p>
        </w:tc>
        <w:tc>
          <w:tcPr>
            <w:tcW w:w="5535" w:type="dxa"/>
            <w:vAlign w:val="center"/>
          </w:tcPr>
          <w:p>
            <w:pPr>
              <w:spacing w:line="360" w:lineRule="auto"/>
              <w:jc w:val="both"/>
              <w:rPr>
                <w:rFonts w:ascii="Times New Roman" w:hAnsi="Times New Roman"/>
              </w:rPr>
            </w:pPr>
            <w:r>
              <w:rPr>
                <w:rFonts w:ascii="宋体" w:hAnsi="宋体" w:eastAsia="宋体" w:cs="宋体"/>
                <w:color w:val="000000" w:themeColor="text1"/>
                <w14:textFill>
                  <w14:solidFill>
                    <w14:schemeClr w14:val="tx1"/>
                  </w14:solidFill>
                </w14:textFill>
              </w:rPr>
              <w:t>投诉受理的具体部门及电话</w:t>
            </w:r>
            <w:r>
              <w:rPr>
                <w:rFonts w:ascii="宋体" w:hAnsi="宋体" w:eastAsia="宋体" w:cs="宋体"/>
                <w:i/>
                <w:iCs/>
                <w:color w:val="000000" w:themeColor="text1"/>
                <w:u w:val="single"/>
                <w14:textFill>
                  <w14:solidFill>
                    <w14:schemeClr w14:val="tx1"/>
                  </w14:solidFill>
                </w14:textFill>
              </w:rPr>
              <w:t xml:space="preserve"> </w:t>
            </w:r>
            <w:r>
              <w:rPr>
                <w:rFonts w:hint="eastAsia" w:ascii="宋体" w:hAnsi="宋体" w:eastAsia="宋体" w:cs="宋体"/>
                <w:i/>
                <w:iCs/>
                <w:color w:val="000000" w:themeColor="text1"/>
                <w:u w:val="single"/>
                <w14:textFill>
                  <w14:solidFill>
                    <w14:schemeClr w14:val="tx1"/>
                  </w14:solidFill>
                </w14:textFill>
              </w:rPr>
              <w:t>诸暨市公共资源交易管理委员会办公室 0575-87253005</w:t>
            </w:r>
            <w:r>
              <w:rPr>
                <w:rFonts w:ascii="宋体" w:hAnsi="宋体" w:eastAsia="宋体" w:cs="宋体"/>
                <w:i/>
                <w:iCs/>
                <w:color w:val="000000" w:themeColor="text1"/>
                <w:u w:val="single"/>
                <w14:textFill>
                  <w14:solidFill>
                    <w14:schemeClr w14:val="tx1"/>
                  </w14:solidFill>
                </w14:textFill>
              </w:rPr>
              <w:t xml:space="preserve"> </w:t>
            </w:r>
            <w:r>
              <w:rPr>
                <w:rFonts w:ascii="Times New Roman" w:hAnsi="宋体"/>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10.1</w:t>
            </w:r>
          </w:p>
        </w:tc>
        <w:tc>
          <w:tcPr>
            <w:tcW w:w="2055" w:type="dxa"/>
            <w:vAlign w:val="center"/>
          </w:tcPr>
          <w:p>
            <w:pPr>
              <w:tabs>
                <w:tab w:val="left" w:pos="1480"/>
              </w:tabs>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否决投标的情形</w:t>
            </w:r>
          </w:p>
        </w:tc>
        <w:tc>
          <w:tcPr>
            <w:tcW w:w="5535" w:type="dxa"/>
          </w:tcPr>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二、投标文件存在以下情形之一的，由评标委员会审核并经过询标程序，其投标文件将被否决：</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(一)符合性内容</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1.投标人的资质、业绩、人员、</w:t>
            </w:r>
            <w:r>
              <w:rPr>
                <w:rFonts w:hint="eastAsia" w:ascii="宋体" w:hAnsi="宋体" w:eastAsia="宋体" w:cs="宋体"/>
                <w:color w:val="000000" w:themeColor="text1"/>
                <w14:textFill>
                  <w14:solidFill>
                    <w14:schemeClr w14:val="tx1"/>
                  </w14:solidFill>
                </w14:textFill>
              </w:rPr>
              <w:t>设备(材料)</w:t>
            </w:r>
            <w:r>
              <w:rPr>
                <w:rFonts w:ascii="宋体" w:hAnsi="宋体" w:eastAsia="宋体" w:cs="宋体"/>
                <w:color w:val="000000" w:themeColor="text1"/>
                <w14:textFill>
                  <w14:solidFill>
                    <w14:schemeClr w14:val="tx1"/>
                  </w14:solidFill>
                </w14:textFill>
              </w:rPr>
              <w:t>等条件未满足招标文件实质性响应要求的(以投标人须知前附表3.5.7中“一、实质性响应招标文件资料”内容为准)；</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2.投标文件未按招标文件的要求(以投标人须知前附表第3.7.3项规定为准)签字或盖章的；</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
                <w14:textFill>
                  <w14:solidFill>
                    <w14:schemeClr w14:val="tx1"/>
                  </w14:solidFill>
                </w14:textFill>
              </w:rPr>
              <w:t>☑</w:t>
            </w:r>
            <w:r>
              <w:rPr>
                <w:rFonts w:ascii="宋体" w:hAnsi="宋体" w:eastAsia="宋体" w:cs="宋体"/>
                <w:color w:val="000000" w:themeColor="text1"/>
                <w:position w:val="1"/>
                <w14:textFill>
                  <w14:solidFill>
                    <w14:schemeClr w14:val="tx1"/>
                  </w14:solidFill>
                </w14:textFill>
              </w:rPr>
              <w:t>3.委托代理人无有效的</w:t>
            </w:r>
            <w:r>
              <w:rPr>
                <w:rFonts w:ascii="宋体" w:hAnsi="宋体" w:eastAsia="宋体" w:cs="宋体"/>
                <w:color w:val="000000" w:themeColor="text1"/>
                <w14:textFill>
                  <w14:solidFill>
                    <w14:schemeClr w14:val="tx1"/>
                  </w14:solidFill>
                </w14:textFill>
              </w:rPr>
              <w:t>法定代表人</w:t>
            </w:r>
            <w:r>
              <w:rPr>
                <w:rFonts w:ascii="宋体" w:hAnsi="宋体" w:eastAsia="宋体" w:cs="宋体"/>
                <w:color w:val="000000" w:themeColor="text1"/>
                <w:position w:val="1"/>
                <w14:textFill>
                  <w14:solidFill>
                    <w14:schemeClr w14:val="tx1"/>
                  </w14:solidFill>
                </w14:textFill>
              </w:rPr>
              <w:t>授权委托书的；</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4.投标人存在投标人须知第1.4.3项规定情形的。</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5.投标函载明的交货期不响应招标文件要求的；</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6.投标人不以自己的名义或未按招标文件要求提供投标保证金，或提供的投标保证金有缺陷而不能接受的；</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position w:val="1"/>
                <w14:textFill>
                  <w14:solidFill>
                    <w14:schemeClr w14:val="tx1"/>
                  </w14:solidFill>
                </w14:textFill>
              </w:rPr>
              <w:t>7.投标报价高于招标文件设定的最高投标限价的；</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8.改变招标人提供的</w:t>
            </w:r>
            <w:r>
              <w:rPr>
                <w:rFonts w:hint="eastAsia" w:ascii="宋体" w:hAnsi="宋体" w:eastAsia="宋体" w:cs="宋体"/>
                <w:color w:val="000000" w:themeColor="text1"/>
                <w14:textFill>
                  <w14:solidFill>
                    <w14:schemeClr w14:val="tx1"/>
                  </w14:solidFill>
                </w14:textFill>
              </w:rPr>
              <w:t>设备(材料)</w:t>
            </w:r>
            <w:r>
              <w:rPr>
                <w:rFonts w:ascii="宋体" w:hAnsi="宋体" w:eastAsia="宋体" w:cs="宋体"/>
                <w:color w:val="000000" w:themeColor="text1"/>
                <w14:textFill>
                  <w14:solidFill>
                    <w14:schemeClr w14:val="tx1"/>
                  </w14:solidFill>
                </w14:textFill>
              </w:rPr>
              <w:t>清单内容的(货物名称、单位、数量)；</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9.</w:t>
            </w:r>
            <w:r>
              <w:rPr>
                <w:rFonts w:hint="eastAsia" w:ascii="宋体" w:hAnsi="宋体" w:eastAsia="宋体" w:cs="宋体"/>
                <w:i/>
                <w:iCs/>
                <w:color w:val="000000" w:themeColor="text1"/>
                <w:u w:val="single"/>
                <w14:textFill>
                  <w14:solidFill>
                    <w14:schemeClr w14:val="tx1"/>
                  </w14:solidFill>
                </w14:textFill>
              </w:rPr>
              <w:t>联合体投标的，未提供联合体各方签订的共同投标协议的</w:t>
            </w:r>
            <w:r>
              <w:rPr>
                <w:rFonts w:ascii="宋体" w:hAnsi="宋体" w:eastAsia="宋体" w:cs="宋体"/>
                <w:color w:val="000000" w:themeColor="text1"/>
                <w14:textFill>
                  <w14:solidFill>
                    <w14:schemeClr w14:val="tx1"/>
                  </w14:solidFill>
                </w14:textFill>
              </w:rPr>
              <w:t>；</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10.投标人被省发展改革委列入招标投标失信黑名单，且在披露期内的；</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11.投标人在“信用中国”网站上，被列为失信被执行人的</w:t>
            </w:r>
            <w:r>
              <w:rPr>
                <w:rFonts w:hint="eastAsia" w:ascii="宋体" w:hAnsi="宋体" w:eastAsia="宋体" w:cs="宋体"/>
                <w:color w:val="000000" w:themeColor="text1"/>
                <w14:textFill>
                  <w14:solidFill>
                    <w14:schemeClr w14:val="tx1"/>
                  </w14:solidFill>
                </w14:textFill>
              </w:rPr>
              <w:t>；</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投标人存在行贿犯罪记录的；</w:t>
            </w:r>
          </w:p>
          <w:p>
            <w:pPr>
              <w:pStyle w:val="43"/>
              <w:tabs>
                <w:tab w:val="left" w:pos="3376"/>
                <w:tab w:val="left" w:pos="5680"/>
              </w:tabs>
              <w:topLinePunct/>
              <w:spacing w:line="360" w:lineRule="auto"/>
              <w:ind w:left="105" w:leftChars="50" w:right="105" w:rightChars="50" w:firstLine="0" w:firstLineChars="0"/>
              <w:rPr>
                <w:strike/>
                <w:color w:val="000000" w:themeColor="text1"/>
                <w14:textFill>
                  <w14:solidFill>
                    <w14:schemeClr w14:val="tx1"/>
                  </w14:solidFill>
                </w14:textFill>
              </w:rPr>
            </w:pPr>
            <w:r>
              <w:rPr>
                <w:rFonts w:hint="eastAsia" w:eastAsia="宋体"/>
                <w:strike/>
                <w:color w:val="000000" w:themeColor="text1"/>
                <w14:textFill>
                  <w14:solidFill>
                    <w14:schemeClr w14:val="tx1"/>
                  </w14:solidFill>
                </w14:textFill>
              </w:rPr>
              <w:t>13</w:t>
            </w:r>
            <w:r>
              <w:rPr>
                <w:rFonts w:hint="eastAsia"/>
                <w:strike/>
                <w:color w:val="000000" w:themeColor="text1"/>
                <w14:textFill>
                  <w14:solidFill>
                    <w14:schemeClr w14:val="tx1"/>
                  </w14:solidFill>
                </w14:textFill>
              </w:rPr>
              <w:t>.不同投标人的投标文件制作机器码、文件创建标识码一致的；（具体说明：                      ）</w:t>
            </w:r>
          </w:p>
          <w:p>
            <w:pPr>
              <w:pStyle w:val="43"/>
              <w:tabs>
                <w:tab w:val="left" w:pos="3376"/>
                <w:tab w:val="left" w:pos="5680"/>
              </w:tabs>
              <w:topLinePunct/>
              <w:spacing w:line="360" w:lineRule="auto"/>
              <w:ind w:left="105" w:leftChars="50" w:right="105" w:rightChars="50" w:firstLine="0" w:firstLineChars="0"/>
              <w:rPr>
                <w:rFonts w:ascii="Times New Roman" w:hAnsi="Times New Roman" w:eastAsiaTheme="minorEastAsia"/>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14</w:t>
            </w:r>
            <w:r>
              <w:rPr>
                <w:rFonts w:hint="eastAsia"/>
                <w:color w:val="000000" w:themeColor="text1"/>
                <w14:textFill>
                  <w14:solidFill>
                    <w14:schemeClr w14:val="tx1"/>
                  </w14:solidFill>
                </w14:textFill>
              </w:rPr>
              <w:t>.</w:t>
            </w:r>
            <w:r>
              <w:rPr>
                <w:rFonts w:hint="eastAsia" w:eastAsia="宋体"/>
                <w:color w:val="000000" w:themeColor="text1"/>
                <w14:textFill>
                  <w14:solidFill>
                    <w14:schemeClr w14:val="tx1"/>
                  </w14:solidFill>
                </w14:textFill>
              </w:rPr>
              <w:t>□</w:t>
            </w:r>
            <w:r>
              <w:rPr>
                <w:rFonts w:ascii="Times New Roman" w:hAnsi="Times New Roman"/>
                <w:color w:val="000000" w:themeColor="text1"/>
                <w14:textFill>
                  <w14:solidFill>
                    <w14:schemeClr w14:val="tx1"/>
                  </w14:solidFill>
                </w14:textFill>
              </w:rPr>
              <w:t>投标人提供的纸质投标文件水印码与电子投标文件不一致的；</w:t>
            </w:r>
          </w:p>
          <w:p>
            <w:pPr>
              <w:pStyle w:val="43"/>
              <w:tabs>
                <w:tab w:val="left" w:pos="3376"/>
                <w:tab w:val="left" w:pos="5680"/>
              </w:tabs>
              <w:topLinePunct/>
              <w:spacing w:line="360" w:lineRule="auto"/>
              <w:ind w:left="105" w:leftChars="50" w:right="105" w:rightChars="50" w:firstLine="0" w:firstLineChars="0"/>
              <w:rPr>
                <w:rFonts w:eastAsiaTheme="minorEastAsia"/>
                <w:color w:val="000000" w:themeColor="text1"/>
                <w14:textFill>
                  <w14:solidFill>
                    <w14:schemeClr w14:val="tx1"/>
                  </w14:solidFill>
                </w14:textFill>
              </w:rPr>
            </w:pPr>
            <w:r>
              <w:rPr>
                <w:rFonts w:hint="eastAsia" w:ascii="Times New Roman" w:hAnsi="Times New Roman" w:eastAsiaTheme="minorEastAsia"/>
                <w:color w:val="000000" w:themeColor="text1"/>
                <w14:textFill>
                  <w14:solidFill>
                    <w14:schemeClr w14:val="tx1"/>
                  </w14:solidFill>
                </w14:textFill>
              </w:rPr>
              <w:t>□15.经招标人核实，投标人不符合“免缴投标保证金的”的条件，视同为未缴纳投标保证金；</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6</w:t>
            </w:r>
            <w:r>
              <w:rPr>
                <w:rFonts w:ascii="宋体" w:hAnsi="宋体" w:eastAsia="宋体" w:cs="宋体"/>
                <w:color w:val="000000" w:themeColor="text1"/>
                <w14:textFill>
                  <w14:solidFill>
                    <w14:schemeClr w14:val="tx1"/>
                  </w14:solidFill>
                </w14:textFill>
              </w:rPr>
              <w:t>.存在法律、法规、规章规定的其它无效投标情况的。</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(二)技术标内容</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1.采用的验收标准和方法、主要技术指标达不到国家强制性标准或要求的；</w:t>
            </w:r>
          </w:p>
          <w:p>
            <w:pPr>
              <w:tabs>
                <w:tab w:val="left" w:pos="5680"/>
              </w:tabs>
              <w:spacing w:line="360" w:lineRule="auto"/>
              <w:ind w:left="105" w:leftChars="50" w:right="105" w:rightChars="50"/>
              <w:jc w:val="both"/>
              <w:rPr>
                <w:rFonts w:ascii="宋体" w:hAnsi="宋体" w:eastAsia="宋体" w:cs="宋体"/>
                <w:strike/>
                <w:color w:val="000000" w:themeColor="text1"/>
                <w:u w:val="single"/>
                <w14:textFill>
                  <w14:solidFill>
                    <w14:schemeClr w14:val="tx1"/>
                  </w14:solidFill>
                </w14:textFill>
              </w:rPr>
            </w:pPr>
            <w:r>
              <w:rPr>
                <w:rFonts w:ascii="宋体" w:hAnsi="宋体" w:eastAsia="宋体" w:cs="宋体"/>
                <w:strike/>
                <w:color w:val="000000" w:themeColor="text1"/>
                <w14:textFill>
                  <w14:solidFill>
                    <w14:schemeClr w14:val="tx1"/>
                  </w14:solidFill>
                </w14:textFill>
              </w:rPr>
              <w:t>2.不符合以下技术规格、标准或性能指标的(招标人认为需要增加的，无则删除本条)：</w:t>
            </w:r>
          </w:p>
          <w:p>
            <w:pPr>
              <w:tabs>
                <w:tab w:val="left" w:pos="5680"/>
              </w:tabs>
              <w:spacing w:line="360" w:lineRule="auto"/>
              <w:ind w:left="105" w:leftChars="50" w:right="105" w:rightChars="50"/>
              <w:jc w:val="both"/>
              <w:rPr>
                <w:rFonts w:ascii="宋体" w:hAnsi="宋体" w:eastAsia="宋体" w:cs="宋体"/>
                <w:strike/>
                <w:color w:val="000000" w:themeColor="text1"/>
                <w14:textFill>
                  <w14:solidFill>
                    <w14:schemeClr w14:val="tx1"/>
                  </w14:solidFill>
                </w14:textFill>
              </w:rPr>
            </w:pPr>
            <w:r>
              <w:rPr>
                <w:rFonts w:ascii="宋体" w:hAnsi="宋体" w:eastAsia="宋体" w:cs="宋体"/>
                <w:strike/>
                <w:color w:val="000000" w:themeColor="text1"/>
                <w14:textFill>
                  <w14:solidFill>
                    <w14:schemeClr w14:val="tx1"/>
                  </w14:solidFill>
                </w14:textFill>
              </w:rPr>
              <w:t>3.投标文件载明的货物包装方式、检验标准和方法等不符合以下要求的(招标人需要增加的其他内容，无则删除本条)：</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4.存在评标办法规定的否决投标情况的；</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w:t>
            </w:r>
            <w:r>
              <w:rPr>
                <w:rFonts w:ascii="宋体" w:hAnsi="宋体" w:eastAsia="宋体" w:cs="宋体"/>
                <w:color w:val="000000" w:themeColor="text1"/>
                <w14:textFill>
                  <w14:solidFill>
                    <w14:schemeClr w14:val="tx1"/>
                  </w14:solidFill>
                </w14:textFill>
              </w:rPr>
              <w:t>.</w:t>
            </w:r>
            <w:r>
              <w:rPr>
                <w:rFonts w:hint="eastAsia" w:ascii="宋体" w:hAnsi="宋体" w:eastAsia="宋体" w:cs="宋体"/>
                <w:i/>
                <w:iCs/>
                <w:color w:val="000000" w:themeColor="text1"/>
                <w:u w:val="single"/>
                <w14:textFill>
                  <w14:solidFill>
                    <w14:schemeClr w14:val="tx1"/>
                  </w14:solidFill>
                </w14:textFill>
              </w:rPr>
              <w:t>投标人提供的投标文件出现负偏离情况的</w:t>
            </w:r>
            <w:r>
              <w:rPr>
                <w:rFonts w:ascii="宋体" w:hAnsi="宋体" w:eastAsia="宋体" w:cs="宋体"/>
                <w:color w:val="000000" w:themeColor="text1"/>
                <w14:textFill>
                  <w14:solidFill>
                    <w14:schemeClr w14:val="tx1"/>
                  </w14:solidFill>
                </w14:textFill>
              </w:rPr>
              <w:t>。</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(三)商务标内容</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1.同一投标人提交两个以上不同的投标文件或者投标报价的(招标文件要求提交备选投标的除外)；</w:t>
            </w:r>
          </w:p>
          <w:p>
            <w:pPr>
              <w:tabs>
                <w:tab w:val="left" w:pos="5680"/>
              </w:tabs>
              <w:spacing w:line="360" w:lineRule="auto"/>
              <w:ind w:left="105" w:leftChars="50" w:right="105" w:rightChars="50"/>
              <w:jc w:val="both"/>
              <w:rPr>
                <w:rFonts w:ascii="宋体" w:hAnsi="宋体" w:eastAsia="宋体" w:cs="宋体"/>
                <w:color w:val="000000" w:themeColor="text1"/>
                <w:position w:val="1"/>
                <w14:textFill>
                  <w14:solidFill>
                    <w14:schemeClr w14:val="tx1"/>
                  </w14:solidFill>
                </w14:textFill>
              </w:rPr>
            </w:pPr>
            <w:r>
              <w:rPr>
                <w:rFonts w:ascii="宋体" w:hAnsi="宋体" w:eastAsia="宋体" w:cs="宋体"/>
                <w:color w:val="000000" w:themeColor="text1"/>
                <w:position w:val="1"/>
                <w14:textFill>
                  <w14:solidFill>
                    <w14:schemeClr w14:val="tx1"/>
                  </w14:solidFill>
                </w14:textFill>
              </w:rPr>
              <w:t>2.报价评审时，投标人拒绝按以下条款修正的：</w:t>
            </w:r>
          </w:p>
          <w:p>
            <w:pPr>
              <w:tabs>
                <w:tab w:val="left" w:pos="5680"/>
              </w:tabs>
              <w:spacing w:line="360" w:lineRule="auto"/>
              <w:ind w:left="105" w:leftChars="50" w:right="105" w:rightChars="50"/>
              <w:jc w:val="both"/>
              <w:rPr>
                <w:rFonts w:ascii="宋体" w:hAnsi="宋体" w:eastAsia="宋体" w:cs="宋体"/>
                <w:i/>
                <w:iCs/>
                <w:color w:val="000000" w:themeColor="text1"/>
                <w:u w:val="single"/>
                <w14:textFill>
                  <w14:solidFill>
                    <w14:schemeClr w14:val="tx1"/>
                  </w14:solidFill>
                </w14:textFill>
              </w:rPr>
            </w:pPr>
            <w:r>
              <w:rPr>
                <w:rFonts w:ascii="宋体" w:hAnsi="宋体" w:eastAsia="宋体" w:cs="宋体"/>
                <w:i/>
                <w:iCs/>
                <w:color w:val="000000" w:themeColor="text1"/>
                <w:position w:val="1"/>
                <w:u w:val="single"/>
                <w14:textFill>
                  <w14:solidFill>
                    <w14:schemeClr w14:val="tx1"/>
                  </w14:solidFill>
                </w14:textFill>
              </w:rPr>
              <w:t>（1）投标文件中的大写金额与小写金额不一致的，以大写金额为准；</w:t>
            </w:r>
            <w:r>
              <w:rPr>
                <w:rFonts w:ascii="宋体" w:hAnsi="宋体" w:eastAsia="宋体" w:cs="宋体"/>
                <w:i/>
                <w:iCs/>
                <w:color w:val="000000" w:themeColor="text1"/>
                <w:position w:val="1"/>
                <w:u w:val="single"/>
                <w14:textFill>
                  <w14:solidFill>
                    <w14:schemeClr w14:val="tx1"/>
                  </w14:solidFill>
                </w14:textFill>
              </w:rPr>
              <w:cr/>
            </w:r>
            <w:r>
              <w:rPr>
                <w:rFonts w:ascii="宋体" w:hAnsi="宋体" w:eastAsia="宋体" w:cs="宋体"/>
                <w:i/>
                <w:iCs/>
                <w:color w:val="000000" w:themeColor="text1"/>
                <w:position w:val="1"/>
                <w:u w:val="single"/>
                <w14:textFill>
                  <w14:solidFill>
                    <w14:schemeClr w14:val="tx1"/>
                  </w14:solidFill>
                </w14:textFill>
              </w:rPr>
              <w:t>（2）总价金额与依据单价计算出的结果不一致的，以单价金额为准修正总价，但单</w:t>
            </w:r>
            <w:r>
              <w:rPr>
                <w:rFonts w:hint="eastAsia" w:ascii="宋体" w:hAnsi="宋体" w:eastAsia="宋体" w:cs="宋体"/>
                <w:i/>
                <w:iCs/>
                <w:color w:val="000000" w:themeColor="text1"/>
                <w:position w:val="1"/>
                <w:u w:val="single"/>
                <w14:textFill>
                  <w14:solidFill>
                    <w14:schemeClr w14:val="tx1"/>
                  </w14:solidFill>
                </w14:textFill>
              </w:rPr>
              <w:t>价金额小数点有明显错误的除外。</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3.投标函载明的投标报价或其它关键内容不全或有瑕疵的；</w:t>
            </w:r>
          </w:p>
          <w:p>
            <w:pPr>
              <w:tabs>
                <w:tab w:val="left" w:pos="5680"/>
              </w:tabs>
              <w:spacing w:line="360" w:lineRule="auto"/>
              <w:ind w:left="105" w:leftChars="50" w:right="105" w:rightChars="50"/>
              <w:jc w:val="both"/>
              <w:rPr>
                <w:rFonts w:ascii="宋体" w:hAnsi="宋体" w:eastAsia="宋体" w:cs="宋体"/>
                <w:strike/>
                <w:color w:val="000000" w:themeColor="text1"/>
                <w14:textFill>
                  <w14:solidFill>
                    <w14:schemeClr w14:val="tx1"/>
                  </w14:solidFill>
                </w14:textFill>
              </w:rPr>
            </w:pPr>
            <w:r>
              <w:rPr>
                <w:rFonts w:ascii="宋体" w:hAnsi="宋体" w:eastAsia="宋体" w:cs="宋体"/>
                <w:strike/>
                <w:color w:val="000000" w:themeColor="text1"/>
                <w14:textFill>
                  <w14:solidFill>
                    <w14:schemeClr w14:val="tx1"/>
                  </w14:solidFill>
                </w14:textFill>
              </w:rPr>
              <w:t>4.未按以下要求进行报价的(招标人认为需要增加的，无则删除本条)：</w:t>
            </w:r>
          </w:p>
          <w:p>
            <w:pPr>
              <w:tabs>
                <w:tab w:val="left" w:pos="5680"/>
              </w:tabs>
              <w:spacing w:line="360"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strike/>
                <w:color w:val="000000" w:themeColor="text1"/>
                <w14:textFill>
                  <w14:solidFill>
                    <w14:schemeClr w14:val="tx1"/>
                  </w14:solidFill>
                </w14:textFill>
              </w:rPr>
              <w:t>5.(招标人需要增加的其他商务标内容，无则删除本条)。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10.</w:t>
            </w:r>
            <w:r>
              <w:rPr>
                <w:rFonts w:hint="eastAsia" w:ascii="宋体" w:hAnsi="宋体" w:eastAsia="宋体" w:cs="宋体"/>
                <w:color w:val="000000" w:themeColor="text1"/>
                <w14:textFill>
                  <w14:solidFill>
                    <w14:schemeClr w14:val="tx1"/>
                  </w14:solidFill>
                </w14:textFill>
              </w:rPr>
              <w:t>2</w:t>
            </w:r>
          </w:p>
        </w:tc>
        <w:tc>
          <w:tcPr>
            <w:tcW w:w="2055" w:type="dxa"/>
            <w:vAlign w:val="center"/>
          </w:tcPr>
          <w:p>
            <w:pPr>
              <w:wordWrap w:val="0"/>
              <w:topLinePunct/>
              <w:spacing w:line="400" w:lineRule="exact"/>
              <w:rPr>
                <w:rFonts w:ascii="宋体" w:hAnsi="宋体"/>
              </w:rPr>
            </w:pPr>
            <w:r>
              <w:rPr>
                <w:rFonts w:hint="eastAsia" w:ascii="宋体" w:hAnsi="宋体" w:eastAsia="宋体" w:cs="宋体"/>
              </w:rPr>
              <w:t>定标（适用于</w:t>
            </w:r>
            <w:r>
              <w:t>“</w:t>
            </w:r>
            <w:r>
              <w:rPr>
                <w:rFonts w:hint="eastAsia" w:ascii="宋体" w:hAnsi="宋体" w:eastAsia="宋体" w:cs="宋体"/>
              </w:rPr>
              <w:t>评定分离</w:t>
            </w:r>
            <w:r>
              <w:t>”</w:t>
            </w:r>
            <w:r>
              <w:rPr>
                <w:rFonts w:hint="eastAsia" w:ascii="宋体" w:hAnsi="宋体" w:eastAsia="宋体" w:cs="宋体"/>
              </w:rPr>
              <w:t>）</w:t>
            </w:r>
          </w:p>
        </w:tc>
        <w:tc>
          <w:tcPr>
            <w:tcW w:w="5535" w:type="dxa"/>
            <w:vAlign w:val="center"/>
          </w:tcPr>
          <w:p>
            <w:pPr>
              <w:pStyle w:val="44"/>
              <w:spacing w:line="360" w:lineRule="auto"/>
            </w:pPr>
            <w:r>
              <w:rPr>
                <w:rFonts w:hint="eastAsia"/>
              </w:rPr>
              <w:t>1.</w:t>
            </w:r>
            <w:r>
              <w:rPr>
                <w:rFonts w:hint="eastAsia" w:ascii="宋体" w:hAnsi="宋体" w:eastAsia="宋体" w:cs="宋体"/>
              </w:rPr>
              <w:t>定标委员会：定标委员会由招标人负责组建，成员数量为</w:t>
            </w:r>
            <w:r>
              <w:t>5</w:t>
            </w:r>
            <w:r>
              <w:rPr>
                <w:rFonts w:hint="eastAsia" w:ascii="宋体" w:hAnsi="宋体" w:eastAsia="宋体" w:cs="宋体"/>
              </w:rPr>
              <w:t>人及以上单数。定标委员会成员与中标候选人有利害关系的应主动说明并申请回避。</w:t>
            </w:r>
          </w:p>
          <w:p>
            <w:pPr>
              <w:pStyle w:val="44"/>
              <w:spacing w:line="360" w:lineRule="auto"/>
            </w:pPr>
            <w:r>
              <w:rPr>
                <w:rFonts w:hint="eastAsia"/>
              </w:rPr>
              <w:t>2.</w:t>
            </w:r>
            <w:r>
              <w:rPr>
                <w:rFonts w:hint="eastAsia" w:ascii="宋体" w:hAnsi="宋体" w:eastAsia="宋体" w:cs="宋体"/>
              </w:rPr>
              <w:t>定标会议地点和时间：</w:t>
            </w:r>
          </w:p>
          <w:p>
            <w:pPr>
              <w:pStyle w:val="44"/>
              <w:spacing w:line="360" w:lineRule="auto"/>
            </w:pPr>
            <w:r>
              <w:rPr>
                <w:rFonts w:hint="eastAsia" w:ascii="宋体" w:eastAsia="宋体"/>
              </w:rPr>
              <w:t>□</w:t>
            </w:r>
            <w:r>
              <w:rPr>
                <w:rFonts w:hint="eastAsia"/>
              </w:rPr>
              <w:t>2.1</w:t>
            </w:r>
            <w:r>
              <w:rPr>
                <w:rFonts w:hint="eastAsia" w:ascii="宋体" w:eastAsia="宋体" w:cs="宋体"/>
              </w:rPr>
              <w:t>定标时间：</w:t>
            </w:r>
            <w:r>
              <w:rPr>
                <w:rFonts w:hint="eastAsia"/>
                <w:u w:val="single"/>
              </w:rPr>
              <w:t xml:space="preserve">                 </w:t>
            </w:r>
            <w:r>
              <w:rPr>
                <w:rFonts w:hint="eastAsia" w:ascii="宋体" w:eastAsia="宋体" w:cs="宋体"/>
              </w:rPr>
              <w:t>。</w:t>
            </w:r>
          </w:p>
          <w:p>
            <w:pPr>
              <w:pStyle w:val="44"/>
              <w:spacing w:line="360" w:lineRule="auto"/>
              <w:rPr>
                <w:rFonts w:hAnsi="宋体"/>
              </w:rPr>
            </w:pPr>
            <w:r>
              <w:rPr>
                <w:rFonts w:hint="eastAsia" w:ascii="宋体" w:hAnsi="宋体" w:eastAsia="宋体"/>
              </w:rPr>
              <w:t>□</w:t>
            </w:r>
            <w:r>
              <w:rPr>
                <w:rFonts w:hint="eastAsia"/>
              </w:rPr>
              <w:t>2.2</w:t>
            </w:r>
            <w:r>
              <w:rPr>
                <w:rFonts w:hint="eastAsia" w:ascii="宋体" w:hAnsi="宋体" w:eastAsia="宋体" w:cs="宋体"/>
              </w:rPr>
              <w:t>定标地点：</w:t>
            </w:r>
            <w:r>
              <w:rPr>
                <w:u w:val="single"/>
              </w:rPr>
              <w:t xml:space="preserve">       </w:t>
            </w:r>
            <w:r>
              <w:rPr>
                <w:rFonts w:hint="eastAsia"/>
                <w:u w:val="single"/>
              </w:rPr>
              <w:t xml:space="preserve">    </w:t>
            </w:r>
            <w:r>
              <w:rPr>
                <w:u w:val="single"/>
              </w:rPr>
              <w:t xml:space="preserve">      </w:t>
            </w:r>
            <w:r>
              <w:rPr>
                <w:rFonts w:hint="eastAsia" w:ascii="宋体" w:hAnsi="宋体" w:eastAsia="宋体" w:cs="宋体"/>
              </w:rPr>
              <w:t>。</w:t>
            </w:r>
          </w:p>
          <w:p>
            <w:pPr>
              <w:pStyle w:val="44"/>
              <w:spacing w:line="360" w:lineRule="auto"/>
            </w:pPr>
            <w:r>
              <w:rPr>
                <w:rFonts w:hint="eastAsia" w:eastAsia="宋体"/>
              </w:rPr>
              <w:t>☑</w:t>
            </w:r>
            <w:r>
              <w:t>2.3</w:t>
            </w:r>
            <w:r>
              <w:rPr>
                <w:rFonts w:hint="eastAsia" w:ascii="宋体" w:hAnsi="宋体" w:eastAsia="宋体" w:cs="宋体"/>
              </w:rPr>
              <w:t>招标人根据相关规定在评标结果公示结束后</w:t>
            </w:r>
            <w:r>
              <w:rPr>
                <w:rFonts w:hint="eastAsia"/>
              </w:rPr>
              <w:t>10</w:t>
            </w:r>
            <w:r>
              <w:rPr>
                <w:rFonts w:hint="eastAsia" w:ascii="宋体" w:hAnsi="宋体" w:eastAsia="宋体" w:cs="宋体"/>
              </w:rPr>
              <w:t>日内召开定标会议。</w:t>
            </w:r>
          </w:p>
          <w:p>
            <w:pPr>
              <w:pStyle w:val="44"/>
              <w:spacing w:line="360" w:lineRule="auto"/>
            </w:pPr>
            <w:r>
              <w:rPr>
                <w:rFonts w:hint="eastAsia"/>
              </w:rPr>
              <w:t>□3.</w:t>
            </w:r>
            <w:r>
              <w:rPr>
                <w:rFonts w:hint="eastAsia" w:ascii="宋体" w:hAnsi="宋体" w:eastAsia="宋体" w:cs="宋体"/>
              </w:rPr>
              <w:t>考察、质询</w:t>
            </w:r>
          </w:p>
          <w:p>
            <w:pPr>
              <w:spacing w:line="360" w:lineRule="auto"/>
              <w:rPr>
                <w:rFonts w:hAnsi="宋体"/>
              </w:rPr>
            </w:pPr>
            <w:r>
              <w:rPr>
                <w:rFonts w:hint="eastAsia" w:hAnsi="宋体"/>
              </w:rPr>
              <w:t>3.1</w:t>
            </w:r>
            <w:r>
              <w:rPr>
                <w:rFonts w:hint="eastAsia" w:ascii="宋体" w:hAnsi="宋体" w:eastAsia="宋体" w:cs="宋体"/>
              </w:rPr>
              <w:t>在定标会议前（考察、质询应给予中标候选人合理的准备时间。）对所有中标候选人进行考察、质询。</w:t>
            </w:r>
          </w:p>
          <w:p>
            <w:pPr>
              <w:pStyle w:val="44"/>
              <w:spacing w:line="360" w:lineRule="auto"/>
            </w:pPr>
            <w:r>
              <w:rPr>
                <w:rFonts w:hint="eastAsia"/>
              </w:rPr>
              <w:t>3.2</w:t>
            </w:r>
            <w:r>
              <w:rPr>
                <w:rFonts w:hint="eastAsia" w:ascii="宋体" w:hAnsi="宋体" w:eastAsia="宋体" w:cs="宋体"/>
              </w:rPr>
              <w:t>考察、质询小组由</w:t>
            </w:r>
            <w:r>
              <w:rPr>
                <w:rFonts w:hint="eastAsia" w:ascii="宋体" w:hAnsi="宋体" w:eastAsia="宋体" w:cs="宋体"/>
                <w:i/>
                <w:iCs/>
                <w:u w:val="single"/>
              </w:rPr>
              <w:t>（</w:t>
            </w:r>
            <w:r>
              <w:rPr>
                <w:i/>
                <w:iCs/>
                <w:u w:val="single"/>
              </w:rPr>
              <w:t>3</w:t>
            </w:r>
            <w:r>
              <w:rPr>
                <w:rFonts w:hint="eastAsia" w:ascii="宋体" w:hAnsi="宋体" w:eastAsia="宋体" w:cs="宋体"/>
                <w:i/>
                <w:iCs/>
                <w:u w:val="single"/>
              </w:rPr>
              <w:t>人及以上单数）</w:t>
            </w:r>
            <w:r>
              <w:rPr>
                <w:rFonts w:hint="eastAsia" w:ascii="宋体" w:hAnsi="宋体" w:eastAsia="宋体" w:cs="宋体"/>
              </w:rPr>
              <w:t>组成。</w:t>
            </w:r>
          </w:p>
          <w:p>
            <w:pPr>
              <w:pStyle w:val="44"/>
              <w:spacing w:line="360" w:lineRule="auto"/>
            </w:pPr>
            <w:r>
              <w:rPr>
                <w:rFonts w:hint="eastAsia"/>
              </w:rPr>
              <w:t>□4.</w:t>
            </w:r>
            <w:r>
              <w:rPr>
                <w:rFonts w:hint="eastAsia" w:eastAsia="宋体" w:cs="宋体"/>
              </w:rPr>
              <w:t>现场面试</w:t>
            </w:r>
          </w:p>
          <w:p>
            <w:pPr>
              <w:pStyle w:val="44"/>
              <w:spacing w:line="360" w:lineRule="auto"/>
            </w:pPr>
            <w:r>
              <w:rPr>
                <w:rFonts w:hint="eastAsia"/>
              </w:rPr>
              <w:t>4.1</w:t>
            </w:r>
            <w:r>
              <w:rPr>
                <w:rFonts w:hint="eastAsia" w:eastAsia="宋体" w:cs="宋体"/>
              </w:rPr>
              <w:t>面试时间：</w:t>
            </w:r>
            <w:r>
              <w:rPr>
                <w:rFonts w:hint="eastAsia"/>
                <w:u w:val="single"/>
              </w:rPr>
              <w:t xml:space="preserve">                               </w:t>
            </w:r>
            <w:r>
              <w:rPr>
                <w:rFonts w:hint="eastAsia" w:eastAsia="宋体" w:cs="宋体"/>
              </w:rPr>
              <w:t>；</w:t>
            </w:r>
          </w:p>
          <w:p>
            <w:pPr>
              <w:pStyle w:val="44"/>
              <w:spacing w:line="360" w:lineRule="auto"/>
            </w:pPr>
            <w:r>
              <w:rPr>
                <w:rFonts w:hint="eastAsia"/>
              </w:rPr>
              <w:t>4.2</w:t>
            </w:r>
            <w:r>
              <w:rPr>
                <w:rFonts w:hint="eastAsia" w:eastAsia="宋体" w:cs="宋体"/>
              </w:rPr>
              <w:t>面试内容：</w:t>
            </w:r>
            <w:r>
              <w:rPr>
                <w:rFonts w:hint="eastAsia"/>
                <w:u w:val="single"/>
              </w:rPr>
              <w:t xml:space="preserve">                               </w:t>
            </w:r>
            <w:r>
              <w:rPr>
                <w:rFonts w:hint="eastAsia" w:eastAsia="宋体" w:cs="宋体"/>
              </w:rPr>
              <w:t>；</w:t>
            </w:r>
          </w:p>
          <w:p>
            <w:pPr>
              <w:pStyle w:val="44"/>
              <w:spacing w:line="360" w:lineRule="auto"/>
            </w:pPr>
            <w:r>
              <w:rPr>
                <w:rFonts w:hint="eastAsia"/>
              </w:rPr>
              <w:t>4.3</w:t>
            </w:r>
            <w:r>
              <w:rPr>
                <w:rFonts w:hint="eastAsia" w:ascii="宋体" w:hAnsi="宋体" w:eastAsia="宋体" w:cs="宋体"/>
              </w:rPr>
              <w:t>面试方式：</w:t>
            </w:r>
          </w:p>
          <w:p>
            <w:pPr>
              <w:pStyle w:val="44"/>
              <w:spacing w:line="360" w:lineRule="auto"/>
            </w:pPr>
            <w:r>
              <w:rPr>
                <w:rFonts w:hint="eastAsia"/>
              </w:rPr>
              <w:t>□4.3.1</w:t>
            </w:r>
            <w:r>
              <w:rPr>
                <w:rFonts w:hint="eastAsia" w:ascii="宋体" w:hAnsi="宋体" w:eastAsia="宋体" w:cs="宋体"/>
              </w:rPr>
              <w:t>对中标候选人（联合体投标的，为联合体牵头人）持有安全生产考核合格证书的企业主要负责人（法定代表人、企业经理、企业分管安全生产的副经理、企业技术负责人）中任一一人和拟派项目负责人开展现场面试。</w:t>
            </w:r>
          </w:p>
          <w:p>
            <w:pPr>
              <w:pStyle w:val="44"/>
              <w:spacing w:line="360" w:lineRule="auto"/>
            </w:pPr>
            <w:r>
              <w:rPr>
                <w:rFonts w:hint="eastAsia"/>
              </w:rPr>
              <w:t>□4.3.2</w:t>
            </w:r>
            <w:r>
              <w:rPr>
                <w:rFonts w:hint="eastAsia" w:eastAsia="宋体" w:cs="宋体"/>
              </w:rPr>
              <w:t>其他方式：</w:t>
            </w:r>
            <w:r>
              <w:rPr>
                <w:rFonts w:hint="eastAsia"/>
                <w:u w:val="single"/>
              </w:rPr>
              <w:t xml:space="preserve">                               </w:t>
            </w:r>
            <w:r>
              <w:rPr>
                <w:rFonts w:hint="eastAsia" w:eastAsia="宋体" w:cs="宋体"/>
              </w:rPr>
              <w:t>。</w:t>
            </w:r>
          </w:p>
          <w:p>
            <w:pPr>
              <w:pStyle w:val="44"/>
              <w:spacing w:line="360" w:lineRule="auto"/>
            </w:pPr>
            <w:r>
              <w:rPr>
                <w:rFonts w:hint="eastAsia"/>
              </w:rPr>
              <w:t>5.</w:t>
            </w:r>
            <w:r>
              <w:rPr>
                <w:rFonts w:hint="eastAsia" w:ascii="宋体" w:hAnsi="宋体" w:eastAsia="宋体" w:cs="宋体"/>
              </w:rPr>
              <w:t>定标要素及具体内容</w:t>
            </w:r>
          </w:p>
          <w:p>
            <w:pPr>
              <w:pStyle w:val="44"/>
              <w:spacing w:line="360" w:lineRule="auto"/>
            </w:pPr>
            <w:r>
              <w:rPr>
                <w:rFonts w:hint="eastAsia" w:eastAsia="宋体"/>
              </w:rPr>
              <w:t>☑</w:t>
            </w:r>
            <w:r>
              <w:rPr>
                <w:rFonts w:hint="eastAsia"/>
              </w:rPr>
              <w:t>5.1</w:t>
            </w:r>
            <w:r>
              <w:rPr>
                <w:rFonts w:hint="eastAsia" w:ascii="宋体" w:eastAsia="宋体" w:cs="宋体"/>
              </w:rPr>
              <w:t>评标报告；</w:t>
            </w:r>
            <w:r>
              <w:t xml:space="preserve"> </w:t>
            </w:r>
          </w:p>
          <w:p>
            <w:pPr>
              <w:pStyle w:val="44"/>
              <w:spacing w:line="360" w:lineRule="auto"/>
            </w:pPr>
            <w:r>
              <w:rPr>
                <w:rFonts w:hint="eastAsia"/>
              </w:rPr>
              <w:t>□5.2</w:t>
            </w:r>
            <w:r>
              <w:rPr>
                <w:rFonts w:hint="eastAsia" w:ascii="宋体" w:hAnsi="宋体" w:eastAsia="宋体" w:cs="宋体"/>
              </w:rPr>
              <w:t>考察或质询情况；</w:t>
            </w:r>
          </w:p>
          <w:p>
            <w:pPr>
              <w:pStyle w:val="44"/>
              <w:spacing w:line="360" w:lineRule="auto"/>
            </w:pPr>
            <w:r>
              <w:rPr>
                <w:rFonts w:hint="eastAsia"/>
              </w:rPr>
              <w:t>□5.3</w:t>
            </w:r>
            <w:r>
              <w:rPr>
                <w:rFonts w:hint="eastAsia" w:ascii="宋体" w:hAnsi="宋体" w:eastAsia="宋体" w:cs="宋体"/>
              </w:rPr>
              <w:t>现场面试情况；</w:t>
            </w:r>
          </w:p>
          <w:p>
            <w:pPr>
              <w:pStyle w:val="44"/>
              <w:spacing w:line="360" w:lineRule="auto"/>
            </w:pPr>
            <w:r>
              <w:rPr>
                <w:rFonts w:hint="eastAsia" w:eastAsia="宋体"/>
              </w:rPr>
              <w:t>☑</w:t>
            </w:r>
            <w:r>
              <w:rPr>
                <w:rFonts w:hint="eastAsia"/>
              </w:rPr>
              <w:t>5.4</w:t>
            </w:r>
            <w:r>
              <w:rPr>
                <w:rFonts w:hint="eastAsia" w:ascii="宋体" w:eastAsia="宋体" w:cs="宋体"/>
              </w:rPr>
              <w:t>价格因素；</w:t>
            </w:r>
            <w:r>
              <w:t xml:space="preserve"> </w:t>
            </w:r>
          </w:p>
          <w:p>
            <w:pPr>
              <w:pStyle w:val="44"/>
              <w:spacing w:line="360" w:lineRule="auto"/>
            </w:pPr>
            <w:r>
              <w:rPr>
                <w:rFonts w:hint="eastAsia" w:eastAsia="宋体"/>
              </w:rPr>
              <w:t>☑</w:t>
            </w:r>
            <w:r>
              <w:rPr>
                <w:rFonts w:hint="eastAsia"/>
              </w:rPr>
              <w:t>5.5</w:t>
            </w:r>
            <w:r>
              <w:rPr>
                <w:rFonts w:hint="eastAsia" w:ascii="宋体" w:eastAsia="宋体" w:cs="宋体"/>
              </w:rPr>
              <w:t>企业实力；</w:t>
            </w:r>
          </w:p>
          <w:p>
            <w:pPr>
              <w:pStyle w:val="44"/>
              <w:spacing w:line="360" w:lineRule="auto"/>
            </w:pPr>
            <w:r>
              <w:rPr>
                <w:rFonts w:hint="eastAsia" w:eastAsia="宋体"/>
              </w:rPr>
              <w:t>☑</w:t>
            </w:r>
            <w:r>
              <w:rPr>
                <w:rFonts w:hint="eastAsia"/>
              </w:rPr>
              <w:t>5.6</w:t>
            </w:r>
            <w:r>
              <w:rPr>
                <w:rFonts w:hint="eastAsia" w:ascii="宋体" w:eastAsia="宋体" w:cs="宋体"/>
              </w:rPr>
              <w:t>企业信誉；</w:t>
            </w:r>
            <w:r>
              <w:t xml:space="preserve"> </w:t>
            </w:r>
          </w:p>
          <w:p>
            <w:pPr>
              <w:pStyle w:val="44"/>
              <w:spacing w:line="360" w:lineRule="auto"/>
            </w:pPr>
            <w:r>
              <w:rPr>
                <w:rFonts w:hint="eastAsia" w:eastAsia="宋体"/>
              </w:rPr>
              <w:t>☑</w:t>
            </w:r>
            <w:r>
              <w:rPr>
                <w:rFonts w:hint="eastAsia"/>
              </w:rPr>
              <w:t>5.7</w:t>
            </w:r>
            <w:r>
              <w:rPr>
                <w:rFonts w:hint="eastAsia" w:ascii="宋体" w:eastAsia="宋体" w:cs="宋体"/>
              </w:rPr>
              <w:t>投标方案；</w:t>
            </w:r>
            <w:r>
              <w:t xml:space="preserve"> </w:t>
            </w:r>
          </w:p>
          <w:p>
            <w:pPr>
              <w:pStyle w:val="44"/>
              <w:spacing w:line="360" w:lineRule="auto"/>
            </w:pPr>
            <w:r>
              <w:rPr>
                <w:rFonts w:hint="eastAsia" w:eastAsia="宋体"/>
              </w:rPr>
              <w:t>☑</w:t>
            </w:r>
            <w:r>
              <w:rPr>
                <w:rFonts w:hint="eastAsia"/>
              </w:rPr>
              <w:t>5.8</w:t>
            </w:r>
            <w:r>
              <w:rPr>
                <w:rFonts w:hint="eastAsia" w:ascii="宋体" w:hAnsi="宋体" w:eastAsia="宋体" w:cs="宋体"/>
              </w:rPr>
              <w:t>拟派团队能力与水平；</w:t>
            </w:r>
            <w:r>
              <w:t xml:space="preserve"> </w:t>
            </w:r>
          </w:p>
          <w:p>
            <w:pPr>
              <w:pStyle w:val="44"/>
              <w:spacing w:line="360" w:lineRule="auto"/>
            </w:pPr>
            <w:r>
              <w:rPr>
                <w:rFonts w:hint="eastAsia" w:eastAsia="宋体"/>
              </w:rPr>
              <w:t>☑</w:t>
            </w:r>
            <w:r>
              <w:rPr>
                <w:rFonts w:hint="eastAsia"/>
              </w:rPr>
              <w:t>5.9</w:t>
            </w:r>
            <w:r>
              <w:rPr>
                <w:rFonts w:hint="eastAsia" w:ascii="宋体" w:hAnsi="宋体" w:eastAsia="宋体" w:cs="宋体"/>
              </w:rPr>
              <w:t>联合体投标的，联合体组成情况；</w:t>
            </w:r>
            <w:r>
              <w:t xml:space="preserve"> </w:t>
            </w:r>
          </w:p>
          <w:p>
            <w:pPr>
              <w:pStyle w:val="44"/>
              <w:spacing w:line="360" w:lineRule="auto"/>
            </w:pPr>
            <w:r>
              <w:rPr/>
              <w:sym w:font="Wingdings 2" w:char="0052"/>
            </w:r>
            <w:r>
              <w:rPr>
                <w:rFonts w:hint="eastAsia"/>
              </w:rPr>
              <w:t>5.10</w:t>
            </w:r>
            <w:r>
              <w:rPr>
                <w:rFonts w:hint="eastAsia" w:ascii="宋体" w:hAnsi="宋体" w:eastAsia="宋体" w:cs="宋体"/>
              </w:rPr>
              <w:t>招标人认为需要考量的其他因素。</w:t>
            </w:r>
          </w:p>
          <w:p>
            <w:pPr>
              <w:pStyle w:val="44"/>
              <w:spacing w:line="360" w:lineRule="auto"/>
            </w:pPr>
            <w:r>
              <w:rPr>
                <w:rFonts w:hint="eastAsia"/>
              </w:rPr>
              <w:t>6.</w:t>
            </w:r>
            <w:r>
              <w:rPr>
                <w:rFonts w:hint="eastAsia" w:ascii="宋体" w:hAnsi="宋体" w:eastAsia="宋体" w:cs="宋体"/>
              </w:rPr>
              <w:t>定标方式</w:t>
            </w:r>
          </w:p>
          <w:p>
            <w:pPr>
              <w:wordWrap w:val="0"/>
              <w:topLinePunct/>
              <w:spacing w:line="360" w:lineRule="auto"/>
              <w:ind w:firstLine="420" w:firstLineChars="200"/>
              <w:rPr>
                <w:rFonts w:hint="eastAsia" w:ascii="宋体" w:hAnsi="宋体" w:eastAsia="宋体" w:cs="宋体"/>
                <w:highlight w:val="none"/>
                <w:lang w:eastAsia="zh-CN"/>
              </w:rPr>
            </w:pPr>
            <w:r>
              <w:rPr>
                <w:rFonts w:hint="eastAsia" w:ascii="宋体" w:hAnsi="宋体" w:eastAsia="宋体" w:cs="宋体"/>
                <w:highlight w:val="none"/>
              </w:rPr>
              <w:t>定标办法按照《浙江省工程建设项目招标投标</w:t>
            </w:r>
            <w:r>
              <w:rPr>
                <w:highlight w:val="none"/>
              </w:rPr>
              <w:t>“</w:t>
            </w:r>
            <w:r>
              <w:rPr>
                <w:rFonts w:hint="eastAsia" w:ascii="宋体" w:hAnsi="宋体" w:eastAsia="宋体" w:cs="宋体"/>
                <w:highlight w:val="none"/>
              </w:rPr>
              <w:t>评定分离</w:t>
            </w:r>
            <w:r>
              <w:rPr>
                <w:highlight w:val="none"/>
              </w:rPr>
              <w:t>”</w:t>
            </w:r>
            <w:r>
              <w:rPr>
                <w:rFonts w:hint="eastAsia" w:ascii="宋体" w:hAnsi="宋体" w:eastAsia="宋体" w:cs="宋体"/>
                <w:highlight w:val="none"/>
              </w:rPr>
              <w:t>操作指引（试行）》（浙发改公管〔</w:t>
            </w:r>
            <w:r>
              <w:rPr>
                <w:rFonts w:hint="eastAsia" w:ascii="宋体" w:hAnsi="宋体" w:cs="宋体"/>
                <w:highlight w:val="none"/>
              </w:rPr>
              <w:t>2023</w:t>
            </w:r>
            <w:r>
              <w:rPr>
                <w:rFonts w:hint="eastAsia" w:ascii="宋体" w:hAnsi="宋体" w:eastAsia="宋体" w:cs="宋体"/>
                <w:highlight w:val="none"/>
              </w:rPr>
              <w:t>〕</w:t>
            </w:r>
            <w:r>
              <w:rPr>
                <w:rFonts w:hint="eastAsia" w:ascii="宋体" w:hAnsi="宋体" w:cs="宋体"/>
                <w:highlight w:val="none"/>
              </w:rPr>
              <w:t xml:space="preserve">256 </w:t>
            </w:r>
            <w:r>
              <w:rPr>
                <w:rFonts w:hint="eastAsia" w:ascii="宋体" w:hAnsi="宋体" w:eastAsia="宋体" w:cs="宋体"/>
                <w:highlight w:val="none"/>
              </w:rPr>
              <w:t>号）确定</w:t>
            </w:r>
            <w:r>
              <w:rPr>
                <w:rFonts w:hint="eastAsia" w:ascii="宋体" w:hAnsi="宋体" w:eastAsia="宋体" w:cs="宋体"/>
                <w:highlight w:val="none"/>
                <w:lang w:eastAsia="zh-CN"/>
              </w:rPr>
              <w:t>。</w:t>
            </w:r>
          </w:p>
          <w:p>
            <w:pPr>
              <w:wordWrap w:val="0"/>
              <w:topLinePunct/>
              <w:spacing w:line="360" w:lineRule="auto"/>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cs="宋体"/>
                <w:highlight w:val="none"/>
              </w:rPr>
              <w:t>6.1</w:t>
            </w:r>
            <w:r>
              <w:rPr>
                <w:rFonts w:hint="eastAsia" w:ascii="宋体" w:hAnsi="宋体" w:eastAsia="宋体" w:cs="宋体"/>
                <w:highlight w:val="none"/>
                <w:lang w:val="en-US" w:eastAsia="zh-CN"/>
              </w:rPr>
              <w:t>直接</w:t>
            </w:r>
            <w:r>
              <w:rPr>
                <w:rFonts w:hint="eastAsia" w:ascii="宋体" w:hAnsi="宋体" w:eastAsia="宋体" w:cs="宋体"/>
                <w:highlight w:val="none"/>
              </w:rPr>
              <w:t>票决法：定标委员会在进入投票范围的中标候选人中，以每人投票支持一个中标候选人的方式，得票最多且过半数的中标候选人为中标人。</w:t>
            </w:r>
          </w:p>
          <w:p>
            <w:pPr>
              <w:wordWrap w:val="0"/>
              <w:topLinePunct/>
              <w:spacing w:line="360" w:lineRule="auto"/>
              <w:ind w:firstLine="420" w:firstLineChars="200"/>
              <w:rPr>
                <w:rFonts w:ascii="宋体" w:hAnsi="宋体" w:cs="宋体"/>
                <w:highlight w:val="none"/>
              </w:rPr>
            </w:pPr>
            <w:r>
              <w:rPr>
                <w:rFonts w:hint="eastAsia" w:ascii="宋体" w:hAnsi="宋体" w:eastAsia="宋体" w:cs="宋体"/>
                <w:highlight w:val="none"/>
              </w:rPr>
              <w:t>当没有中标候选人得票超过半数时，选择得票较多的2个中标候选人（按上一轮得票多少的顺序选择，在选择第2个中标候选人时出现同票的中标候选人时，</w:t>
            </w:r>
            <w:r>
              <w:rPr>
                <w:rFonts w:hint="eastAsia" w:ascii="宋体" w:hAnsi="宋体" w:eastAsia="宋体" w:cs="宋体"/>
                <w:highlight w:val="none"/>
                <w:lang w:eastAsia="zh-CN"/>
              </w:rPr>
              <w:t>☑</w:t>
            </w:r>
            <w:r>
              <w:rPr>
                <w:rFonts w:hint="eastAsia" w:ascii="宋体" w:hAnsi="宋体" w:eastAsia="宋体" w:cs="宋体"/>
                <w:highlight w:val="none"/>
              </w:rPr>
              <w:t>抽签抽取中标候选人□报价低者（报价相同时抽签抽取1个中标候选人）□由招标人法定代表人或其委托代表直接确定1个中标候选人</w:t>
            </w:r>
            <w:r>
              <w:rPr>
                <w:rFonts w:hint="eastAsia" w:ascii="宋体" w:hAnsi="宋体" w:eastAsia="宋体" w:cs="宋体"/>
                <w:highlight w:val="none"/>
                <w:lang w:eastAsia="zh-CN"/>
              </w:rPr>
              <w:t>）</w:t>
            </w:r>
            <w:r>
              <w:rPr>
                <w:rFonts w:hint="eastAsia" w:ascii="宋体" w:hAnsi="宋体" w:eastAsia="宋体" w:cs="宋体"/>
                <w:highlight w:val="none"/>
              </w:rPr>
              <w:t>作为二次投票的范围，直至出现得票过半数的中标候选人为止。</w:t>
            </w:r>
          </w:p>
          <w:p>
            <w:pPr>
              <w:wordWrap w:val="0"/>
              <w:topLinePunct/>
              <w:spacing w:line="360" w:lineRule="auto"/>
              <w:rPr>
                <w:rFonts w:ascii="宋体" w:hAnsi="宋体" w:cs="宋体"/>
              </w:rPr>
            </w:pPr>
            <w:r>
              <w:rPr>
                <w:rFonts w:hint="eastAsia" w:ascii="宋体" w:hAnsi="宋体" w:cs="宋体"/>
              </w:rPr>
              <w:t>□6.2</w:t>
            </w:r>
            <w:r>
              <w:rPr>
                <w:rFonts w:hint="eastAsia" w:ascii="宋体" w:hAnsi="宋体" w:eastAsia="宋体" w:cs="宋体"/>
              </w:rPr>
              <w:t>集体议事法：由定标委员会进行集体商议，定标委员会成员各自发表意见，由定标委员会组长最终确定中标人。所有参加会议的定标委员会成员的意见应当作书面记录，并由定标委员会成员签字确认。</w:t>
            </w:r>
          </w:p>
          <w:p>
            <w:pPr>
              <w:pStyle w:val="44"/>
              <w:spacing w:line="360" w:lineRule="auto"/>
              <w:ind w:firstLine="0" w:firstLineChars="0"/>
            </w:pPr>
            <w:r>
              <w:rPr>
                <w:rFonts w:hint="eastAsia" w:ascii="宋体" w:hAnsi="宋体"/>
              </w:rPr>
              <w:t>□6.3</w:t>
            </w:r>
            <w:r>
              <w:rPr>
                <w:rFonts w:hint="eastAsia" w:ascii="宋体" w:hAnsi="宋体" w:eastAsia="宋体"/>
              </w:rPr>
              <w:t>其他定标办法：</w:t>
            </w:r>
            <w:r>
              <w:t xml:space="preserve">                             </w:t>
            </w:r>
          </w:p>
          <w:p>
            <w:pPr>
              <w:spacing w:line="360" w:lineRule="auto"/>
              <w:rPr>
                <w:rFonts w:ascii="宋体"/>
              </w:rPr>
            </w:pPr>
            <w:r>
              <w:rPr>
                <w:rFonts w:hint="eastAsia" w:ascii="宋体"/>
              </w:rPr>
              <w:t>7.</w:t>
            </w:r>
            <w:r>
              <w:rPr>
                <w:rFonts w:hint="eastAsia" w:ascii="宋体" w:hAnsi="宋体" w:eastAsia="宋体" w:cs="宋体"/>
              </w:rPr>
              <w:t>中标人公告媒介及期限</w:t>
            </w:r>
          </w:p>
          <w:p>
            <w:pPr>
              <w:spacing w:line="360" w:lineRule="auto"/>
              <w:ind w:firstLine="420" w:firstLineChars="200"/>
              <w:rPr>
                <w:rFonts w:ascii="宋体"/>
              </w:rPr>
            </w:pPr>
            <w:r>
              <w:rPr>
                <w:rFonts w:hint="eastAsia" w:ascii="宋体" w:hAnsi="宋体" w:eastAsia="宋体" w:cs="宋体"/>
              </w:rPr>
              <w:t>招标人应当将中标结果情况在投标人须知前附表规定的媒介上公告不少于</w:t>
            </w:r>
            <w:r>
              <w:rPr>
                <w:rFonts w:ascii="宋体"/>
              </w:rPr>
              <w:t>3</w:t>
            </w:r>
            <w:r>
              <w:rPr>
                <w:rFonts w:hint="eastAsia" w:ascii="宋体" w:hAnsi="宋体" w:eastAsia="宋体" w:cs="宋体"/>
              </w:rPr>
              <w:t>日。</w:t>
            </w:r>
          </w:p>
          <w:p>
            <w:pPr>
              <w:spacing w:line="360" w:lineRule="auto"/>
              <w:rPr>
                <w:rFonts w:ascii="宋体"/>
              </w:rPr>
            </w:pPr>
            <w:r>
              <w:rPr>
                <w:rFonts w:ascii="宋体"/>
              </w:rPr>
              <w:t>7.</w:t>
            </w:r>
            <w:r>
              <w:rPr>
                <w:rFonts w:hint="eastAsia" w:ascii="宋体"/>
              </w:rPr>
              <w:t>1</w:t>
            </w:r>
            <w:r>
              <w:rPr>
                <w:rFonts w:hint="eastAsia" w:ascii="宋体" w:hAnsi="宋体" w:eastAsia="宋体" w:cs="宋体"/>
              </w:rPr>
              <w:t>定标后有下列情形之一的，招标人可以组织原定标委员会从其他中标候选人中按原定标方法确定中标人：</w:t>
            </w:r>
          </w:p>
          <w:p>
            <w:pPr>
              <w:spacing w:line="360" w:lineRule="auto"/>
              <w:ind w:firstLine="420" w:firstLineChars="200"/>
              <w:rPr>
                <w:rFonts w:ascii="宋体"/>
              </w:rPr>
            </w:pPr>
            <w:r>
              <w:rPr>
                <w:rFonts w:hint="eastAsia" w:ascii="宋体" w:hAnsi="宋体" w:eastAsia="宋体" w:cs="宋体"/>
              </w:rPr>
              <w:t>（</w:t>
            </w:r>
            <w:r>
              <w:rPr>
                <w:rFonts w:ascii="宋体"/>
              </w:rPr>
              <w:t>1</w:t>
            </w:r>
            <w:r>
              <w:rPr>
                <w:rFonts w:hint="eastAsia" w:ascii="宋体" w:hAnsi="宋体" w:eastAsia="宋体" w:cs="宋体"/>
              </w:rPr>
              <w:t>）中标人放弃中标资格或者拒不签订合同的；</w:t>
            </w:r>
            <w:r>
              <w:rPr>
                <w:rFonts w:ascii="宋体"/>
              </w:rPr>
              <w:t xml:space="preserve"> </w:t>
            </w:r>
          </w:p>
          <w:p>
            <w:pPr>
              <w:spacing w:line="360" w:lineRule="auto"/>
              <w:ind w:firstLine="420" w:firstLineChars="200"/>
              <w:rPr>
                <w:rFonts w:ascii="宋体"/>
              </w:rPr>
            </w:pPr>
            <w:r>
              <w:rPr>
                <w:rFonts w:hint="eastAsia" w:ascii="宋体" w:hAnsi="宋体" w:eastAsia="宋体" w:cs="宋体"/>
              </w:rPr>
              <w:t>（</w:t>
            </w:r>
            <w:r>
              <w:rPr>
                <w:rFonts w:ascii="宋体"/>
              </w:rPr>
              <w:t>2</w:t>
            </w:r>
            <w:r>
              <w:rPr>
                <w:rFonts w:hint="eastAsia" w:ascii="宋体" w:hAnsi="宋体" w:eastAsia="宋体" w:cs="宋体"/>
              </w:rPr>
              <w:t>）中标人被查实存在违法行为影响中标结果的；</w:t>
            </w:r>
            <w:r>
              <w:rPr>
                <w:rFonts w:ascii="宋体"/>
              </w:rPr>
              <w:t xml:space="preserve"> </w:t>
            </w:r>
          </w:p>
          <w:p>
            <w:pPr>
              <w:spacing w:line="360" w:lineRule="auto"/>
              <w:ind w:firstLine="420" w:firstLineChars="200"/>
              <w:rPr>
                <w:rFonts w:ascii="宋体"/>
              </w:rPr>
            </w:pPr>
            <w:r>
              <w:rPr>
                <w:rFonts w:hint="eastAsia" w:ascii="宋体" w:hAnsi="宋体" w:eastAsia="宋体" w:cs="宋体"/>
              </w:rPr>
              <w:t>（</w:t>
            </w:r>
            <w:r>
              <w:rPr>
                <w:rFonts w:ascii="宋体"/>
              </w:rPr>
              <w:t>3</w:t>
            </w:r>
            <w:r>
              <w:rPr>
                <w:rFonts w:hint="eastAsia" w:ascii="宋体" w:hAnsi="宋体" w:eastAsia="宋体" w:cs="宋体"/>
              </w:rPr>
              <w:t>）投标须知前附表规定的其他情形。</w:t>
            </w:r>
            <w:r>
              <w:rPr>
                <w:rFonts w:ascii="宋体"/>
              </w:rPr>
              <w:t xml:space="preserve"> </w:t>
            </w:r>
          </w:p>
          <w:p>
            <w:pPr>
              <w:spacing w:line="360" w:lineRule="auto"/>
              <w:rPr>
                <w:rFonts w:ascii="宋体"/>
              </w:rPr>
            </w:pPr>
            <w:r>
              <w:rPr>
                <w:rFonts w:ascii="宋体"/>
              </w:rPr>
              <w:t>7.</w:t>
            </w:r>
            <w:r>
              <w:rPr>
                <w:rFonts w:hint="eastAsia" w:ascii="宋体"/>
              </w:rPr>
              <w:t>2</w:t>
            </w:r>
            <w:r>
              <w:rPr>
                <w:rFonts w:hint="eastAsia" w:ascii="宋体" w:hAnsi="宋体" w:eastAsia="宋体" w:cs="宋体"/>
              </w:rPr>
              <w:t>定标后有下列情形之一的，应重新定标：</w:t>
            </w:r>
            <w:r>
              <w:rPr>
                <w:rFonts w:ascii="宋体"/>
              </w:rPr>
              <w:t xml:space="preserve"> </w:t>
            </w:r>
          </w:p>
          <w:p>
            <w:pPr>
              <w:spacing w:line="360" w:lineRule="auto"/>
              <w:ind w:firstLine="420" w:firstLineChars="200"/>
              <w:rPr>
                <w:rFonts w:ascii="宋体"/>
              </w:rPr>
            </w:pPr>
            <w:r>
              <w:rPr>
                <w:rFonts w:hint="eastAsia" w:ascii="宋体" w:hAnsi="宋体" w:eastAsia="宋体" w:cs="宋体"/>
              </w:rPr>
              <w:t>（</w:t>
            </w:r>
            <w:r>
              <w:rPr>
                <w:rFonts w:ascii="宋体"/>
              </w:rPr>
              <w:t>1</w:t>
            </w:r>
            <w:r>
              <w:rPr>
                <w:rFonts w:hint="eastAsia" w:ascii="宋体" w:hAnsi="宋体" w:eastAsia="宋体" w:cs="宋体"/>
              </w:rPr>
              <w:t>）查实定标委员会未按定标办法公正履职的；</w:t>
            </w:r>
            <w:r>
              <w:rPr>
                <w:rFonts w:ascii="宋体"/>
              </w:rPr>
              <w:t xml:space="preserve"> </w:t>
            </w:r>
          </w:p>
          <w:p>
            <w:pPr>
              <w:spacing w:line="360" w:lineRule="auto"/>
              <w:ind w:firstLine="420" w:firstLineChars="200"/>
              <w:rPr>
                <w:rFonts w:ascii="宋体"/>
              </w:rPr>
            </w:pPr>
            <w:r>
              <w:rPr>
                <w:rFonts w:hint="eastAsia" w:ascii="宋体" w:hAnsi="宋体" w:eastAsia="宋体" w:cs="宋体"/>
              </w:rPr>
              <w:t>（</w:t>
            </w:r>
            <w:r>
              <w:rPr>
                <w:rFonts w:ascii="宋体"/>
              </w:rPr>
              <w:t>2</w:t>
            </w:r>
            <w:r>
              <w:rPr>
                <w:rFonts w:hint="eastAsia" w:ascii="宋体" w:hAnsi="宋体" w:eastAsia="宋体" w:cs="宋体"/>
              </w:rPr>
              <w:t>）有定标委员会成员与中标候选人有利害关系且未申请回避的；</w:t>
            </w:r>
          </w:p>
          <w:p>
            <w:pPr>
              <w:spacing w:line="360" w:lineRule="auto"/>
              <w:ind w:firstLine="420" w:firstLineChars="200"/>
              <w:rPr>
                <w:rFonts w:ascii="宋体" w:hAnsi="宋体"/>
              </w:rPr>
            </w:pPr>
            <w:r>
              <w:rPr>
                <w:rFonts w:hint="eastAsia" w:ascii="宋体" w:hAnsi="宋体" w:eastAsia="宋体" w:cs="宋体"/>
              </w:rPr>
              <w:t>（</w:t>
            </w:r>
            <w:r>
              <w:rPr>
                <w:rFonts w:ascii="宋体"/>
              </w:rPr>
              <w:t>3</w:t>
            </w:r>
            <w:r>
              <w:rPr>
                <w:rFonts w:hint="eastAsia" w:ascii="宋体" w:hAnsi="宋体" w:eastAsia="宋体" w:cs="宋体"/>
              </w:rPr>
              <w:t>）投标人须知前附表规定的其他情形。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pPr>
              <w:spacing w:line="312" w:lineRule="auto"/>
              <w:ind w:left="105" w:leftChars="50" w:right="105" w:rightChars="50"/>
              <w:jc w:val="both"/>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10.</w:t>
            </w:r>
            <w:r>
              <w:rPr>
                <w:rFonts w:hint="eastAsia" w:ascii="宋体" w:hAnsi="宋体" w:eastAsia="宋体" w:cs="宋体"/>
                <w:color w:val="000000" w:themeColor="text1"/>
                <w14:textFill>
                  <w14:solidFill>
                    <w14:schemeClr w14:val="tx1"/>
                  </w14:solidFill>
                </w14:textFill>
              </w:rPr>
              <w:t>3</w:t>
            </w:r>
          </w:p>
        </w:tc>
        <w:tc>
          <w:tcPr>
            <w:tcW w:w="2055" w:type="dxa"/>
            <w:vAlign w:val="center"/>
          </w:tcPr>
          <w:p>
            <w:r>
              <w:t>特别说明</w:t>
            </w:r>
          </w:p>
        </w:tc>
        <w:tc>
          <w:tcPr>
            <w:tcW w:w="5535" w:type="dxa"/>
          </w:tcPr>
          <w:p>
            <w:pPr>
              <w:tabs>
                <w:tab w:val="left" w:pos="5680"/>
              </w:tabs>
              <w:spacing w:line="360" w:lineRule="auto"/>
            </w:pPr>
            <w:r>
              <w:t>一、本招标文件斜体字部分是根据本次招标内容的具体情况进行的相应填写。</w:t>
            </w:r>
          </w:p>
          <w:p>
            <w:pPr>
              <w:tabs>
                <w:tab w:val="left" w:pos="5680"/>
              </w:tabs>
              <w:spacing w:line="360" w:lineRule="auto"/>
            </w:pPr>
            <w:r>
              <w:t>二、投标人须知具体内容如与本前附表不一致的，以本前附表为准。</w:t>
            </w:r>
          </w:p>
          <w:p>
            <w:pPr>
              <w:tabs>
                <w:tab w:val="left" w:pos="5680"/>
              </w:tabs>
              <w:spacing w:line="360" w:lineRule="auto"/>
            </w:pPr>
            <w:r>
              <w:t>三、投标人投标函</w:t>
            </w:r>
            <w:r>
              <w:rPr>
                <w:rFonts w:hint="eastAsia"/>
              </w:rPr>
              <w:t>与投标报价表</w:t>
            </w:r>
            <w:r>
              <w:t>不一致的，以投标人投标函为准。</w:t>
            </w:r>
          </w:p>
          <w:p>
            <w:pPr>
              <w:tabs>
                <w:tab w:val="left" w:pos="5680"/>
              </w:tabs>
              <w:spacing w:line="360" w:lineRule="auto"/>
            </w:pPr>
            <w:r>
              <w:t>四、除招标文件另有规定外，投标函的投标报价与清单汇总报价不一致时，以投标函报价为准。</w:t>
            </w:r>
          </w:p>
          <w:p>
            <w:pPr>
              <w:tabs>
                <w:tab w:val="left" w:pos="5680"/>
              </w:tabs>
              <w:spacing w:line="360" w:lineRule="auto"/>
              <w:rPr>
                <w:rFonts w:eastAsia="宋体"/>
              </w:rPr>
            </w:pPr>
            <w:r>
              <w:t>五、</w:t>
            </w:r>
            <w:r>
              <w:rPr>
                <w:rFonts w:hint="eastAsia" w:eastAsia="宋体"/>
              </w:rPr>
              <w:t>澄清回复时间不得超过在发出通知后</w:t>
            </w:r>
            <w:r>
              <w:rPr>
                <w:rFonts w:hint="eastAsia" w:ascii="宋体" w:hAnsi="宋体" w:eastAsia="宋体" w:cs="宋体"/>
                <w:u w:val="single"/>
              </w:rPr>
              <w:t xml:space="preserve"> 30 </w:t>
            </w:r>
            <w:r>
              <w:rPr>
                <w:rFonts w:hint="eastAsia" w:eastAsia="宋体"/>
              </w:rPr>
              <w:t>分钟，投标人逾期或未按要求澄清回复的，将视为不予回复或确认，评标委员会有权否决其投标。投标人通讯不畅通，导致不能及时联系的，视作为投标人不予回复或确认。</w:t>
            </w:r>
          </w:p>
          <w:p>
            <w:pPr>
              <w:tabs>
                <w:tab w:val="left" w:pos="5680"/>
              </w:tabs>
              <w:spacing w:line="360" w:lineRule="auto"/>
              <w:rPr>
                <w:rFonts w:eastAsia="宋体"/>
              </w:rPr>
            </w:pPr>
            <w:r>
              <w:rPr>
                <w:rFonts w:hint="eastAsia" w:eastAsia="宋体"/>
              </w:rPr>
              <w:t>六、评标委员会对投标人提交的澄清、说明或补正有疑问的，可以要求投标人进一步澄清、说明或补正，直至满足评标委员会的要求。</w:t>
            </w:r>
          </w:p>
          <w:p>
            <w:pPr>
              <w:tabs>
                <w:tab w:val="left" w:pos="5680"/>
              </w:tabs>
              <w:spacing w:line="360" w:lineRule="auto"/>
              <w:rPr>
                <w:rFonts w:eastAsia="宋体"/>
              </w:rPr>
            </w:pPr>
            <w:r>
              <w:rPr>
                <w:rFonts w:hint="eastAsia" w:eastAsia="宋体"/>
              </w:rPr>
              <w:t>七、投标人拒不按照要求对投标文件进行澄清、说明或者补正的，评标委员会可以否决其投标。</w:t>
            </w:r>
          </w:p>
          <w:p>
            <w:pPr>
              <w:tabs>
                <w:tab w:val="left" w:pos="5680"/>
              </w:tabs>
              <w:spacing w:line="360" w:lineRule="auto"/>
            </w:pPr>
            <w:r>
              <w:rPr>
                <w:rFonts w:hint="eastAsia" w:eastAsia="宋体"/>
              </w:rPr>
              <w:t>八、</w:t>
            </w:r>
            <w:r>
              <w:t>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pPr>
              <w:tabs>
                <w:tab w:val="left" w:pos="5680"/>
              </w:tabs>
              <w:spacing w:line="360" w:lineRule="auto"/>
            </w:pPr>
            <w:r>
              <w:t>1.不同投标人的投标文件由同一单位或者个人编制</w:t>
            </w:r>
            <w:r>
              <w:rPr>
                <w:rFonts w:hint="eastAsia"/>
              </w:rPr>
              <w:t>；</w:t>
            </w:r>
          </w:p>
          <w:p>
            <w:pPr>
              <w:tabs>
                <w:tab w:val="left" w:pos="5680"/>
              </w:tabs>
              <w:spacing w:line="360" w:lineRule="auto"/>
            </w:pPr>
            <w:r>
              <w:rPr>
                <w:rFonts w:hint="eastAsia"/>
              </w:rPr>
              <w:t>2</w:t>
            </w:r>
            <w:r>
              <w:t>.不同投标人委托同一单位或者个人办理投标事宜</w:t>
            </w:r>
            <w:r>
              <w:rPr>
                <w:rFonts w:hint="eastAsia"/>
              </w:rPr>
              <w:t>；</w:t>
            </w:r>
          </w:p>
          <w:p>
            <w:pPr>
              <w:tabs>
                <w:tab w:val="left" w:pos="5680"/>
              </w:tabs>
              <w:spacing w:line="360" w:lineRule="auto"/>
            </w:pPr>
            <w:r>
              <w:rPr>
                <w:rFonts w:hint="eastAsia"/>
              </w:rPr>
              <w:t>3</w:t>
            </w:r>
            <w:r>
              <w:t>.不同投标人的投标文件载明的项目管理成员为同一人；</w:t>
            </w:r>
          </w:p>
          <w:p>
            <w:pPr>
              <w:tabs>
                <w:tab w:val="left" w:pos="5680"/>
              </w:tabs>
              <w:spacing w:line="360" w:lineRule="auto"/>
            </w:pPr>
            <w:r>
              <w:rPr>
                <w:rFonts w:hint="eastAsia"/>
              </w:rPr>
              <w:t>4</w:t>
            </w:r>
            <w:r>
              <w:t>.不同投标人的投标文件异常一致或者投标报价呈规律性差异；</w:t>
            </w:r>
          </w:p>
          <w:p>
            <w:pPr>
              <w:tabs>
                <w:tab w:val="left" w:pos="5680"/>
              </w:tabs>
              <w:spacing w:line="360" w:lineRule="auto"/>
            </w:pPr>
            <w:r>
              <w:rPr>
                <w:rFonts w:hint="eastAsia"/>
              </w:rPr>
              <w:t>5</w:t>
            </w:r>
            <w:r>
              <w:t>.不同投标人的投标文件相互混装；</w:t>
            </w:r>
          </w:p>
          <w:p>
            <w:pPr>
              <w:tabs>
                <w:tab w:val="left" w:pos="5680"/>
              </w:tabs>
              <w:spacing w:line="360" w:lineRule="auto"/>
            </w:pPr>
            <w:r>
              <w:rPr>
                <w:rFonts w:hint="eastAsia"/>
              </w:rPr>
              <w:t>6</w:t>
            </w:r>
            <w:r>
              <w:t>.不同投标人的投标保证金从同一单位或者个人的账户转出或者通过同一单位或者个人的账户购买电子保函；</w:t>
            </w:r>
          </w:p>
          <w:p>
            <w:pPr>
              <w:tabs>
                <w:tab w:val="left" w:pos="5680"/>
              </w:tabs>
              <w:spacing w:line="360" w:lineRule="auto"/>
            </w:pPr>
            <w:r>
              <w:rPr>
                <w:rFonts w:hint="eastAsia"/>
              </w:rPr>
              <w:t>7</w:t>
            </w:r>
            <w:r>
              <w:t>.投标人之间协商投标报价等投标文件的实质性内容；</w:t>
            </w:r>
          </w:p>
          <w:p>
            <w:pPr>
              <w:tabs>
                <w:tab w:val="left" w:pos="5680"/>
              </w:tabs>
              <w:spacing w:line="360" w:lineRule="auto"/>
            </w:pPr>
            <w:r>
              <w:rPr>
                <w:rFonts w:hint="eastAsia"/>
              </w:rPr>
              <w:t>8</w:t>
            </w:r>
            <w:r>
              <w:t>.投标人之间约定中标人；</w:t>
            </w:r>
          </w:p>
          <w:p>
            <w:pPr>
              <w:tabs>
                <w:tab w:val="left" w:pos="5680"/>
              </w:tabs>
              <w:spacing w:line="360" w:lineRule="auto"/>
            </w:pPr>
            <w:r>
              <w:rPr>
                <w:rFonts w:hint="eastAsia"/>
              </w:rPr>
              <w:t>9</w:t>
            </w:r>
            <w:r>
              <w:t>.投标人之间约定部分投标人放弃投标或者中标；</w:t>
            </w:r>
          </w:p>
          <w:p>
            <w:pPr>
              <w:tabs>
                <w:tab w:val="left" w:pos="5680"/>
              </w:tabs>
              <w:spacing w:line="360" w:lineRule="auto"/>
            </w:pPr>
            <w:r>
              <w:rPr>
                <w:rFonts w:hint="eastAsia"/>
              </w:rPr>
              <w:t>10</w:t>
            </w:r>
            <w:r>
              <w:t>.属于同一集团、协会、商会等组织成员的投标人按照该组织要求协同投标；</w:t>
            </w:r>
          </w:p>
          <w:p>
            <w:pPr>
              <w:tabs>
                <w:tab w:val="left" w:pos="5680"/>
              </w:tabs>
              <w:spacing w:line="360" w:lineRule="auto"/>
            </w:pPr>
            <w:r>
              <w:t>1</w:t>
            </w:r>
            <w:r>
              <w:rPr>
                <w:rFonts w:hint="eastAsia"/>
              </w:rPr>
              <w:t>1</w:t>
            </w:r>
            <w:r>
              <w:t>.投标人之间为谋取中标或者排斥特定投标人而采取的其他联合行动。</w:t>
            </w:r>
          </w:p>
          <w:p>
            <w:pPr>
              <w:tabs>
                <w:tab w:val="left" w:pos="5680"/>
              </w:tabs>
              <w:spacing w:line="360" w:lineRule="auto"/>
            </w:pPr>
            <w:r>
              <w:rPr>
                <w:rFonts w:hint="eastAsia" w:eastAsia="宋体"/>
              </w:rPr>
              <w:t>九、</w:t>
            </w:r>
            <w:r>
              <w:rPr>
                <w:rFonts w:hint="eastAsia"/>
              </w:rPr>
              <w:t>本招标文件由招标人负责解释。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tcPr>
          <w:p>
            <w:r>
              <w:rPr>
                <w:rFonts w:hint="eastAsia"/>
              </w:rPr>
              <w:t>……</w:t>
            </w:r>
          </w:p>
        </w:tc>
        <w:tc>
          <w:tcPr>
            <w:tcW w:w="2055" w:type="dxa"/>
          </w:tcPr>
          <w:p>
            <w:pPr>
              <w:rPr>
                <w:rFonts w:eastAsiaTheme="minorEastAsia"/>
              </w:rPr>
            </w:pPr>
            <w:r>
              <w:rPr>
                <w:rFonts w:hint="eastAsia"/>
              </w:rPr>
              <w:t>……</w:t>
            </w:r>
          </w:p>
        </w:tc>
        <w:tc>
          <w:tcPr>
            <w:tcW w:w="5535" w:type="dxa"/>
          </w:tcPr>
          <w:p>
            <w:r>
              <w:rPr>
                <w:rFonts w:hint="eastAsia"/>
              </w:rPr>
              <w:t>……</w:t>
            </w:r>
          </w:p>
        </w:tc>
      </w:tr>
    </w:tbl>
    <w:p>
      <w:pPr>
        <w:jc w:val="both"/>
        <w:rPr>
          <w:color w:val="000000" w:themeColor="text1"/>
          <w14:textFill>
            <w14:solidFill>
              <w14:schemeClr w14:val="tx1"/>
            </w14:solidFill>
          </w14:textFill>
        </w:rPr>
      </w:pPr>
    </w:p>
    <w:p>
      <w:pPr>
        <w:jc w:val="both"/>
        <w:rPr>
          <w:color w:val="000000" w:themeColor="text1"/>
          <w14:textFill>
            <w14:solidFill>
              <w14:schemeClr w14:val="tx1"/>
            </w14:solidFill>
          </w14:textFill>
        </w:rPr>
        <w:sectPr>
          <w:footerReference r:id="rId6" w:type="default"/>
          <w:pgSz w:w="11906" w:h="16839"/>
          <w:pgMar w:top="1418" w:right="1559" w:bottom="1418" w:left="1474" w:header="0" w:footer="1035" w:gutter="0"/>
          <w:cols w:space="720" w:num="1"/>
        </w:sectPr>
      </w:pPr>
    </w:p>
    <w:p>
      <w:pPr>
        <w:spacing w:line="287" w:lineRule="auto"/>
        <w:jc w:val="both"/>
        <w:rPr>
          <w:color w:val="000000" w:themeColor="text1"/>
          <w14:textFill>
            <w14:solidFill>
              <w14:schemeClr w14:val="tx1"/>
            </w14:solidFill>
          </w14:textFill>
        </w:rPr>
      </w:pPr>
    </w:p>
    <w:p>
      <w:pPr>
        <w:spacing w:before="91" w:line="221" w:lineRule="auto"/>
        <w:ind w:left="3171"/>
        <w:jc w:val="both"/>
        <w:rPr>
          <w:rFonts w:ascii="宋体" w:hAnsi="宋体" w:eastAsia="宋体" w:cs="宋体"/>
          <w:color w:val="000000" w:themeColor="text1"/>
          <w:sz w:val="28"/>
          <w:szCs w:val="28"/>
          <w14:textFill>
            <w14:solidFill>
              <w14:schemeClr w14:val="tx1"/>
            </w14:solidFill>
          </w14:textFill>
        </w:rPr>
      </w:pPr>
      <w:bookmarkStart w:id="4" w:name="_bookmark4"/>
      <w:bookmarkEnd w:id="4"/>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第二节投标人须知</w:t>
      </w:r>
    </w:p>
    <w:p>
      <w:pPr>
        <w:spacing w:line="420" w:lineRule="exact"/>
        <w:jc w:val="both"/>
        <w:outlineLvl w:val="2"/>
        <w:rPr>
          <w:rFonts w:ascii="宋体" w:hAnsi="宋体" w:eastAsia="宋体" w:cs="宋体"/>
          <w:color w:val="000000" w:themeColor="text1"/>
          <w:sz w:val="24"/>
          <w:szCs w:val="24"/>
          <w14:textFill>
            <w14:solidFill>
              <w14:schemeClr w14:val="tx1"/>
            </w14:solidFill>
          </w14:textFill>
        </w:rPr>
      </w:pPr>
      <w:r>
        <w:rPr>
          <w:rFonts w:ascii="宋体" w:hAnsi="宋体" w:eastAsia="宋体" w:cs="Calibri"/>
          <w:b/>
          <w:bCs/>
          <w:color w:val="000000" w:themeColor="text1"/>
          <w:sz w:val="24"/>
          <w:szCs w:val="24"/>
          <w14:textFill>
            <w14:solidFill>
              <w14:schemeClr w14:val="tx1"/>
            </w14:solidFill>
          </w14:textFill>
        </w:rPr>
        <w:t>1.</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总则</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1.1</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项目概况</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1.1.1根据《中华人民共和国招标投标法》、《中华人民共和国招标投标法实施条例》、《浙江省招标投标条例》、《评标委员会和评标办法暂行规定》等有关法律、法规和规章的规定，本项目已具备招标条件，现对本货物采购标段进行招标。</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1.1.2本招标项目招标人：见投标人须知前附表。</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1.1.3本招标项目招标代理机构：见投标人须知前附表。</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1.1.4本招标项目名称：见投标人须知前附表。</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1.1.5本招标项目建设地点：见投标人须知前附表。</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1.2</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资金来源和落实情况</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1.2.1本招标项目的资金来源及出资比例：见投标人须知前附表。</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1.2.2本招标项目的资金落实情况：见投标人须知前附表。</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1.3</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招标范围及计划服务期</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1.3.1本次招标范围：见投标人须知前附表。</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1.3.2本招标项目交货期：见投标人须知前附表。</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1.3.3本招标项目质量保质期：见投标人须知前附表。</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1.4</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投标人资格要求</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1.4.1投标人应具备承担本标段服务的资格条件、要求。</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(1)资质条件：见投标人须知前附表；</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(2)业绩要求：见投标人须知前附表；</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(3)信誉要求：见投标人须知前附表；</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(4)其他要求：见投标人须知前附表。</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1.4.2投标人须知前附表规定接受联合体投标的，除应符合本章第1.4.1项和投标人须知前附表的要求外，还应遵守以下规定：</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(1)联合体各方应按招标文件提供的格式签订联合体协议书，明确联合体牵头人和各方权利义务；</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(2)由同一专业的单位组成的联合体，按照资质等级较低的单位确定资质等级；</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(3)联合体各方不得再以自己名义单独或参加其他联合体在同一标段中投标。</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1.4.3投标人(投标人是联合体的，指联合体各方)不得存在下列情形之一：</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(1)为招标人不具有独立法人资格的附属机构(单位)；</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(2)为本标段的代建人；</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(3)为本标段提供招标代理服务的；</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(4)单位负责人为同一人或者存在控股、管理关系的不同单位，同时参加本标段投标的；</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(5)投标人及其法定代表人控股的其他公司，同时参加本标段投标的；</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(6)与招标人存在利害关系可能影响招标公正性的法人、其他组织或者个人参加投标的；</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(7)被责令停业的；</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(8)被暂停或取消投标资格的；</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(9)财产被接管或冻结的。</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1.5</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费用承担</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投标人准备和参加投标活动发生的费用自理。</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1.6</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保密</w:t>
      </w:r>
    </w:p>
    <w:p>
      <w:pPr>
        <w:spacing w:line="420" w:lineRule="exact"/>
        <w:ind w:firstLine="465" w:firstLineChars="194"/>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参与招标投标活动的各方应对招标文件和投标文件中的商业和技术等秘密保密，违者应对由此造成的后果承担法律责任。</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1.7</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语言文字</w:t>
      </w:r>
    </w:p>
    <w:p>
      <w:pPr>
        <w:spacing w:line="420" w:lineRule="exact"/>
        <w:ind w:firstLine="492"/>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除专用术语外，与招标投标有关的语言均使用中文。必要时专用术语应附有中文注释</w:t>
      </w:r>
      <w:r>
        <w:rPr>
          <w:rFonts w:ascii="宋体" w:hAnsi="宋体" w:eastAsia="宋体" w:cs="宋体"/>
          <w:color w:val="000000" w:themeColor="text1"/>
          <w:sz w:val="24"/>
          <w:szCs w:val="24"/>
          <w14:textFill>
            <w14:solidFill>
              <w14:schemeClr w14:val="tx1"/>
            </w14:solidFill>
          </w14:textFill>
        </w:rPr>
        <w:t>。</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1.8</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计量单位</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所有计量均采用中华人民共和国法定计量单位。</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1.9</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踏勘现场</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1.9.1投标人须知前附表规定组织踏勘现场的，招标人按投标人须知前附表规定的时间、地点组织投标人踏勘项目现场。</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1.9.2投标人踏勘现场发生的费用自理。</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1.9.3除招标人的原因外，投标人自行负责在踏勘现场中所发生的人员伤亡和财产损失。</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1.9.4招标人在踏勘现场中介绍的工程场地和相关的周边环境情况，供投标人在编制投标文件时参考，招标人不对投标人据此作出的判断和决策负责。</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1.9.5招标人提供的本工程的相关参考资料，并不构成合同文件的组成部分，</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投标人应对上述资料的解释、推论和应用负责，招标人不对投标人据此作出的判断和决策承担任何责任。</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1.10</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投标预备会</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1.10.1投标人须知前附表规定召开投标预备会的，招标人按投标人须知前附表规定的时间和地点召开投标预备会，澄清投标人提出的问题。</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1.10.2投标人提出问题的截止时间、上传疑问方式：见投标人须知前附表。</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1.10.3招标文件的澄清、补充、修改的时间及下载网址：见投标人须知前附表。</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1.11</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分包</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本招标项目不允许分包。</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1.12</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偏离</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投标人须知前附表允许投标文件偏离招标文件某些要求的，偏离应当符合招标文件规定的偏离范围和幅度。</w:t>
      </w:r>
    </w:p>
    <w:p>
      <w:pPr>
        <w:spacing w:line="420" w:lineRule="exact"/>
        <w:jc w:val="both"/>
        <w:outlineLvl w:val="2"/>
        <w:rPr>
          <w:rFonts w:ascii="宋体" w:hAnsi="宋体" w:eastAsia="宋体" w:cs="宋体"/>
          <w:color w:val="000000" w:themeColor="text1"/>
          <w:sz w:val="24"/>
          <w:szCs w:val="24"/>
          <w14:textFill>
            <w14:solidFill>
              <w14:schemeClr w14:val="tx1"/>
            </w14:solidFill>
          </w14:textFill>
        </w:rPr>
      </w:pPr>
      <w:r>
        <w:rPr>
          <w:rFonts w:ascii="宋体" w:hAnsi="宋体" w:eastAsia="宋体" w:cs="Calibri"/>
          <w:b/>
          <w:bCs/>
          <w:color w:val="000000" w:themeColor="text1"/>
          <w:sz w:val="24"/>
          <w:szCs w:val="24"/>
          <w14:textFill>
            <w14:solidFill>
              <w14:schemeClr w14:val="tx1"/>
            </w14:solidFill>
          </w14:textFill>
        </w:rPr>
        <w:t>2.</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招标文件</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2.1</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招标文件的组成</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本招标文件包括：</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(1)招标公告；</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(2)投标人须知；</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(3)评标定标办法；</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(4)合同条款及格式；</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(5)招标内容和技术要求；</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(6)投标文件格式；</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(7)投标人须知前附表规定的其他材料。</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根据本章第1.10款、第2.2款对招标文件所作的澄清、修改，构成招标文件的组成部分。招标文件、招标文件的澄清或修改等在同一内容的表述上不一致时，以最后发出的书面文件为准。</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2.2招标文件的澄清和修改</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2.2.1投标人应仔细阅读和检查招标文件的全部内容。如发现缺页或附件不全，应及时向招标人提出，以便补齐。如有疑问，应在投标人须知前附表第1.10.2项规定的时间前</w:t>
      </w:r>
      <w:r>
        <w:rPr>
          <w:rFonts w:hint="eastAsia" w:ascii="宋体" w:hAnsi="宋体" w:eastAsia="宋体" w:cs="宋体"/>
          <w:color w:val="000000" w:themeColor="text1"/>
          <w:position w:val="1"/>
          <w:sz w:val="24"/>
          <w:szCs w:val="24"/>
          <w14:textFill>
            <w14:solidFill>
              <w14:schemeClr w14:val="tx1"/>
            </w14:solidFill>
          </w14:textFill>
        </w:rPr>
        <w:t>通过电子邮件的方式向招标人提出，</w:t>
      </w:r>
      <w:r>
        <w:rPr>
          <w:rFonts w:ascii="宋体" w:hAnsi="宋体" w:eastAsia="宋体" w:cs="宋体"/>
          <w:color w:val="000000" w:themeColor="text1"/>
          <w:position w:val="1"/>
          <w:sz w:val="24"/>
          <w:szCs w:val="24"/>
          <w14:textFill>
            <w14:solidFill>
              <w14:schemeClr w14:val="tx1"/>
            </w14:solidFill>
          </w14:textFill>
        </w:rPr>
        <w:t>要求招标人对招标文件予以澄清。</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2.2.2招标文件的澄清、修改可能影响投标文件编制的，招标人将在投标人须知前附表规定的投标截止时间15个日历天前通过</w:t>
      </w:r>
      <w:r>
        <w:rPr>
          <w:rFonts w:hint="eastAsia" w:ascii="宋体" w:hAnsi="宋体" w:eastAsia="宋体" w:cs="宋体"/>
          <w:color w:val="000000" w:themeColor="text1"/>
          <w:position w:val="1"/>
          <w:sz w:val="24"/>
          <w:szCs w:val="24"/>
          <w14:textFill>
            <w14:solidFill>
              <w14:schemeClr w14:val="tx1"/>
            </w14:solidFill>
          </w14:textFill>
        </w:rPr>
        <w:t>诸暨市公共资源交易网</w:t>
      </w:r>
      <w:r>
        <w:rPr>
          <w:rFonts w:ascii="宋体" w:hAnsi="宋体" w:eastAsia="宋体" w:cs="宋体"/>
          <w:color w:val="000000" w:themeColor="text1"/>
          <w:position w:val="1"/>
          <w:sz w:val="24"/>
          <w:szCs w:val="24"/>
          <w14:textFill>
            <w14:solidFill>
              <w14:schemeClr w14:val="tx1"/>
            </w14:solidFill>
          </w14:textFill>
        </w:rPr>
        <w:t>进行发布，但不指明澄清问题的来源。如果澄清发出的时间距投标截止时间不足15天，相应延长投标截止时间。</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2.2.3投标人确认收到招标文件澄清和修改内容的时间：见投标人须知前附表。</w:t>
      </w:r>
    </w:p>
    <w:p>
      <w:pPr>
        <w:spacing w:line="420" w:lineRule="exact"/>
        <w:jc w:val="both"/>
        <w:outlineLvl w:val="2"/>
        <w:rPr>
          <w:rFonts w:ascii="宋体" w:hAnsi="宋体" w:eastAsia="宋体" w:cs="宋体"/>
          <w:color w:val="000000" w:themeColor="text1"/>
          <w:sz w:val="24"/>
          <w:szCs w:val="24"/>
          <w14:textFill>
            <w14:solidFill>
              <w14:schemeClr w14:val="tx1"/>
            </w14:solidFill>
          </w14:textFill>
        </w:rPr>
      </w:pPr>
      <w:r>
        <w:rPr>
          <w:rFonts w:ascii="宋体" w:hAnsi="宋体" w:eastAsia="宋体" w:cs="Calibri"/>
          <w:b/>
          <w:bCs/>
          <w:color w:val="000000" w:themeColor="text1"/>
          <w:sz w:val="24"/>
          <w:szCs w:val="24"/>
          <w14:textFill>
            <w14:solidFill>
              <w14:schemeClr w14:val="tx1"/>
            </w14:solidFill>
          </w14:textFill>
        </w:rPr>
        <w:t>3.</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投标文件</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3.1</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投标文件的组成</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3.1.1商务标部分</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（1）封面</w:t>
      </w:r>
      <w:r>
        <w:rPr>
          <w:rFonts w:ascii="宋体" w:hAnsi="宋体" w:eastAsia="宋体" w:cs="宋体"/>
          <w:color w:val="000000" w:themeColor="text1"/>
          <w:position w:val="1"/>
          <w:sz w:val="24"/>
          <w:szCs w:val="24"/>
          <w14:textFill>
            <w14:solidFill>
              <w14:schemeClr w14:val="tx1"/>
            </w14:solidFill>
          </w14:textFill>
        </w:rPr>
        <w:t>(格式见后)</w:t>
      </w:r>
      <w:r>
        <w:rPr>
          <w:rFonts w:hint="eastAsia" w:ascii="宋体" w:hAnsi="宋体" w:eastAsia="宋体" w:cs="宋体"/>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（2）目录；</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（3）</w:t>
      </w:r>
      <w:r>
        <w:rPr>
          <w:rFonts w:ascii="宋体" w:hAnsi="宋体" w:eastAsia="宋体" w:cs="宋体"/>
          <w:color w:val="000000" w:themeColor="text1"/>
          <w:position w:val="1"/>
          <w:sz w:val="24"/>
          <w:szCs w:val="24"/>
          <w14:textFill>
            <w14:solidFill>
              <w14:schemeClr w14:val="tx1"/>
            </w14:solidFill>
          </w14:textFill>
        </w:rPr>
        <w:t>投标函(格式见后)</w:t>
      </w:r>
      <w:r>
        <w:rPr>
          <w:rFonts w:hint="eastAsia" w:ascii="宋体" w:hAnsi="宋体" w:eastAsia="宋体" w:cs="宋体"/>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（4）</w:t>
      </w:r>
      <w:r>
        <w:rPr>
          <w:rFonts w:ascii="宋体" w:hAnsi="宋体" w:eastAsia="宋体" w:cs="宋体"/>
          <w:color w:val="000000" w:themeColor="text1"/>
          <w:position w:val="1"/>
          <w:sz w:val="24"/>
          <w:szCs w:val="24"/>
          <w14:textFill>
            <w14:solidFill>
              <w14:schemeClr w14:val="tx1"/>
            </w14:solidFill>
          </w14:textFill>
        </w:rPr>
        <w:t>投标报价表(格式见后)</w:t>
      </w:r>
      <w:r>
        <w:rPr>
          <w:rFonts w:hint="eastAsia" w:ascii="宋体" w:hAnsi="宋体" w:eastAsia="宋体" w:cs="宋体"/>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☑（5）</w:t>
      </w:r>
      <w:r>
        <w:rPr>
          <w:rFonts w:ascii="宋体" w:hAnsi="宋体" w:eastAsia="宋体" w:cs="宋体"/>
          <w:color w:val="000000" w:themeColor="text1"/>
          <w:position w:val="1"/>
          <w:sz w:val="24"/>
          <w:szCs w:val="24"/>
          <w14:textFill>
            <w14:solidFill>
              <w14:schemeClr w14:val="tx1"/>
            </w14:solidFill>
          </w14:textFill>
        </w:rPr>
        <w:t>投标分项报价表</w:t>
      </w:r>
      <w:r>
        <w:rPr>
          <w:rFonts w:hint="eastAsia" w:ascii="宋体" w:hAnsi="宋体" w:eastAsia="宋体" w:cs="宋体"/>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strike/>
          <w:color w:val="000000" w:themeColor="text1"/>
          <w:position w:val="1"/>
          <w:sz w:val="24"/>
          <w:szCs w:val="24"/>
          <w14:textFill>
            <w14:solidFill>
              <w14:schemeClr w14:val="tx1"/>
            </w14:solidFill>
          </w14:textFill>
        </w:rPr>
        <w:t>（6）</w:t>
      </w:r>
      <w:r>
        <w:rPr>
          <w:rFonts w:ascii="宋体" w:hAnsi="宋体" w:eastAsia="宋体" w:cs="宋体"/>
          <w:strike/>
          <w:color w:val="000000" w:themeColor="text1"/>
          <w:position w:val="1"/>
          <w:sz w:val="24"/>
          <w:szCs w:val="24"/>
          <w14:textFill>
            <w14:solidFill>
              <w14:schemeClr w14:val="tx1"/>
            </w14:solidFill>
          </w14:textFill>
        </w:rPr>
        <w:t>商务条款偏离表</w:t>
      </w:r>
      <w:r>
        <w:rPr>
          <w:rFonts w:hint="eastAsia" w:ascii="宋体" w:hAnsi="宋体" w:eastAsia="宋体" w:cs="宋体"/>
          <w:strike/>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☑（7）</w:t>
      </w:r>
      <w:r>
        <w:rPr>
          <w:rFonts w:ascii="宋体" w:hAnsi="宋体" w:eastAsia="宋体" w:cs="宋体"/>
          <w:color w:val="000000" w:themeColor="text1"/>
          <w:position w:val="1"/>
          <w:sz w:val="24"/>
          <w:szCs w:val="24"/>
          <w14:textFill>
            <w14:solidFill>
              <w14:schemeClr w14:val="tx1"/>
            </w14:solidFill>
          </w14:textFill>
        </w:rPr>
        <w:t>随机备品备件一览表</w:t>
      </w:r>
      <w:r>
        <w:rPr>
          <w:rFonts w:hint="eastAsia" w:ascii="宋体" w:hAnsi="宋体" w:eastAsia="宋体" w:cs="宋体"/>
          <w:color w:val="000000" w:themeColor="text1"/>
          <w:position w:val="1"/>
          <w:sz w:val="24"/>
          <w:szCs w:val="24"/>
          <w14:textFill>
            <w14:solidFill>
              <w14:schemeClr w14:val="tx1"/>
            </w14:solidFill>
          </w14:textFill>
        </w:rPr>
        <w:t>（如有）；</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☑（8）</w:t>
      </w:r>
      <w:r>
        <w:rPr>
          <w:rFonts w:ascii="宋体" w:hAnsi="宋体" w:eastAsia="宋体" w:cs="宋体"/>
          <w:color w:val="000000" w:themeColor="text1"/>
          <w:position w:val="1"/>
          <w:sz w:val="24"/>
          <w:szCs w:val="24"/>
          <w14:textFill>
            <w14:solidFill>
              <w14:schemeClr w14:val="tx1"/>
            </w14:solidFill>
          </w14:textFill>
        </w:rPr>
        <w:t>供招标人选购的备品备件一览表</w:t>
      </w:r>
      <w:r>
        <w:rPr>
          <w:rFonts w:hint="eastAsia" w:ascii="宋体" w:hAnsi="宋体" w:eastAsia="宋体" w:cs="宋体"/>
          <w:color w:val="000000" w:themeColor="text1"/>
          <w:position w:val="1"/>
          <w:sz w:val="24"/>
          <w:szCs w:val="24"/>
          <w14:textFill>
            <w14:solidFill>
              <w14:schemeClr w14:val="tx1"/>
            </w14:solidFill>
          </w14:textFill>
        </w:rPr>
        <w:t>（如有）；</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☑（9）</w:t>
      </w:r>
      <w:r>
        <w:rPr>
          <w:rFonts w:ascii="宋体" w:hAnsi="宋体" w:eastAsia="宋体" w:cs="宋体"/>
          <w:color w:val="000000" w:themeColor="text1"/>
          <w:position w:val="1"/>
          <w:sz w:val="24"/>
          <w:szCs w:val="24"/>
          <w14:textFill>
            <w14:solidFill>
              <w14:schemeClr w14:val="tx1"/>
            </w14:solidFill>
          </w14:textFill>
        </w:rPr>
        <w:t>专用检测设备及专用维修工具一览表</w:t>
      </w:r>
      <w:r>
        <w:rPr>
          <w:rFonts w:hint="eastAsia" w:ascii="宋体" w:hAnsi="宋体" w:eastAsia="宋体" w:cs="宋体"/>
          <w:color w:val="000000" w:themeColor="text1"/>
          <w:position w:val="1"/>
          <w:sz w:val="24"/>
          <w:szCs w:val="24"/>
          <w14:textFill>
            <w14:solidFill>
              <w14:schemeClr w14:val="tx1"/>
            </w14:solidFill>
          </w14:textFill>
        </w:rPr>
        <w:t>（如有）；</w:t>
      </w:r>
    </w:p>
    <w:p>
      <w:pPr>
        <w:spacing w:line="420" w:lineRule="exact"/>
        <w:ind w:firstLine="480" w:firstLineChars="200"/>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379730</wp:posOffset>
                </wp:positionH>
                <wp:positionV relativeFrom="paragraph">
                  <wp:posOffset>242570</wp:posOffset>
                </wp:positionV>
                <wp:extent cx="3365500" cy="7620"/>
                <wp:effectExtent l="1270" t="0" r="0" b="1905"/>
                <wp:wrapNone/>
                <wp:docPr id="24" name="Rectangle 5"/>
                <wp:cNvGraphicFramePr/>
                <a:graphic xmlns:a="http://schemas.openxmlformats.org/drawingml/2006/main">
                  <a:graphicData uri="http://schemas.microsoft.com/office/word/2010/wordprocessingShape">
                    <wps:wsp>
                      <wps:cNvSpPr>
                        <a:spLocks noChangeArrowheads="1"/>
                      </wps:cNvSpPr>
                      <wps:spPr bwMode="auto">
                        <a:xfrm>
                          <a:off x="0" y="0"/>
                          <a:ext cx="3365500" cy="762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Rectangle 5" o:spid="_x0000_s1026" o:spt="1" style="position:absolute;left:0pt;margin-left:29.9pt;margin-top:19.1pt;height:0.6pt;width:265pt;z-index:251659264;mso-width-relative:page;mso-height-relative:page;" fillcolor="#000000" filled="t" stroked="f" coordsize="21600,21600" o:gfxdata="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KaLgFtcAAAAIAQAADwAAAAAAAAAB&#10;ACAAAAAiAAAAZHJzL2Rvd25yZXYueG1sUEsBAhQAFAAAAAgAh07iQEiaJ7ERAgAAKAQAAA4AAAAA&#10;AAAAAQAgAAAAJgEAAGRycy9lMm9Eb2MueG1sUEsFBgAAAAAGAAYAWQEAAKkFAAAAAA==&#10;">
                <v:fill on="t" focussize="0,0"/>
                <v:stroke on="f"/>
                <v:imagedata o:title=""/>
                <o:lock v:ext="edit" aspectratio="f"/>
              </v:rect>
            </w:pict>
          </mc:Fallback>
        </mc:AlternateContent>
      </w:r>
      <w:r>
        <w:rPr>
          <w:rFonts w:ascii="宋体" w:hAnsi="宋体" w:eastAsia="宋体" w:cs="宋体"/>
          <w:strike/>
          <w:color w:val="000000" w:themeColor="text1"/>
          <w:position w:val="1"/>
          <w:sz w:val="24"/>
          <w:szCs w:val="24"/>
          <w14:textFill>
            <w14:solidFill>
              <w14:schemeClr w14:val="tx1"/>
            </w14:solidFill>
          </w14:textFill>
        </w:rPr>
        <w:t>(招标人需要增加的其他商务内容)。</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3.1.2技术标部分</w:t>
      </w:r>
    </w:p>
    <w:p>
      <w:pPr>
        <w:spacing w:line="420" w:lineRule="exact"/>
        <w:ind w:firstLine="480" w:firstLineChars="200"/>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w:t>□(1)货物说明一览表</w:t>
      </w:r>
      <w:r>
        <w:rPr>
          <w:rFonts w:hint="eastAsia" w:ascii="宋体" w:hAnsi="宋体" w:eastAsia="宋体" w:cs="宋体"/>
          <w:strike/>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w:t>□(2)技术响应表</w:t>
      </w:r>
      <w:r>
        <w:rPr>
          <w:rFonts w:hint="eastAsia" w:ascii="宋体" w:hAnsi="宋体" w:eastAsia="宋体" w:cs="宋体"/>
          <w:strike/>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w:t>□(3)主要配置说明一览表</w:t>
      </w:r>
      <w:r>
        <w:rPr>
          <w:rFonts w:hint="eastAsia" w:ascii="宋体" w:hAnsi="宋体" w:eastAsia="宋体" w:cs="宋体"/>
          <w:strike/>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w:t>□(4)技术规格偏离表</w:t>
      </w:r>
      <w:r>
        <w:rPr>
          <w:rFonts w:hint="eastAsia" w:ascii="宋体" w:hAnsi="宋体" w:eastAsia="宋体" w:cs="宋体"/>
          <w:strike/>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w:t>□(5)投标方案图纸、产品详细技术规格书及所投产品的样本及本招标文件中规定的其它必须提供的文件及资料</w:t>
      </w:r>
      <w:r>
        <w:rPr>
          <w:rFonts w:hint="eastAsia" w:ascii="宋体" w:hAnsi="宋体" w:eastAsia="宋体" w:cs="宋体"/>
          <w:strike/>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w:t>□(6)产品的主要技术、结构、性能、特点和质量水平的详细描述</w:t>
      </w:r>
      <w:r>
        <w:rPr>
          <w:rFonts w:hint="eastAsia" w:ascii="宋体" w:hAnsi="宋体" w:eastAsia="宋体" w:cs="宋体"/>
          <w:strike/>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w:t>□(7)产品制造、安装、验收标准</w:t>
      </w:r>
      <w:r>
        <w:rPr>
          <w:rFonts w:hint="eastAsia" w:ascii="宋体" w:hAnsi="宋体" w:eastAsia="宋体" w:cs="宋体"/>
          <w:strike/>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w:t>□(8)主要工艺装备和主要检测设施的拥有情况和现状</w:t>
      </w:r>
      <w:r>
        <w:rPr>
          <w:rFonts w:hint="eastAsia" w:ascii="宋体" w:hAnsi="宋体" w:eastAsia="宋体" w:cs="宋体"/>
          <w:strike/>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w:t>□(9)质量手册或关于质量管理、质量体系、质量控制、质量保证的详细介绍</w:t>
      </w:r>
      <w:r>
        <w:rPr>
          <w:rFonts w:hint="eastAsia" w:ascii="宋体" w:hAnsi="宋体" w:eastAsia="宋体" w:cs="宋体"/>
          <w:strike/>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w:t>□(10)产品的技术服务和售后服务的内容和措施</w:t>
      </w:r>
      <w:r>
        <w:rPr>
          <w:rFonts w:hint="eastAsia" w:ascii="宋体" w:hAnsi="宋体" w:eastAsia="宋体" w:cs="宋体"/>
          <w:strike/>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（1）封面</w:t>
      </w:r>
      <w:r>
        <w:rPr>
          <w:rFonts w:ascii="宋体" w:hAnsi="宋体" w:eastAsia="宋体" w:cs="宋体"/>
          <w:color w:val="000000" w:themeColor="text1"/>
          <w:position w:val="1"/>
          <w:sz w:val="24"/>
          <w:szCs w:val="24"/>
          <w14:textFill>
            <w14:solidFill>
              <w14:schemeClr w14:val="tx1"/>
            </w14:solidFill>
          </w14:textFill>
        </w:rPr>
        <w:t>（格式见后）</w:t>
      </w:r>
      <w:r>
        <w:rPr>
          <w:rFonts w:hint="eastAsia" w:ascii="宋体" w:hAnsi="宋体" w:eastAsia="宋体" w:cs="宋体"/>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（2）目录；</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（3）打分资料一览表</w:t>
      </w:r>
      <w:r>
        <w:rPr>
          <w:rFonts w:ascii="宋体" w:hAnsi="宋体" w:eastAsia="宋体" w:cs="宋体"/>
          <w:color w:val="000000" w:themeColor="text1"/>
          <w:position w:val="1"/>
          <w:sz w:val="24"/>
          <w:szCs w:val="24"/>
          <w14:textFill>
            <w14:solidFill>
              <w14:schemeClr w14:val="tx1"/>
            </w14:solidFill>
          </w14:textFill>
        </w:rPr>
        <w:t>（格式见后）</w:t>
      </w:r>
      <w:r>
        <w:rPr>
          <w:rFonts w:hint="eastAsia" w:ascii="宋体" w:hAnsi="宋体" w:eastAsia="宋体" w:cs="宋体"/>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（4）企业实力资料；</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（5）投标产品总体评价资料；</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（6）主要部件情况资料；</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（7）主要技术指标；</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（8）施工安装方案措施；</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（9）售后及服务资料；</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（10）技术条款偏离表</w:t>
      </w:r>
      <w:r>
        <w:rPr>
          <w:rFonts w:ascii="宋体" w:hAnsi="宋体" w:eastAsia="宋体" w:cs="宋体"/>
          <w:color w:val="000000" w:themeColor="text1"/>
          <w:position w:val="1"/>
          <w:sz w:val="24"/>
          <w:szCs w:val="24"/>
          <w14:textFill>
            <w14:solidFill>
              <w14:schemeClr w14:val="tx1"/>
            </w14:solidFill>
          </w14:textFill>
        </w:rPr>
        <w:t>（格式见后）</w:t>
      </w:r>
      <w:r>
        <w:rPr>
          <w:rFonts w:hint="eastAsia" w:ascii="宋体" w:hAnsi="宋体" w:eastAsia="宋体" w:cs="宋体"/>
          <w:color w:val="000000" w:themeColor="text1"/>
          <w:position w:val="1"/>
          <w:sz w:val="24"/>
          <w:szCs w:val="24"/>
          <w14:textFill>
            <w14:solidFill>
              <w14:schemeClr w14:val="tx1"/>
            </w14:solidFill>
          </w14:textFill>
        </w:rPr>
        <w:t>；</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（11）投标人认为可以证明其能力的其他材料（如有，格式自拟）。</w:t>
      </w:r>
    </w:p>
    <w:p>
      <w:pPr>
        <w:spacing w:line="420" w:lineRule="exact"/>
        <w:ind w:firstLine="480" w:firstLineChars="200"/>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303530</wp:posOffset>
                </wp:positionH>
                <wp:positionV relativeFrom="paragraph">
                  <wp:posOffset>242570</wp:posOffset>
                </wp:positionV>
                <wp:extent cx="3510280" cy="7620"/>
                <wp:effectExtent l="1270" t="0" r="3175" b="1905"/>
                <wp:wrapNone/>
                <wp:docPr id="23" name="Rectangle 6"/>
                <wp:cNvGraphicFramePr/>
                <a:graphic xmlns:a="http://schemas.openxmlformats.org/drawingml/2006/main">
                  <a:graphicData uri="http://schemas.microsoft.com/office/word/2010/wordprocessingShape">
                    <wps:wsp>
                      <wps:cNvSpPr>
                        <a:spLocks noChangeArrowheads="1"/>
                      </wps:cNvSpPr>
                      <wps:spPr bwMode="auto">
                        <a:xfrm>
                          <a:off x="0" y="0"/>
                          <a:ext cx="3510280" cy="762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Rectangle 6" o:spid="_x0000_s1026" o:spt="1" style="position:absolute;left:0pt;margin-left:23.9pt;margin-top:19.1pt;height:0.6pt;width:276.4pt;z-index:251660288;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NevlktcAAAAIAQAADwAAAAAAAAAB&#10;ACAAAAAiAAAAZHJzL2Rvd25yZXYueG1sUEsBAhQAFAAAAAgAh07iQL8hmQgRAgAAKAQAAA4AAAAA&#10;AAAAAQAgAAAAJgEAAGRycy9lMm9Eb2MueG1sUEsFBgAAAAAGAAYAWQEAAKkFAAAAAA==&#10;">
                <v:fill on="t" focussize="0,0"/>
                <v:stroke on="f"/>
                <v:imagedata o:title=""/>
                <o:lock v:ext="edit" aspectratio="f"/>
              </v:rect>
            </w:pict>
          </mc:Fallback>
        </mc:AlternateContent>
      </w:r>
      <w:r>
        <w:rPr>
          <w:rFonts w:ascii="宋体" w:hAnsi="宋体" w:eastAsia="宋体" w:cs="宋体"/>
          <w:strike/>
          <w:color w:val="000000" w:themeColor="text1"/>
          <w:position w:val="1"/>
          <w:sz w:val="24"/>
          <w:szCs w:val="24"/>
          <w14:textFill>
            <w14:solidFill>
              <w14:schemeClr w14:val="tx1"/>
            </w14:solidFill>
          </w14:textFill>
        </w:rPr>
        <w:t>(招标人需要增加的其他技术内容)。</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3.1.3资格审查资料</w:t>
      </w:r>
    </w:p>
    <w:p>
      <w:pPr>
        <w:numPr>
          <w:ilvl w:val="255"/>
          <w:numId w:val="0"/>
        </w:num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w:t>
      </w:r>
      <w:r>
        <w:rPr>
          <w:rFonts w:hint="eastAsia" w:ascii="宋体" w:hAnsi="宋体" w:eastAsia="宋体" w:cs="宋体"/>
          <w:color w:val="000000" w:themeColor="text1"/>
          <w:position w:val="1"/>
          <w:sz w:val="24"/>
          <w:szCs w:val="24"/>
          <w14:textFill>
            <w14:solidFill>
              <w14:schemeClr w14:val="tx1"/>
            </w14:solidFill>
          </w14:textFill>
        </w:rPr>
        <w:t>封面</w:t>
      </w:r>
      <w:r>
        <w:rPr>
          <w:rFonts w:ascii="宋体" w:hAnsi="宋体" w:eastAsia="宋体" w:cs="宋体"/>
          <w:color w:val="000000" w:themeColor="text1"/>
          <w:position w:val="1"/>
          <w:sz w:val="24"/>
          <w:szCs w:val="24"/>
          <w14:textFill>
            <w14:solidFill>
              <w14:schemeClr w14:val="tx1"/>
            </w14:solidFill>
          </w14:textFill>
        </w:rPr>
        <w:t>（格式见后）</w:t>
      </w:r>
      <w:r>
        <w:rPr>
          <w:rFonts w:hint="eastAsia" w:ascii="宋体" w:hAnsi="宋体" w:eastAsia="宋体" w:cs="宋体"/>
          <w:color w:val="000000" w:themeColor="text1"/>
          <w:position w:val="1"/>
          <w:sz w:val="24"/>
          <w:szCs w:val="24"/>
          <w14:textFill>
            <w14:solidFill>
              <w14:schemeClr w14:val="tx1"/>
            </w14:solidFill>
          </w14:textFill>
        </w:rPr>
        <w:t>；</w:t>
      </w:r>
    </w:p>
    <w:p>
      <w:pPr>
        <w:numPr>
          <w:ilvl w:val="255"/>
          <w:numId w:val="0"/>
        </w:num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（2）目录；</w:t>
      </w:r>
    </w:p>
    <w:p>
      <w:pPr>
        <w:numPr>
          <w:ilvl w:val="255"/>
          <w:numId w:val="0"/>
        </w:num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（3）资料一览表</w:t>
      </w:r>
      <w:r>
        <w:rPr>
          <w:rFonts w:ascii="宋体" w:hAnsi="宋体" w:eastAsia="宋体" w:cs="宋体"/>
          <w:color w:val="000000" w:themeColor="text1"/>
          <w:position w:val="1"/>
          <w:sz w:val="24"/>
          <w:szCs w:val="24"/>
          <w14:textFill>
            <w14:solidFill>
              <w14:schemeClr w14:val="tx1"/>
            </w14:solidFill>
          </w14:textFill>
        </w:rPr>
        <w:t>（格式见后）</w:t>
      </w:r>
      <w:r>
        <w:rPr>
          <w:rFonts w:hint="eastAsia" w:ascii="宋体" w:hAnsi="宋体" w:eastAsia="宋体" w:cs="宋体"/>
          <w:color w:val="000000" w:themeColor="text1"/>
          <w:position w:val="1"/>
          <w:sz w:val="24"/>
          <w:szCs w:val="24"/>
          <w14:textFill>
            <w14:solidFill>
              <w14:schemeClr w14:val="tx1"/>
            </w14:solidFill>
          </w14:textFill>
        </w:rPr>
        <w:t>；</w:t>
      </w:r>
    </w:p>
    <w:p>
      <w:pPr>
        <w:numPr>
          <w:ilvl w:val="255"/>
          <w:numId w:val="0"/>
        </w:num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（4）</w:t>
      </w:r>
      <w:r>
        <w:rPr>
          <w:rFonts w:ascii="宋体" w:hAnsi="宋体" w:eastAsia="宋体" w:cs="宋体"/>
          <w:color w:val="000000" w:themeColor="text1"/>
          <w:position w:val="1"/>
          <w:sz w:val="24"/>
          <w:szCs w:val="24"/>
          <w14:textFill>
            <w14:solidFill>
              <w14:schemeClr w14:val="tx1"/>
            </w14:solidFill>
          </w14:textFill>
        </w:rPr>
        <w:t>“投标人基本情况表”应附投标人营业执照和组织机构代码证的复制件（按照“三证合一”或“五证合一”登记制度进行登记的，可仅提供营业执照复制件）等材料的复制件（格式见后）</w:t>
      </w:r>
      <w:r>
        <w:rPr>
          <w:rFonts w:hint="eastAsia" w:ascii="宋体" w:hAnsi="宋体" w:eastAsia="宋体" w:cs="宋体"/>
          <w:color w:val="000000" w:themeColor="text1"/>
          <w:position w:val="1"/>
          <w:sz w:val="24"/>
          <w:szCs w:val="24"/>
          <w14:textFill>
            <w14:solidFill>
              <w14:schemeClr w14:val="tx1"/>
            </w14:solidFill>
          </w14:textFill>
        </w:rPr>
        <w:t>；</w:t>
      </w:r>
    </w:p>
    <w:p>
      <w:pPr>
        <w:shd w:val="clear" w:color="auto" w:fill="FFFFFF"/>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w:t>
      </w:r>
      <w:r>
        <w:rPr>
          <w:rFonts w:hint="eastAsia" w:ascii="宋体" w:hAnsi="宋体" w:eastAsia="宋体" w:cs="宋体"/>
          <w:color w:val="000000" w:themeColor="text1"/>
          <w:position w:val="1"/>
          <w:sz w:val="24"/>
          <w:szCs w:val="24"/>
          <w14:textFill>
            <w14:solidFill>
              <w14:schemeClr w14:val="tx1"/>
            </w14:solidFill>
          </w14:textFill>
        </w:rPr>
        <w:t>5</w:t>
      </w:r>
      <w:r>
        <w:rPr>
          <w:rFonts w:ascii="宋体" w:hAnsi="宋体" w:eastAsia="宋体" w:cs="宋体"/>
          <w:color w:val="000000" w:themeColor="text1"/>
          <w:position w:val="1"/>
          <w:sz w:val="24"/>
          <w:szCs w:val="24"/>
          <w14:textFill>
            <w14:solidFill>
              <w14:schemeClr w14:val="tx1"/>
            </w14:solidFill>
          </w14:textFill>
        </w:rPr>
        <w:t>）法定代表人身份证明（格式见后）</w:t>
      </w:r>
      <w:r>
        <w:rPr>
          <w:rFonts w:hint="eastAsia" w:ascii="宋体" w:hAnsi="宋体" w:eastAsia="宋体" w:cs="宋体"/>
          <w:color w:val="000000" w:themeColor="text1"/>
          <w:position w:val="1"/>
          <w:sz w:val="24"/>
          <w:szCs w:val="24"/>
          <w14:textFill>
            <w14:solidFill>
              <w14:schemeClr w14:val="tx1"/>
            </w14:solidFill>
          </w14:textFill>
        </w:rPr>
        <w:t>；</w:t>
      </w:r>
    </w:p>
    <w:p>
      <w:pPr>
        <w:shd w:val="clear" w:color="auto" w:fill="FFFFFF"/>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w:t>
      </w:r>
      <w:r>
        <w:rPr>
          <w:rFonts w:hint="eastAsia" w:ascii="宋体" w:hAnsi="宋体" w:eastAsia="宋体" w:cs="宋体"/>
          <w:color w:val="000000" w:themeColor="text1"/>
          <w:position w:val="1"/>
          <w:sz w:val="24"/>
          <w:szCs w:val="24"/>
          <w14:textFill>
            <w14:solidFill>
              <w14:schemeClr w14:val="tx1"/>
            </w14:solidFill>
          </w14:textFill>
        </w:rPr>
        <w:t>6</w:t>
      </w:r>
      <w:r>
        <w:rPr>
          <w:rFonts w:ascii="宋体" w:hAnsi="宋体" w:eastAsia="宋体" w:cs="宋体"/>
          <w:color w:val="000000" w:themeColor="text1"/>
          <w:position w:val="1"/>
          <w:sz w:val="24"/>
          <w:szCs w:val="24"/>
          <w14:textFill>
            <w14:solidFill>
              <w14:schemeClr w14:val="tx1"/>
            </w14:solidFill>
          </w14:textFill>
        </w:rPr>
        <w:t>）联合体协议书(如以联合体形式投标的需提供</w:t>
      </w:r>
      <w:r>
        <w:rPr>
          <w:rFonts w:hint="eastAsia" w:ascii="宋体" w:hAnsi="宋体" w:eastAsia="宋体" w:cs="宋体"/>
          <w:color w:val="000000" w:themeColor="text1"/>
          <w:position w:val="1"/>
          <w:sz w:val="24"/>
          <w:szCs w:val="24"/>
          <w14:textFill>
            <w14:solidFill>
              <w14:schemeClr w14:val="tx1"/>
            </w14:solidFill>
          </w14:textFill>
        </w:rPr>
        <w:t>，格式见后</w:t>
      </w:r>
      <w:r>
        <w:rPr>
          <w:rFonts w:ascii="宋体" w:hAnsi="宋体" w:eastAsia="宋体" w:cs="宋体"/>
          <w:color w:val="000000" w:themeColor="text1"/>
          <w:position w:val="1"/>
          <w:sz w:val="24"/>
          <w:szCs w:val="24"/>
          <w14:textFill>
            <w14:solidFill>
              <w14:schemeClr w14:val="tx1"/>
            </w14:solidFill>
          </w14:textFill>
        </w:rPr>
        <w:t>)</w:t>
      </w:r>
      <w:r>
        <w:rPr>
          <w:rFonts w:hint="eastAsia" w:ascii="宋体" w:hAnsi="宋体" w:eastAsia="宋体" w:cs="宋体"/>
          <w:color w:val="000000" w:themeColor="text1"/>
          <w:position w:val="1"/>
          <w:sz w:val="24"/>
          <w:szCs w:val="24"/>
          <w14:textFill>
            <w14:solidFill>
              <w14:schemeClr w14:val="tx1"/>
            </w14:solidFill>
          </w14:textFill>
        </w:rPr>
        <w:t>；</w:t>
      </w:r>
    </w:p>
    <w:p>
      <w:pPr>
        <w:shd w:val="clear" w:color="auto" w:fill="FFFFFF"/>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w:t>
      </w:r>
      <w:r>
        <w:rPr>
          <w:rFonts w:hint="eastAsia" w:ascii="宋体" w:hAnsi="宋体" w:eastAsia="宋体" w:cs="宋体"/>
          <w:color w:val="000000" w:themeColor="text1"/>
          <w:position w:val="1"/>
          <w:sz w:val="24"/>
          <w:szCs w:val="24"/>
          <w14:textFill>
            <w14:solidFill>
              <w14:schemeClr w14:val="tx1"/>
            </w14:solidFill>
          </w14:textFill>
        </w:rPr>
        <w:t>7</w:t>
      </w:r>
      <w:r>
        <w:rPr>
          <w:rFonts w:ascii="宋体" w:hAnsi="宋体" w:eastAsia="宋体" w:cs="宋体"/>
          <w:color w:val="000000" w:themeColor="text1"/>
          <w:position w:val="1"/>
          <w:sz w:val="24"/>
          <w:szCs w:val="24"/>
          <w14:textFill>
            <w14:solidFill>
              <w14:schemeClr w14:val="tx1"/>
            </w14:solidFill>
          </w14:textFill>
        </w:rPr>
        <w:t>）法定代表人授权委托书</w:t>
      </w:r>
      <w:r>
        <w:rPr>
          <w:rFonts w:ascii="宋体" w:hAnsi="宋体" w:eastAsia="宋体" w:cs="宋体"/>
          <w:strike/>
          <w:color w:val="000000" w:themeColor="text1"/>
          <w:position w:val="1"/>
          <w:sz w:val="24"/>
          <w:szCs w:val="24"/>
          <w14:textFill>
            <w14:solidFill>
              <w14:schemeClr w14:val="tx1"/>
            </w14:solidFill>
          </w14:textFill>
        </w:rPr>
        <w:t>（若有）</w:t>
      </w:r>
      <w:r>
        <w:rPr>
          <w:rFonts w:hint="eastAsia" w:ascii="宋体" w:hAnsi="宋体" w:eastAsia="宋体" w:cs="宋体"/>
          <w:color w:val="000000" w:themeColor="text1"/>
          <w:position w:val="1"/>
          <w:sz w:val="24"/>
          <w:szCs w:val="24"/>
          <w14:textFill>
            <w14:solidFill>
              <w14:schemeClr w14:val="tx1"/>
            </w14:solidFill>
          </w14:textFill>
        </w:rPr>
        <w:t>；</w:t>
      </w:r>
    </w:p>
    <w:p>
      <w:pPr>
        <w:shd w:val="clear" w:color="auto" w:fill="FFFFFF"/>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w:t>
      </w:r>
      <w:r>
        <w:rPr>
          <w:rFonts w:hint="eastAsia" w:ascii="宋体" w:hAnsi="宋体" w:eastAsia="宋体" w:cs="宋体"/>
          <w:color w:val="000000" w:themeColor="text1"/>
          <w:position w:val="1"/>
          <w:sz w:val="24"/>
          <w:szCs w:val="24"/>
          <w14:textFill>
            <w14:solidFill>
              <w14:schemeClr w14:val="tx1"/>
            </w14:solidFill>
          </w14:textFill>
        </w:rPr>
        <w:t>8</w:t>
      </w:r>
      <w:r>
        <w:rPr>
          <w:rFonts w:ascii="宋体" w:hAnsi="宋体" w:eastAsia="宋体" w:cs="宋体"/>
          <w:color w:val="000000" w:themeColor="text1"/>
          <w:position w:val="1"/>
          <w:sz w:val="24"/>
          <w:szCs w:val="24"/>
          <w14:textFill>
            <w14:solidFill>
              <w14:schemeClr w14:val="tx1"/>
            </w14:solidFill>
          </w14:textFill>
        </w:rPr>
        <w:t>）投标承诺书（承诺对资格审查资料所有提交的证明材料真实有效性负责，若发现其有伪造证书、业绩等行为的，同意招标人不接受其投标，其缴纳的投标保证金不予退还）</w:t>
      </w:r>
      <w:r>
        <w:rPr>
          <w:rFonts w:hint="eastAsia" w:ascii="宋体" w:hAnsi="宋体" w:eastAsia="宋体" w:cs="宋体"/>
          <w:color w:val="000000" w:themeColor="text1"/>
          <w:position w:val="1"/>
          <w:sz w:val="24"/>
          <w:szCs w:val="24"/>
          <w14:textFill>
            <w14:solidFill>
              <w14:schemeClr w14:val="tx1"/>
            </w14:solidFill>
          </w14:textFill>
        </w:rPr>
        <w:t>（格式见后）；</w:t>
      </w:r>
    </w:p>
    <w:p>
      <w:pPr>
        <w:spacing w:line="420" w:lineRule="exact"/>
        <w:ind w:firstLine="480" w:firstLineChars="200"/>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w:t>（</w:t>
      </w:r>
      <w:r>
        <w:rPr>
          <w:rFonts w:hint="eastAsia" w:ascii="宋体" w:hAnsi="宋体" w:eastAsia="宋体" w:cs="宋体"/>
          <w:strike/>
          <w:color w:val="000000" w:themeColor="text1"/>
          <w:position w:val="1"/>
          <w:sz w:val="24"/>
          <w:szCs w:val="24"/>
          <w14:textFill>
            <w14:solidFill>
              <w14:schemeClr w14:val="tx1"/>
            </w14:solidFill>
          </w14:textFill>
        </w:rPr>
        <w:t>9</w:t>
      </w:r>
      <w:r>
        <w:rPr>
          <w:rFonts w:ascii="宋体" w:hAnsi="宋体" w:eastAsia="宋体" w:cs="宋体"/>
          <w:strike/>
          <w:color w:val="000000" w:themeColor="text1"/>
          <w:position w:val="1"/>
          <w:sz w:val="24"/>
          <w:szCs w:val="24"/>
          <w14:textFill>
            <w14:solidFill>
              <w14:schemeClr w14:val="tx1"/>
            </w14:solidFill>
          </w14:textFill>
        </w:rPr>
        <w:t>）投标保证金缴纳证明资料（</w:t>
      </w:r>
      <w:r>
        <w:rPr>
          <w:rFonts w:hint="eastAsia" w:ascii="宋体" w:hAnsi="宋体" w:eastAsia="宋体" w:cs="宋体"/>
          <w:strike/>
          <w:color w:val="000000" w:themeColor="text1"/>
          <w:position w:val="1"/>
          <w:sz w:val="24"/>
          <w:szCs w:val="24"/>
          <w14:textFill>
            <w14:solidFill>
              <w14:schemeClr w14:val="tx1"/>
            </w14:solidFill>
          </w14:textFill>
        </w:rPr>
        <w:t>投标保证金收款（支付）凭证或银行保函复制件复制件或保险保单复制件或担保保函复制件</w:t>
      </w:r>
      <w:r>
        <w:rPr>
          <w:rFonts w:ascii="宋体" w:hAnsi="宋体" w:eastAsia="宋体" w:cs="宋体"/>
          <w:strike/>
          <w:color w:val="000000" w:themeColor="text1"/>
          <w:position w:val="1"/>
          <w:sz w:val="24"/>
          <w:szCs w:val="24"/>
          <w14:textFill>
            <w14:solidFill>
              <w14:schemeClr w14:val="tx1"/>
            </w14:solidFill>
          </w14:textFill>
        </w:rPr>
        <w:t>）</w:t>
      </w:r>
      <w:r>
        <w:rPr>
          <w:rFonts w:hint="eastAsia" w:ascii="宋体" w:hAnsi="宋体" w:eastAsia="宋体" w:cs="宋体"/>
          <w:strike/>
          <w:color w:val="000000" w:themeColor="text1"/>
          <w:position w:val="1"/>
          <w:sz w:val="24"/>
          <w:szCs w:val="24"/>
          <w14:textFill>
            <w14:solidFill>
              <w14:schemeClr w14:val="tx1"/>
            </w14:solidFill>
          </w14:textFill>
        </w:rPr>
        <w:t>；</w:t>
      </w:r>
    </w:p>
    <w:p>
      <w:pPr>
        <w:spacing w:line="420" w:lineRule="exact"/>
        <w:ind w:firstLine="480" w:firstLineChars="200"/>
        <w:jc w:val="both"/>
        <w:outlineLvl w:val="3"/>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w:t>
      </w:r>
      <w:r>
        <w:rPr>
          <w:rFonts w:hint="eastAsia" w:ascii="宋体" w:hAnsi="宋体" w:eastAsia="宋体" w:cs="宋体"/>
          <w:color w:val="000000" w:themeColor="text1"/>
          <w:position w:val="1"/>
          <w:sz w:val="24"/>
          <w:szCs w:val="24"/>
          <w14:textFill>
            <w14:solidFill>
              <w14:schemeClr w14:val="tx1"/>
            </w14:solidFill>
          </w14:textFill>
        </w:rPr>
        <w:t>10</w:t>
      </w:r>
      <w:r>
        <w:rPr>
          <w:rFonts w:ascii="宋体" w:hAnsi="宋体" w:eastAsia="宋体" w:cs="宋体"/>
          <w:color w:val="000000" w:themeColor="text1"/>
          <w:position w:val="1"/>
          <w:sz w:val="24"/>
          <w:szCs w:val="24"/>
          <w14:textFill>
            <w14:solidFill>
              <w14:schemeClr w14:val="tx1"/>
            </w14:solidFill>
          </w14:textFill>
        </w:rPr>
        <w:t>）其他资料</w:t>
      </w:r>
      <w:r>
        <w:rPr>
          <w:rFonts w:hint="eastAsia" w:ascii="宋体" w:hAnsi="宋体" w:eastAsia="宋体" w:cs="宋体"/>
          <w:color w:val="000000" w:themeColor="text1"/>
          <w:position w:val="1"/>
          <w:sz w:val="24"/>
          <w:szCs w:val="24"/>
          <w14:textFill>
            <w14:solidFill>
              <w14:schemeClr w14:val="tx1"/>
            </w14:solidFill>
          </w14:textFill>
        </w:rPr>
        <w:t>：</w:t>
      </w:r>
    </w:p>
    <w:p>
      <w:pPr>
        <w:spacing w:line="420" w:lineRule="exact"/>
        <w:ind w:firstLine="480" w:firstLineChars="200"/>
        <w:jc w:val="both"/>
        <w:outlineLvl w:val="3"/>
        <w:rPr>
          <w:rFonts w:ascii="宋体" w:hAnsi="宋体" w:eastAsia="宋体" w:cs="宋体"/>
          <w:i/>
          <w:iCs/>
          <w:color w:val="000000" w:themeColor="text1"/>
          <w:position w:val="1"/>
          <w:sz w:val="24"/>
          <w:szCs w:val="24"/>
          <w:u w:val="single"/>
          <w14:textFill>
            <w14:solidFill>
              <w14:schemeClr w14:val="tx1"/>
            </w14:solidFill>
          </w14:textFill>
        </w:rPr>
      </w:pPr>
      <w:r>
        <w:rPr>
          <w:rFonts w:hint="eastAsia" w:ascii="宋体" w:hAnsi="宋体" w:eastAsia="宋体" w:cs="宋体"/>
          <w:i/>
          <w:iCs/>
          <w:color w:val="000000" w:themeColor="text1"/>
          <w:position w:val="1"/>
          <w:sz w:val="24"/>
          <w:szCs w:val="24"/>
          <w:u w:val="single"/>
          <w14:textFill>
            <w14:solidFill>
              <w14:schemeClr w14:val="tx1"/>
            </w14:solidFill>
          </w14:textFill>
        </w:rPr>
        <w:t>①如投标人为投标产品制造商的，应提供《中华人民共和国特种设备生产许可证》【许可项目涵盖：电梯制造（含安装、修理、改造）；许可子项目涵盖：曳引驱动乘客电梯（含消防员电梯）、自动扶梯与自动人行道】；</w:t>
      </w:r>
    </w:p>
    <w:p>
      <w:pPr>
        <w:spacing w:line="420" w:lineRule="exact"/>
        <w:ind w:firstLine="480" w:firstLineChars="200"/>
        <w:jc w:val="both"/>
        <w:outlineLvl w:val="3"/>
        <w:rPr>
          <w:rFonts w:ascii="宋体" w:hAnsi="宋体" w:eastAsia="宋体" w:cs="宋体"/>
          <w:i/>
          <w:iCs/>
          <w:color w:val="000000" w:themeColor="text1"/>
          <w:position w:val="1"/>
          <w:sz w:val="24"/>
          <w:szCs w:val="24"/>
          <w:u w:val="single"/>
          <w14:textFill>
            <w14:solidFill>
              <w14:schemeClr w14:val="tx1"/>
            </w14:solidFill>
          </w14:textFill>
        </w:rPr>
      </w:pPr>
      <w:r>
        <w:rPr>
          <w:rFonts w:hint="eastAsia" w:ascii="宋体" w:hAnsi="宋体" w:eastAsia="宋体" w:cs="宋体"/>
          <w:i/>
          <w:iCs/>
          <w:color w:val="000000" w:themeColor="text1"/>
          <w:position w:val="1"/>
          <w:sz w:val="24"/>
          <w:szCs w:val="24"/>
          <w:u w:val="single"/>
          <w14:textFill>
            <w14:solidFill>
              <w14:schemeClr w14:val="tx1"/>
            </w14:solidFill>
          </w14:textFill>
        </w:rPr>
        <w:t>②如投标人为经销商的，应提供投标产品制造商的《中华人民共和国特种设备生产许可证》【许可项目涵盖：电梯制造（含安装、修理、改造）；许可子项目涵盖：曳引驱动乘客电梯（含消防员电梯）、自动扶梯与自动人行道】；同时，提供投标人的《中华人民共和国特种设备生产许可证》【许可项目涵盖：电梯制造（含安装、修理、改造）或电梯安装（含修理）；许可子项目涵盖：曳引驱动乘客电梯（含消防员电梯）、自动扶梯与自动人行道】；</w:t>
      </w:r>
    </w:p>
    <w:p>
      <w:pPr>
        <w:spacing w:line="420" w:lineRule="exact"/>
        <w:ind w:firstLine="480" w:firstLineChars="200"/>
        <w:jc w:val="both"/>
        <w:rPr>
          <w:rFonts w:ascii="宋体" w:hAnsi="宋体" w:eastAsia="宋体" w:cs="宋体"/>
          <w:i/>
          <w:iCs/>
          <w:color w:val="000000" w:themeColor="text1"/>
          <w:position w:val="1"/>
          <w:sz w:val="24"/>
          <w:szCs w:val="24"/>
          <w:u w:val="single"/>
          <w14:textFill>
            <w14:solidFill>
              <w14:schemeClr w14:val="tx1"/>
            </w14:solidFill>
          </w14:textFill>
        </w:rPr>
      </w:pPr>
      <w:r>
        <w:rPr>
          <w:rFonts w:hint="eastAsia" w:ascii="宋体" w:hAnsi="宋体" w:eastAsia="宋体" w:cs="宋体"/>
          <w:i/>
          <w:iCs/>
          <w:color w:val="000000" w:themeColor="text1"/>
          <w:position w:val="1"/>
          <w:sz w:val="24"/>
          <w:szCs w:val="24"/>
          <w:u w:val="single"/>
          <w14:textFill>
            <w14:solidFill>
              <w14:schemeClr w14:val="tx1"/>
            </w14:solidFill>
          </w14:textFill>
        </w:rPr>
        <w:t>③如投标人为联合体投标的，应提供投标产品制造商的《中华人民共和国特种设备生产许可证》【许可项目涵盖：电梯制造（含安装、修理、改造）；许可子项目涵盖：曳引驱动乘客电梯（含消防员电梯）、自动扶梯与自动人行道】；同时，提供联合体负责安装维保成员的《中华人民共和国特种设备生产许可证》【许可项目涵盖：电梯制造（含安装、修理、改造）或电梯安装（含修理）；许可子项目涵盖：曳引驱动乘客电梯（含消防员电梯）、自动扶梯与自动人行道】。</w:t>
      </w:r>
    </w:p>
    <w:p>
      <w:pPr>
        <w:spacing w:line="420" w:lineRule="exact"/>
        <w:ind w:firstLine="480" w:firstLineChars="200"/>
        <w:jc w:val="both"/>
        <w:rPr>
          <w:rFonts w:ascii="宋体" w:hAnsi="宋体" w:eastAsia="宋体" w:cs="宋体"/>
          <w:i/>
          <w:iCs/>
          <w:color w:val="000000" w:themeColor="text1"/>
          <w:position w:val="1"/>
          <w:sz w:val="24"/>
          <w:szCs w:val="24"/>
          <w:u w:val="single"/>
          <w14:textFill>
            <w14:solidFill>
              <w14:schemeClr w14:val="tx1"/>
            </w14:solidFill>
          </w14:textFill>
        </w:rPr>
      </w:pPr>
      <w:r>
        <w:rPr>
          <w:rFonts w:hint="eastAsia" w:ascii="宋体" w:hAnsi="宋体" w:eastAsia="宋体" w:cs="宋体"/>
          <w:i/>
          <w:iCs/>
          <w:color w:val="000000" w:themeColor="text1"/>
          <w:position w:val="1"/>
          <w:sz w:val="24"/>
          <w:szCs w:val="24"/>
          <w:u w:val="single"/>
          <w14:textFill>
            <w14:solidFill>
              <w14:schemeClr w14:val="tx1"/>
            </w14:solidFill>
          </w14:textFill>
        </w:rPr>
        <w:t>注：上述证件均为按《市场监管总局关于特种设备行政许可有关事项的公告》（2021年第41号）所换的新证，若投标人尚未换取新证，须提供老证（老证尚未取消且在有效期内）。以上提供的证书均需在有效期内，且均需提供原件复印件并加盖证书持有单位公章及投标人公章（投标人为证书持有单位的，可只盖投标人公章）。</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i/>
          <w:iCs/>
          <w:color w:val="000000" w:themeColor="text1"/>
          <w:position w:val="1"/>
          <w:sz w:val="24"/>
          <w:szCs w:val="24"/>
          <w:u w:val="single"/>
          <w14:textFill>
            <w14:solidFill>
              <w14:schemeClr w14:val="tx1"/>
            </w14:solidFill>
          </w14:textFill>
        </w:rPr>
        <w:t>④投标人须提供所投电梯品牌生产制造商（或经销商）自2020年1月1日以来，具有单个合同金额在600万元及以上的医院电梯项目业绩，投标文件中提供合同复印件，时间以合同签订时间为准，金额以合同中载明金额为准。</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3.2</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投标报价</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3.2.1投标人应按本招标文件中“投标文件格式”的要求填写相应表格。</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3.2.2投标人在投标截止时间前修改投标函中的投标总报价，应同时修改本招标文件中“投标文件格式”中的相应报价。此修改须符合本章第4.3款的有关要求。</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3.2.3招标人设有最高投标限价的，投标人的投标报价不得超过最高投标限价，最高投标限价详见投标人须知前附表。</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3.2.4投标报价的其他要求详见投标人须知前附表。</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3.3</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投标有效期</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3.3.1在投标人须知前附表规定的投标有效期内，投标人不得撤销其投标文件。</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3.4</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投标保证金</w:t>
      </w:r>
    </w:p>
    <w:p>
      <w:pPr>
        <w:spacing w:line="400" w:lineRule="exact"/>
        <w:ind w:firstLine="479"/>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3.4.1投标人应按投标人须知前附表规定的金额、时间及形式递交投标保证金，并作为其投标文件的组成部分。</w:t>
      </w:r>
    </w:p>
    <w:p>
      <w:pPr>
        <w:spacing w:line="400" w:lineRule="exact"/>
        <w:ind w:firstLine="479"/>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提交投标保证金的，投标保证金须从投标人基本账户中转出；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pPr>
        <w:spacing w:line="400" w:lineRule="exact"/>
        <w:ind w:firstLine="479"/>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提交投标保险、保函、担保的，保险、保函、担保中的被担保人与投标人必须一致；联合体投标的，被担保人或投保人与联合体牵头人必须一致。保险、保函、担保中所担保的范围、金额、责任条件及有效期或保单中被保险人、保险金额、保险期限必须符合招标文件要求，否则招标人或指定机构不予接受。</w:t>
      </w:r>
    </w:p>
    <w:p>
      <w:pPr>
        <w:spacing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3.4.2投标人应按本章第3.4.1项要求提交投标保证金。</w:t>
      </w:r>
    </w:p>
    <w:p>
      <w:pPr>
        <w:spacing w:line="400" w:lineRule="exact"/>
        <w:ind w:firstLine="480" w:firstLineChars="200"/>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3.4.3投标保证金的退还</w:t>
      </w:r>
      <w:r>
        <w:rPr>
          <w:rFonts w:hint="eastAsia" w:ascii="宋体" w:hAnsi="宋体" w:eastAsia="宋体" w:cs="宋体"/>
          <w:color w:val="000000" w:themeColor="text1"/>
          <w:position w:val="1"/>
          <w:sz w:val="24"/>
          <w:szCs w:val="24"/>
          <w14:textFill>
            <w14:solidFill>
              <w14:schemeClr w14:val="tx1"/>
            </w14:solidFill>
          </w14:textFill>
        </w:rPr>
        <w:t>：</w:t>
      </w:r>
    </w:p>
    <w:p>
      <w:pPr>
        <w:spacing w:line="40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3.</w:t>
      </w:r>
      <w:r>
        <w:rPr>
          <w:rFonts w:hint="eastAsia" w:ascii="宋体" w:eastAsiaTheme="minorEastAsia"/>
          <w:color w:val="000000" w:themeColor="text1"/>
          <w:sz w:val="24"/>
          <w:szCs w:val="24"/>
          <w14:textFill>
            <w14:solidFill>
              <w14:schemeClr w14:val="tx1"/>
            </w14:solidFill>
          </w14:textFill>
        </w:rPr>
        <w:t>4.3</w:t>
      </w:r>
      <w:r>
        <w:rPr>
          <w:rFonts w:hint="eastAsia" w:ascii="宋体"/>
          <w:color w:val="000000" w:themeColor="text1"/>
          <w:sz w:val="24"/>
          <w:szCs w:val="24"/>
          <w14:textFill>
            <w14:solidFill>
              <w14:schemeClr w14:val="tx1"/>
            </w14:solidFill>
          </w14:textFill>
        </w:rPr>
        <w:t xml:space="preserve">.1 </w:t>
      </w:r>
      <w:r>
        <w:rPr>
          <w:rFonts w:hint="eastAsia" w:ascii="宋体" w:hAnsi="宋体"/>
          <w:color w:val="000000" w:themeColor="text1"/>
          <w:sz w:val="24"/>
          <w:szCs w:val="24"/>
          <w14:textFill>
            <w14:solidFill>
              <w14:schemeClr w14:val="tx1"/>
            </w14:solidFill>
          </w14:textFill>
        </w:rPr>
        <w:t>中标人的投标保证金将在本招标项目的合同签订后5日内予以退还。</w:t>
      </w:r>
    </w:p>
    <w:p>
      <w:pPr>
        <w:spacing w:line="40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3.</w:t>
      </w:r>
      <w:r>
        <w:rPr>
          <w:rFonts w:hint="eastAsia" w:ascii="宋体" w:eastAsiaTheme="minorEastAsia"/>
          <w:color w:val="000000" w:themeColor="text1"/>
          <w:sz w:val="24"/>
          <w:szCs w:val="24"/>
          <w14:textFill>
            <w14:solidFill>
              <w14:schemeClr w14:val="tx1"/>
            </w14:solidFill>
          </w14:textFill>
        </w:rPr>
        <w:t>4.3</w:t>
      </w:r>
      <w:r>
        <w:rPr>
          <w:rFonts w:hint="eastAsia" w:asci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未中标人的投标保证金将在本招标项目中标通知书发出后5日内予以退还。</w:t>
      </w:r>
    </w:p>
    <w:p>
      <w:pPr>
        <w:spacing w:line="40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3.</w:t>
      </w:r>
      <w:r>
        <w:rPr>
          <w:rFonts w:hint="eastAsia" w:ascii="宋体" w:eastAsiaTheme="minorEastAsia"/>
          <w:color w:val="000000" w:themeColor="text1"/>
          <w:sz w:val="24"/>
          <w:szCs w:val="24"/>
          <w14:textFill>
            <w14:solidFill>
              <w14:schemeClr w14:val="tx1"/>
            </w14:solidFill>
          </w14:textFill>
        </w:rPr>
        <w:t>4.3</w:t>
      </w:r>
      <w:r>
        <w:rPr>
          <w:rFonts w:hint="eastAsia" w:ascii="宋体"/>
          <w:color w:val="000000" w:themeColor="text1"/>
          <w:sz w:val="24"/>
          <w:szCs w:val="24"/>
          <w14:textFill>
            <w14:solidFill>
              <w14:schemeClr w14:val="tx1"/>
            </w14:solidFill>
          </w14:textFill>
        </w:rPr>
        <w:t xml:space="preserve">.3 </w:t>
      </w:r>
      <w:r>
        <w:rPr>
          <w:rFonts w:hint="eastAsia" w:ascii="宋体" w:hAnsi="宋体"/>
          <w:color w:val="000000" w:themeColor="text1"/>
          <w:sz w:val="24"/>
          <w:szCs w:val="24"/>
          <w14:textFill>
            <w14:solidFill>
              <w14:schemeClr w14:val="tx1"/>
            </w14:solidFill>
          </w14:textFill>
        </w:rPr>
        <w:t>退还的投标保证金，其利息计算执行中国人民银行规定的现行活期存款利率标准。</w:t>
      </w:r>
    </w:p>
    <w:p>
      <w:pPr>
        <w:spacing w:line="400" w:lineRule="exact"/>
        <w:ind w:firstLine="480" w:firstLineChars="200"/>
        <w:rPr>
          <w:rFonts w:ascii="宋体" w:hAnsi="宋体"/>
          <w:b/>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3.</w:t>
      </w:r>
      <w:r>
        <w:rPr>
          <w:rFonts w:hint="eastAsia" w:ascii="宋体" w:eastAsiaTheme="minorEastAsia"/>
          <w:color w:val="000000" w:themeColor="text1"/>
          <w:sz w:val="24"/>
          <w:szCs w:val="24"/>
          <w14:textFill>
            <w14:solidFill>
              <w14:schemeClr w14:val="tx1"/>
            </w14:solidFill>
          </w14:textFill>
        </w:rPr>
        <w:t>4.4</w:t>
      </w:r>
      <w:r>
        <w:rPr>
          <w:rFonts w:hint="eastAsia" w:ascii="宋体"/>
          <w:color w:val="000000" w:themeColor="text1"/>
          <w:sz w:val="24"/>
          <w:szCs w:val="24"/>
          <w14:textFill>
            <w14:solidFill>
              <w14:schemeClr w14:val="tx1"/>
            </w14:solidFill>
          </w14:textFill>
        </w:rPr>
        <w:t xml:space="preserve"> </w:t>
      </w:r>
      <w:r>
        <w:rPr>
          <w:rFonts w:hint="eastAsia" w:ascii="宋体" w:hAnsi="宋体"/>
          <w:b/>
          <w:color w:val="000000" w:themeColor="text1"/>
          <w:sz w:val="24"/>
          <w:szCs w:val="24"/>
          <w14:textFill>
            <w14:solidFill>
              <w14:schemeClr w14:val="tx1"/>
            </w14:solidFill>
          </w14:textFill>
        </w:rPr>
        <w:t>投标人有下列情况之一时，将不予退还投标保证金：</w:t>
      </w:r>
      <w:r>
        <w:rPr>
          <w:rFonts w:hint="eastAsia" w:ascii="宋体"/>
          <w:b/>
          <w:color w:val="000000" w:themeColor="text1"/>
          <w:sz w:val="24"/>
          <w:szCs w:val="24"/>
          <w14:textFill>
            <w14:solidFill>
              <w14:schemeClr w14:val="tx1"/>
            </w14:solidFill>
          </w14:textFill>
        </w:rPr>
        <w:t xml:space="preserve"> </w:t>
      </w:r>
    </w:p>
    <w:p>
      <w:pPr>
        <w:spacing w:line="400" w:lineRule="exact"/>
        <w:ind w:firstLine="480" w:firstLineChars="200"/>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t>3.</w:t>
      </w:r>
      <w:r>
        <w:rPr>
          <w:rFonts w:hint="eastAsia" w:ascii="宋体" w:eastAsiaTheme="minorEastAsia"/>
          <w:color w:val="000000" w:themeColor="text1"/>
          <w:sz w:val="24"/>
          <w:szCs w:val="24"/>
          <w14:textFill>
            <w14:solidFill>
              <w14:schemeClr w14:val="tx1"/>
            </w14:solidFill>
          </w14:textFill>
        </w:rPr>
        <w:t>4.4</w:t>
      </w:r>
      <w:r>
        <w:rPr>
          <w:rFonts w:ascii="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经查实，投标人在投标过程中存在串通投标或弄虚作假的；</w:t>
      </w:r>
    </w:p>
    <w:p>
      <w:pPr>
        <w:spacing w:line="400" w:lineRule="exact"/>
        <w:ind w:firstLine="480" w:firstLineChars="200"/>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t>3.</w:t>
      </w:r>
      <w:r>
        <w:rPr>
          <w:rFonts w:hint="eastAsia" w:ascii="宋体" w:eastAsiaTheme="minorEastAsia"/>
          <w:color w:val="000000" w:themeColor="text1"/>
          <w:sz w:val="24"/>
          <w:szCs w:val="24"/>
          <w14:textFill>
            <w14:solidFill>
              <w14:schemeClr w14:val="tx1"/>
            </w14:solidFill>
          </w14:textFill>
        </w:rPr>
        <w:t>4.4</w:t>
      </w:r>
      <w:r>
        <w:rPr>
          <w:rFonts w:ascii="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在提交投标文件截止时间后到招标文件规定的投标有效期终止之前，投标人撤销其投标文件的；</w:t>
      </w:r>
    </w:p>
    <w:p>
      <w:pPr>
        <w:spacing w:line="400" w:lineRule="exact"/>
        <w:ind w:firstLine="480" w:firstLineChars="200"/>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t>3.</w:t>
      </w:r>
      <w:r>
        <w:rPr>
          <w:rFonts w:hint="eastAsia" w:ascii="宋体" w:eastAsiaTheme="minorEastAsia"/>
          <w:color w:val="000000" w:themeColor="text1"/>
          <w:sz w:val="24"/>
          <w:szCs w:val="24"/>
          <w14:textFill>
            <w14:solidFill>
              <w14:schemeClr w14:val="tx1"/>
            </w14:solidFill>
          </w14:textFill>
        </w:rPr>
        <w:t>4.4</w:t>
      </w:r>
      <w:r>
        <w:rPr>
          <w:rFonts w:ascii="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中标人在收到中标通知书后，无正当理由不与招标人订立合同，在签订合同时向招标人提出附加条件，或者不按照招标文件要求提交履约保证金；</w:t>
      </w:r>
    </w:p>
    <w:p>
      <w:pPr>
        <w:spacing w:line="400" w:lineRule="exact"/>
        <w:ind w:firstLine="480" w:firstLineChars="200"/>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t>3.</w:t>
      </w:r>
      <w:r>
        <w:rPr>
          <w:rFonts w:hint="eastAsia" w:ascii="宋体" w:eastAsiaTheme="minorEastAsia"/>
          <w:color w:val="000000" w:themeColor="text1"/>
          <w:sz w:val="24"/>
          <w:szCs w:val="24"/>
          <w14:textFill>
            <w14:solidFill>
              <w14:schemeClr w14:val="tx1"/>
            </w14:solidFill>
          </w14:textFill>
        </w:rPr>
        <w:t>4.4</w:t>
      </w:r>
      <w:r>
        <w:rPr>
          <w:rFonts w:ascii="宋体"/>
          <w:color w:val="000000" w:themeColor="text1"/>
          <w:sz w:val="24"/>
          <w:szCs w:val="24"/>
          <w14:textFill>
            <w14:solidFill>
              <w14:schemeClr w14:val="tx1"/>
            </w14:solidFill>
          </w14:textFill>
        </w:rPr>
        <w:t xml:space="preserve">.4 </w:t>
      </w:r>
      <w:r>
        <w:rPr>
          <w:rFonts w:hint="eastAsia" w:ascii="宋体" w:hAnsi="宋体" w:eastAsia="宋体" w:cs="宋体"/>
          <w:color w:val="000000" w:themeColor="text1"/>
          <w:sz w:val="24"/>
          <w:szCs w:val="24"/>
          <w14:textFill>
            <w14:solidFill>
              <w14:schemeClr w14:val="tx1"/>
            </w14:solidFill>
          </w14:textFill>
        </w:rPr>
        <w:t>以现金转账形式，转账现金不予退还；</w:t>
      </w:r>
    </w:p>
    <w:p>
      <w:pPr>
        <w:spacing w:line="400" w:lineRule="exact"/>
        <w:ind w:firstLine="480" w:firstLineChars="200"/>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t>3.</w:t>
      </w:r>
      <w:r>
        <w:rPr>
          <w:rFonts w:hint="eastAsia" w:ascii="宋体" w:eastAsiaTheme="minorEastAsia"/>
          <w:color w:val="000000" w:themeColor="text1"/>
          <w:sz w:val="24"/>
          <w:szCs w:val="24"/>
          <w14:textFill>
            <w14:solidFill>
              <w14:schemeClr w14:val="tx1"/>
            </w14:solidFill>
          </w14:textFill>
        </w:rPr>
        <w:t>4.4</w:t>
      </w:r>
      <w:r>
        <w:rPr>
          <w:rFonts w:ascii="宋体"/>
          <w:color w:val="000000" w:themeColor="text1"/>
          <w:sz w:val="24"/>
          <w:szCs w:val="24"/>
          <w14:textFill>
            <w14:solidFill>
              <w14:schemeClr w14:val="tx1"/>
            </w14:solidFill>
          </w14:textFill>
        </w:rPr>
        <w:t xml:space="preserve">.5 </w:t>
      </w:r>
      <w:r>
        <w:rPr>
          <w:rFonts w:hint="eastAsia" w:ascii="宋体" w:hAnsi="宋体" w:eastAsia="宋体" w:cs="宋体"/>
          <w:color w:val="000000" w:themeColor="text1"/>
          <w:sz w:val="24"/>
          <w:szCs w:val="24"/>
          <w14:textFill>
            <w14:solidFill>
              <w14:schemeClr w14:val="tx1"/>
            </w14:solidFill>
          </w14:textFill>
        </w:rPr>
        <w:t>以银行保函形式，招标人作为受益人向银行提起索赔；</w:t>
      </w:r>
    </w:p>
    <w:p>
      <w:pPr>
        <w:spacing w:line="400" w:lineRule="exact"/>
        <w:ind w:firstLine="480" w:firstLineChars="200"/>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t>3.</w:t>
      </w:r>
      <w:r>
        <w:rPr>
          <w:rFonts w:hint="eastAsia" w:ascii="宋体" w:eastAsiaTheme="minorEastAsia"/>
          <w:color w:val="000000" w:themeColor="text1"/>
          <w:sz w:val="24"/>
          <w:szCs w:val="24"/>
          <w14:textFill>
            <w14:solidFill>
              <w14:schemeClr w14:val="tx1"/>
            </w14:solidFill>
          </w14:textFill>
        </w:rPr>
        <w:t>4.4</w:t>
      </w:r>
      <w:r>
        <w:rPr>
          <w:rFonts w:ascii="宋体"/>
          <w:color w:val="000000" w:themeColor="text1"/>
          <w:sz w:val="24"/>
          <w:szCs w:val="24"/>
          <w14:textFill>
            <w14:solidFill>
              <w14:schemeClr w14:val="tx1"/>
            </w14:solidFill>
          </w14:textFill>
        </w:rPr>
        <w:t xml:space="preserve">.6 </w:t>
      </w:r>
      <w:r>
        <w:rPr>
          <w:rFonts w:hint="eastAsia" w:ascii="宋体" w:hAnsi="宋体" w:eastAsia="宋体" w:cs="宋体"/>
          <w:color w:val="000000" w:themeColor="text1"/>
          <w:sz w:val="24"/>
          <w:szCs w:val="24"/>
          <w14:textFill>
            <w14:solidFill>
              <w14:schemeClr w14:val="tx1"/>
            </w14:solidFill>
          </w14:textFill>
        </w:rPr>
        <w:t>以保证保险形式，招标人作为被保险人（受益人）向保险人提起索赔；</w:t>
      </w:r>
    </w:p>
    <w:p>
      <w:pPr>
        <w:spacing w:line="400" w:lineRule="exact"/>
        <w:ind w:firstLine="480" w:firstLineChars="200"/>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t>3.</w:t>
      </w:r>
      <w:r>
        <w:rPr>
          <w:rFonts w:hint="eastAsia" w:ascii="宋体" w:eastAsiaTheme="minorEastAsia"/>
          <w:color w:val="000000" w:themeColor="text1"/>
          <w:sz w:val="24"/>
          <w:szCs w:val="24"/>
          <w14:textFill>
            <w14:solidFill>
              <w14:schemeClr w14:val="tx1"/>
            </w14:solidFill>
          </w14:textFill>
        </w:rPr>
        <w:t>4.4</w:t>
      </w:r>
      <w:r>
        <w:rPr>
          <w:rFonts w:ascii="宋体"/>
          <w:color w:val="000000" w:themeColor="text1"/>
          <w:sz w:val="24"/>
          <w:szCs w:val="24"/>
          <w14:textFill>
            <w14:solidFill>
              <w14:schemeClr w14:val="tx1"/>
            </w14:solidFill>
          </w14:textFill>
        </w:rPr>
        <w:t xml:space="preserve">.7 </w:t>
      </w:r>
      <w:r>
        <w:rPr>
          <w:rFonts w:hint="eastAsia" w:ascii="宋体" w:hAnsi="宋体" w:eastAsia="宋体" w:cs="宋体"/>
          <w:color w:val="000000" w:themeColor="text1"/>
          <w:sz w:val="24"/>
          <w:szCs w:val="24"/>
          <w14:textFill>
            <w14:solidFill>
              <w14:schemeClr w14:val="tx1"/>
            </w14:solidFill>
          </w14:textFill>
        </w:rPr>
        <w:t>以担保公司担保形式，招标人作为受益人向担保人提起索赔。</w:t>
      </w:r>
    </w:p>
    <w:p>
      <w:pPr>
        <w:spacing w:line="400" w:lineRule="exact"/>
        <w:ind w:firstLine="480" w:firstLineChars="200"/>
        <w:rPr>
          <w:rFonts w:ascii="宋体" w:hAnsi="宋体" w:eastAsia="宋体" w:cs="宋体"/>
          <w:color w:val="000000" w:themeColor="text1"/>
          <w:position w:val="1"/>
          <w:sz w:val="24"/>
          <w:szCs w:val="24"/>
          <w14:textFill>
            <w14:solidFill>
              <w14:schemeClr w14:val="tx1"/>
            </w14:solidFill>
          </w14:textFill>
        </w:rPr>
      </w:pPr>
      <w:r>
        <w:rPr>
          <w:rFonts w:hint="eastAsia" w:ascii="宋体"/>
          <w:b/>
          <w:color w:val="000000" w:themeColor="text1"/>
          <w:sz w:val="24"/>
          <w:szCs w:val="24"/>
          <w14:textFill>
            <w14:solidFill>
              <w14:schemeClr w14:val="tx1"/>
            </w14:solidFill>
          </w14:textFill>
        </w:rPr>
        <w:t>免缴投标保证金的投标人如出现上述不予退还投标保证金的情形时，应在承诺时限内补缴全额投标保证金。</w:t>
      </w:r>
    </w:p>
    <w:p>
      <w:pPr>
        <w:spacing w:line="40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3.5</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资格审查资料</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3.5.1</w:t>
      </w:r>
      <w:r>
        <w:rPr>
          <w:rFonts w:hint="eastAsia" w:ascii="宋体" w:hAnsi="宋体" w:eastAsia="宋体" w:cs="宋体"/>
          <w:color w:val="000000" w:themeColor="text1"/>
          <w:position w:val="1"/>
          <w:sz w:val="24"/>
          <w:szCs w:val="24"/>
          <w14:textFill>
            <w14:solidFill>
              <w14:schemeClr w14:val="tx1"/>
            </w14:solidFill>
          </w14:textFill>
        </w:rPr>
        <w:t>资格审查资料详见投标人须知3.1.3条。</w:t>
      </w:r>
    </w:p>
    <w:p>
      <w:pPr>
        <w:spacing w:line="42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3.5.</w:t>
      </w:r>
      <w:r>
        <w:rPr>
          <w:rFonts w:hint="eastAsia" w:ascii="宋体" w:hAnsi="宋体" w:eastAsia="宋体" w:cs="宋体"/>
          <w:color w:val="000000" w:themeColor="text1"/>
          <w:position w:val="1"/>
          <w:sz w:val="24"/>
          <w:szCs w:val="24"/>
          <w14:textFill>
            <w14:solidFill>
              <w14:schemeClr w14:val="tx1"/>
            </w14:solidFill>
          </w14:textFill>
        </w:rPr>
        <w:t>2</w:t>
      </w:r>
      <w:r>
        <w:rPr>
          <w:rFonts w:ascii="宋体" w:hAnsi="宋体" w:eastAsia="宋体" w:cs="宋体"/>
          <w:color w:val="000000" w:themeColor="text1"/>
          <w:position w:val="1"/>
          <w:sz w:val="24"/>
          <w:szCs w:val="24"/>
          <w14:textFill>
            <w14:solidFill>
              <w14:schemeClr w14:val="tx1"/>
            </w14:solidFill>
          </w14:textFill>
        </w:rPr>
        <w:t>实质性响应招标文件及评审打分资料详见投标人须知前附表。</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3.6</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备选投标方案</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3.7</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投标文件的编制</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3.7.1</w:t>
      </w:r>
      <w:r>
        <w:rPr>
          <w:rFonts w:hint="eastAsia" w:ascii="宋体" w:hAnsi="宋体" w:eastAsia="宋体" w:cs="宋体"/>
          <w:color w:val="000000" w:themeColor="text1"/>
          <w:position w:val="1"/>
          <w:sz w:val="24"/>
          <w:szCs w:val="24"/>
          <w14:textFill>
            <w14:solidFill>
              <w14:schemeClr w14:val="tx1"/>
            </w14:solidFill>
          </w14:textFill>
        </w:rPr>
        <w:t xml:space="preserve"> </w:t>
      </w:r>
      <w:r>
        <w:rPr>
          <w:rFonts w:ascii="宋体" w:hAnsi="宋体" w:eastAsia="宋体" w:cs="宋体"/>
          <w:color w:val="000000" w:themeColor="text1"/>
          <w:position w:val="1"/>
          <w:sz w:val="24"/>
          <w:szCs w:val="24"/>
          <w14:textFill>
            <w14:solidFill>
              <w14:schemeClr w14:val="tx1"/>
            </w14:solidFill>
          </w14:textFill>
        </w:rPr>
        <w:t>投标文件应按第七章“投标文件格式”进行编写，如有必要，可以增加附页，作为投标文件的组成部分。其中，投标函在满足招标文件实质性要求的基础上，可以提出比招标文件要求更有利于招标人的承诺。</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3.7.2</w:t>
      </w:r>
      <w:r>
        <w:rPr>
          <w:rFonts w:hint="eastAsia" w:ascii="宋体" w:hAnsi="宋体" w:eastAsia="宋体" w:cs="宋体"/>
          <w:color w:val="000000" w:themeColor="text1"/>
          <w:position w:val="1"/>
          <w:sz w:val="24"/>
          <w:szCs w:val="24"/>
          <w14:textFill>
            <w14:solidFill>
              <w14:schemeClr w14:val="tx1"/>
            </w14:solidFill>
          </w14:textFill>
        </w:rPr>
        <w:t xml:space="preserve"> </w:t>
      </w:r>
      <w:r>
        <w:rPr>
          <w:rFonts w:ascii="宋体" w:hAnsi="宋体" w:eastAsia="宋体" w:cs="宋体"/>
          <w:color w:val="000000" w:themeColor="text1"/>
          <w:position w:val="1"/>
          <w:sz w:val="24"/>
          <w:szCs w:val="24"/>
          <w14:textFill>
            <w14:solidFill>
              <w14:schemeClr w14:val="tx1"/>
            </w14:solidFill>
          </w14:textFill>
        </w:rPr>
        <w:t>投标文件应当对招标文件有关工期、投标有效期、质量要求、技术标准和要求、招标范围等实质性内容作出响应。</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3.7.3</w:t>
      </w:r>
      <w:r>
        <w:rPr>
          <w:rFonts w:hint="eastAsia" w:ascii="宋体" w:hAnsi="宋体" w:eastAsia="宋体" w:cs="宋体"/>
          <w:color w:val="000000" w:themeColor="text1"/>
          <w:position w:val="1"/>
          <w:sz w:val="24"/>
          <w:szCs w:val="24"/>
          <w14:textFill>
            <w14:solidFill>
              <w14:schemeClr w14:val="tx1"/>
            </w14:solidFill>
          </w14:textFill>
        </w:rPr>
        <w:t xml:space="preserve"> </w:t>
      </w:r>
      <w:r>
        <w:rPr>
          <w:rFonts w:ascii="宋体" w:hAnsi="宋体" w:eastAsia="宋体" w:cs="宋体"/>
          <w:color w:val="000000" w:themeColor="text1"/>
          <w:position w:val="1"/>
          <w:sz w:val="24"/>
          <w:szCs w:val="24"/>
          <w14:textFill>
            <w14:solidFill>
              <w14:schemeClr w14:val="tx1"/>
            </w14:solidFill>
          </w14:textFill>
        </w:rPr>
        <w:t>投标文件签字或盖章的具体要求见投标人须知前附表。</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3.7.4</w:t>
      </w:r>
      <w:r>
        <w:rPr>
          <w:rFonts w:hint="eastAsia" w:ascii="宋体" w:hAnsi="宋体" w:eastAsia="宋体" w:cs="宋体"/>
          <w:color w:val="000000" w:themeColor="text1"/>
          <w:position w:val="1"/>
          <w:sz w:val="24"/>
          <w:szCs w:val="24"/>
          <w14:textFill>
            <w14:solidFill>
              <w14:schemeClr w14:val="tx1"/>
            </w14:solidFill>
          </w14:textFill>
        </w:rPr>
        <w:t xml:space="preserve"> </w:t>
      </w:r>
      <w:r>
        <w:rPr>
          <w:rFonts w:ascii="宋体" w:hAnsi="宋体" w:eastAsia="宋体" w:cs="宋体"/>
          <w:color w:val="000000" w:themeColor="text1"/>
          <w:position w:val="1"/>
          <w:sz w:val="24"/>
          <w:szCs w:val="24"/>
          <w14:textFill>
            <w14:solidFill>
              <w14:schemeClr w14:val="tx1"/>
            </w14:solidFill>
          </w14:textFill>
        </w:rPr>
        <w:t>投标文件份数的具体要求见投标人须知前附表。</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3.7.5 商务标编制内容至少包括投标人须知3.1.1的内容。</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3.7.6 技术标编制内容至少包括投标人须知3.1.2的内容。</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3.7.7 资格审查资料：应包括投标人须知3.1.3的内容。</w:t>
      </w:r>
    </w:p>
    <w:p>
      <w:pPr>
        <w:spacing w:line="420" w:lineRule="exact"/>
        <w:ind w:firstLine="495"/>
        <w:jc w:val="both"/>
        <w:rPr>
          <w:rFonts w:ascii="宋体" w:hAnsi="宋体" w:eastAsia="宋体" w:cs="宋体"/>
          <w:strike/>
          <w:color w:val="000000" w:themeColor="text1"/>
          <w:position w:val="1"/>
          <w:sz w:val="24"/>
          <w:szCs w:val="24"/>
          <w14:textFill>
            <w14:solidFill>
              <w14:schemeClr w14:val="tx1"/>
            </w14:solidFill>
          </w14:textFill>
        </w:rPr>
      </w:pPr>
      <w:r>
        <w:rPr>
          <w:rFonts w:hint="eastAsia" w:ascii="宋体" w:hAnsi="宋体" w:eastAsia="宋体" w:cs="宋体"/>
          <w:strike/>
          <w:color w:val="000000" w:themeColor="text1"/>
          <w:position w:val="1"/>
          <w:sz w:val="24"/>
          <w:szCs w:val="24"/>
          <w14:textFill>
            <w14:solidFill>
              <w14:schemeClr w14:val="tx1"/>
            </w14:solidFill>
          </w14:textFill>
        </w:rPr>
        <w:t>3.7.8电子投标的要求</w:t>
      </w:r>
    </w:p>
    <w:p>
      <w:pPr>
        <w:spacing w:line="420" w:lineRule="exact"/>
        <w:ind w:firstLine="495"/>
        <w:jc w:val="both"/>
        <w:rPr>
          <w:rFonts w:ascii="宋体" w:hAnsi="宋体" w:eastAsia="宋体" w:cs="宋体"/>
          <w:strike/>
          <w:color w:val="000000" w:themeColor="text1"/>
          <w:position w:val="1"/>
          <w:sz w:val="24"/>
          <w:szCs w:val="24"/>
          <w14:textFill>
            <w14:solidFill>
              <w14:schemeClr w14:val="tx1"/>
            </w14:solidFill>
          </w14:textFill>
        </w:rPr>
      </w:pPr>
      <w:r>
        <w:rPr>
          <w:rFonts w:hint="eastAsia" w:ascii="宋体" w:hAnsi="宋体" w:eastAsia="宋体" w:cs="宋体"/>
          <w:strike/>
          <w:color w:val="000000" w:themeColor="text1"/>
          <w:position w:val="1"/>
          <w:sz w:val="24"/>
          <w:szCs w:val="24"/>
          <w14:textFill>
            <w14:solidFill>
              <w14:schemeClr w14:val="tx1"/>
            </w14:solidFill>
          </w14:textFill>
        </w:rPr>
        <w:t>（1）电子投标文件签字或盖章的具体要求见投标人须知前附表。</w:t>
      </w:r>
    </w:p>
    <w:p>
      <w:pPr>
        <w:spacing w:line="420" w:lineRule="exact"/>
        <w:ind w:firstLine="495"/>
        <w:jc w:val="both"/>
        <w:rPr>
          <w:rFonts w:ascii="宋体" w:hAnsi="宋体" w:eastAsia="宋体" w:cs="宋体"/>
          <w:strike/>
          <w:color w:val="000000" w:themeColor="text1"/>
          <w:position w:val="1"/>
          <w:sz w:val="24"/>
          <w:szCs w:val="24"/>
          <w14:textFill>
            <w14:solidFill>
              <w14:schemeClr w14:val="tx1"/>
            </w14:solidFill>
          </w14:textFill>
        </w:rPr>
      </w:pPr>
      <w:r>
        <w:rPr>
          <w:rFonts w:hint="eastAsia" w:ascii="宋体" w:hAnsi="宋体" w:eastAsia="宋体" w:cs="宋体"/>
          <w:strike/>
          <w:color w:val="000000" w:themeColor="text1"/>
          <w:position w:val="1"/>
          <w:sz w:val="24"/>
          <w:szCs w:val="24"/>
          <w14:textFill>
            <w14:solidFill>
              <w14:schemeClr w14:val="tx1"/>
            </w14:solidFill>
          </w14:textFill>
        </w:rPr>
        <w:t>（2）电子投标文件制作要求见投标人须知前附表。</w:t>
      </w:r>
    </w:p>
    <w:p>
      <w:pPr>
        <w:spacing w:line="420" w:lineRule="exact"/>
        <w:ind w:firstLine="495"/>
        <w:jc w:val="both"/>
        <w:rPr>
          <w:rFonts w:ascii="宋体" w:hAnsi="宋体" w:eastAsia="宋体" w:cs="宋体"/>
          <w:strike/>
          <w:color w:val="000000" w:themeColor="text1"/>
          <w:position w:val="1"/>
          <w:sz w:val="24"/>
          <w:szCs w:val="24"/>
          <w14:textFill>
            <w14:solidFill>
              <w14:schemeClr w14:val="tx1"/>
            </w14:solidFill>
          </w14:textFill>
        </w:rPr>
      </w:pPr>
      <w:r>
        <w:rPr>
          <w:rFonts w:hint="eastAsia" w:ascii="宋体" w:hAnsi="宋体" w:eastAsia="宋体" w:cs="宋体"/>
          <w:strike/>
          <w:color w:val="000000" w:themeColor="text1"/>
          <w:position w:val="1"/>
          <w:sz w:val="24"/>
          <w:szCs w:val="24"/>
          <w14:textFill>
            <w14:solidFill>
              <w14:schemeClr w14:val="tx1"/>
            </w14:solidFill>
          </w14:textFill>
        </w:rPr>
        <w:t>（3）电子投标文件所附证书证件及业绩证明文件要求见投标人须知前附表规定。</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3.7.9 投标文件的份数和签署</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3.7.9.1 投标人应按投标人须知前附表规定的份数提交投标文件。</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3.7.9.2 投标文件的正本和副本均需使用不褪色的材料书写或打印，字迹应清晰易于辨认。投标人应在投标文件封面的右上角清楚地标明：“正本”或“副本”。正本和副本如有不一致之处，以正本为准。</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3.7.10 投标文件[包括商务标、技术标、资格审查资料]格式内容中凡有投标人落款处应加盖投标人印章并经法定代表人或其委托代理人签字或盖章（联合体投标的，除特殊注明外，均应加盖联合体牵头人印章并经联合体牵头人的法定代表人或其委托代理人签字或盖章，余同）。</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由委托代理人签字或盖章的投标文件中需同时附法定代表人签署的授权委托书。法定代表人授权委托书签字、盖章及内容均应符合招标文件要求，否则该委托代理人签字无效。</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以联合体方式投标的投标人，其委托代理人由联合体牵头人的法定代表人签署授权委托书进行授权，否则，该授权委托书无效。</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3.7.11 除投标人对错误处须修改外，全套投标文件应无涂改和行间插字或增删。如有修改，投标人在修改处应加盖投标人的印章或由授权代表签字（或盖章）。</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3.7.12 以联合体方式投标的投标人，其联合体各方均须受本章第3.7.10、3.7.11条款约束。</w:t>
      </w:r>
    </w:p>
    <w:p>
      <w:pPr>
        <w:spacing w:line="420" w:lineRule="exact"/>
        <w:ind w:firstLine="495"/>
        <w:jc w:val="both"/>
        <w:rPr>
          <w:rFonts w:ascii="宋体" w:hAnsi="宋体" w:eastAsia="宋体" w:cs="宋体"/>
          <w:strike/>
          <w:color w:val="000000" w:themeColor="text1"/>
          <w:position w:val="1"/>
          <w:sz w:val="24"/>
          <w:szCs w:val="24"/>
          <w14:textFill>
            <w14:solidFill>
              <w14:schemeClr w14:val="tx1"/>
            </w14:solidFill>
          </w14:textFill>
        </w:rPr>
      </w:pPr>
      <w:r>
        <w:rPr>
          <w:rFonts w:hint="eastAsia" w:ascii="宋体" w:hAnsi="宋体" w:eastAsia="宋体" w:cs="宋体"/>
          <w:strike/>
          <w:color w:val="000000" w:themeColor="text1"/>
          <w:position w:val="1"/>
          <w:sz w:val="24"/>
          <w:szCs w:val="24"/>
          <w14:textFill>
            <w14:solidFill>
              <w14:schemeClr w14:val="tx1"/>
            </w14:solidFill>
          </w14:textFill>
        </w:rPr>
        <w:t>3.7.13 电子投标的要求</w:t>
      </w:r>
    </w:p>
    <w:p>
      <w:pPr>
        <w:spacing w:line="420" w:lineRule="exact"/>
        <w:ind w:firstLine="495"/>
        <w:jc w:val="both"/>
        <w:rPr>
          <w:rFonts w:ascii="宋体" w:hAnsi="宋体" w:eastAsia="宋体" w:cs="宋体"/>
          <w:strike/>
          <w:color w:val="000000" w:themeColor="text1"/>
          <w:position w:val="1"/>
          <w:sz w:val="24"/>
          <w:szCs w:val="24"/>
          <w14:textFill>
            <w14:solidFill>
              <w14:schemeClr w14:val="tx1"/>
            </w14:solidFill>
          </w14:textFill>
        </w:rPr>
      </w:pPr>
      <w:r>
        <w:rPr>
          <w:rFonts w:hint="eastAsia" w:ascii="宋体" w:hAnsi="宋体" w:eastAsia="宋体" w:cs="宋体"/>
          <w:strike/>
          <w:color w:val="000000" w:themeColor="text1"/>
          <w:position w:val="1"/>
          <w:sz w:val="24"/>
          <w:szCs w:val="24"/>
          <w14:textFill>
            <w14:solidFill>
              <w14:schemeClr w14:val="tx1"/>
            </w14:solidFill>
          </w14:textFill>
        </w:rPr>
        <w:t>（</w:t>
      </w:r>
      <w:r>
        <w:rPr>
          <w:rFonts w:ascii="宋体" w:hAnsi="宋体" w:eastAsia="宋体" w:cs="宋体"/>
          <w:strike/>
          <w:color w:val="000000" w:themeColor="text1"/>
          <w:position w:val="1"/>
          <w:sz w:val="24"/>
          <w:szCs w:val="24"/>
          <w14:textFill>
            <w14:solidFill>
              <w14:schemeClr w14:val="tx1"/>
            </w14:solidFill>
          </w14:textFill>
        </w:rPr>
        <w:t>1</w:t>
      </w:r>
      <w:r>
        <w:rPr>
          <w:rFonts w:hint="eastAsia" w:ascii="宋体" w:hAnsi="宋体" w:eastAsia="宋体" w:cs="宋体"/>
          <w:strike/>
          <w:color w:val="000000" w:themeColor="text1"/>
          <w:position w:val="1"/>
          <w:sz w:val="24"/>
          <w:szCs w:val="24"/>
          <w14:textFill>
            <w14:solidFill>
              <w14:schemeClr w14:val="tx1"/>
            </w14:solidFill>
          </w14:textFill>
        </w:rPr>
        <w:t>）电子投标文件签字或盖章的具体要求见投标人须知前附表。</w:t>
      </w:r>
    </w:p>
    <w:p>
      <w:pPr>
        <w:spacing w:line="420" w:lineRule="exact"/>
        <w:ind w:firstLine="495"/>
        <w:jc w:val="both"/>
        <w:rPr>
          <w:rFonts w:ascii="宋体" w:hAnsi="宋体" w:eastAsia="宋体" w:cs="宋体"/>
          <w:strike/>
          <w:color w:val="000000" w:themeColor="text1"/>
          <w:position w:val="1"/>
          <w:sz w:val="24"/>
          <w:szCs w:val="24"/>
          <w14:textFill>
            <w14:solidFill>
              <w14:schemeClr w14:val="tx1"/>
            </w14:solidFill>
          </w14:textFill>
        </w:rPr>
      </w:pPr>
      <w:r>
        <w:rPr>
          <w:rFonts w:hint="eastAsia" w:ascii="宋体" w:hAnsi="宋体" w:eastAsia="宋体" w:cs="宋体"/>
          <w:strike/>
          <w:color w:val="000000" w:themeColor="text1"/>
          <w:position w:val="1"/>
          <w:sz w:val="24"/>
          <w:szCs w:val="24"/>
          <w14:textFill>
            <w14:solidFill>
              <w14:schemeClr w14:val="tx1"/>
            </w14:solidFill>
          </w14:textFill>
        </w:rPr>
        <w:t>（</w:t>
      </w:r>
      <w:r>
        <w:rPr>
          <w:rFonts w:ascii="宋体" w:hAnsi="宋体" w:eastAsia="宋体" w:cs="宋体"/>
          <w:strike/>
          <w:color w:val="000000" w:themeColor="text1"/>
          <w:position w:val="1"/>
          <w:sz w:val="24"/>
          <w:szCs w:val="24"/>
          <w14:textFill>
            <w14:solidFill>
              <w14:schemeClr w14:val="tx1"/>
            </w14:solidFill>
          </w14:textFill>
        </w:rPr>
        <w:t>2</w:t>
      </w:r>
      <w:r>
        <w:rPr>
          <w:rFonts w:hint="eastAsia" w:ascii="宋体" w:hAnsi="宋体" w:eastAsia="宋体" w:cs="宋体"/>
          <w:strike/>
          <w:color w:val="000000" w:themeColor="text1"/>
          <w:position w:val="1"/>
          <w:sz w:val="24"/>
          <w:szCs w:val="24"/>
          <w14:textFill>
            <w14:solidFill>
              <w14:schemeClr w14:val="tx1"/>
            </w14:solidFill>
          </w14:textFill>
        </w:rPr>
        <w:t>）电子投标文件制作或加密要求见投标人须知前附表。</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strike/>
          <w:color w:val="000000" w:themeColor="text1"/>
          <w:position w:val="1"/>
          <w:sz w:val="24"/>
          <w:szCs w:val="24"/>
          <w14:textFill>
            <w14:solidFill>
              <w14:schemeClr w14:val="tx1"/>
            </w14:solidFill>
          </w14:textFill>
        </w:rPr>
        <w:t>（</w:t>
      </w:r>
      <w:r>
        <w:rPr>
          <w:rFonts w:ascii="宋体" w:hAnsi="宋体" w:eastAsia="宋体" w:cs="宋体"/>
          <w:strike/>
          <w:color w:val="000000" w:themeColor="text1"/>
          <w:position w:val="1"/>
          <w:sz w:val="24"/>
          <w:szCs w:val="24"/>
          <w14:textFill>
            <w14:solidFill>
              <w14:schemeClr w14:val="tx1"/>
            </w14:solidFill>
          </w14:textFill>
        </w:rPr>
        <w:t>3</w:t>
      </w:r>
      <w:r>
        <w:rPr>
          <w:rFonts w:hint="eastAsia" w:ascii="宋体" w:hAnsi="宋体" w:eastAsia="宋体" w:cs="宋体"/>
          <w:strike/>
          <w:color w:val="000000" w:themeColor="text1"/>
          <w:position w:val="1"/>
          <w:sz w:val="24"/>
          <w:szCs w:val="24"/>
          <w14:textFill>
            <w14:solidFill>
              <w14:schemeClr w14:val="tx1"/>
            </w14:solidFill>
          </w14:textFill>
        </w:rPr>
        <w:t>）电子投标文件所附证书证件及业绩证明文件要求见投标人须知前附表规定。</w:t>
      </w:r>
    </w:p>
    <w:p>
      <w:pPr>
        <w:spacing w:line="420" w:lineRule="exact"/>
        <w:jc w:val="both"/>
        <w:outlineLvl w:val="2"/>
        <w:rPr>
          <w:rFonts w:ascii="宋体" w:hAnsi="宋体" w:eastAsia="宋体" w:cs="宋体"/>
          <w:color w:val="000000" w:themeColor="text1"/>
          <w:sz w:val="24"/>
          <w:szCs w:val="24"/>
          <w14:textFill>
            <w14:solidFill>
              <w14:schemeClr w14:val="tx1"/>
            </w14:solidFill>
          </w14:textFill>
        </w:rPr>
      </w:pPr>
      <w:r>
        <w:rPr>
          <w:rFonts w:ascii="宋体" w:hAnsi="宋体" w:eastAsia="宋体" w:cs="Calibri"/>
          <w:b/>
          <w:bCs/>
          <w:color w:val="000000" w:themeColor="text1"/>
          <w:sz w:val="24"/>
          <w:szCs w:val="24"/>
          <w14:textFill>
            <w14:solidFill>
              <w14:schemeClr w14:val="tx1"/>
            </w14:solidFill>
          </w14:textFill>
        </w:rPr>
        <w:t>4.</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投标</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4.1</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光盘、样品等材料的包装和标记</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光盘、样品等材料的外包装和要求见投标人须知前附表。</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4.2</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投标文件的递交</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4.2.1投标人应在前附表第2.2.2项规定的投标截止时间前递交投标文件。</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4.2.2投标人递交投标文件的方式：见投标人须知前附表。</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4.2.3除投标人须知前附表另有规定外，投标人所递交的投标文件不予退还。</w:t>
      </w:r>
    </w:p>
    <w:p>
      <w:pPr>
        <w:spacing w:line="420" w:lineRule="exact"/>
        <w:ind w:firstLine="495"/>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w:t>4.2.</w:t>
      </w:r>
      <w:r>
        <w:rPr>
          <w:rFonts w:hint="eastAsia" w:ascii="宋体" w:hAnsi="宋体" w:eastAsia="宋体" w:cs="宋体"/>
          <w:strike/>
          <w:color w:val="000000" w:themeColor="text1"/>
          <w:position w:val="1"/>
          <w:sz w:val="24"/>
          <w:szCs w:val="24"/>
          <w14:textFill>
            <w14:solidFill>
              <w14:schemeClr w14:val="tx1"/>
            </w14:solidFill>
          </w14:textFill>
        </w:rPr>
        <w:t>4电子投标文件递交要求：见投标须知前附表。</w:t>
      </w:r>
    </w:p>
    <w:p>
      <w:pPr>
        <w:spacing w:line="420" w:lineRule="exact"/>
        <w:ind w:firstLine="495"/>
        <w:jc w:val="both"/>
        <w:rPr>
          <w:rFonts w:ascii="宋体" w:hAnsi="宋体" w:eastAsia="宋体" w:cs="宋体"/>
          <w:strike/>
          <w:color w:val="000000" w:themeColor="text1"/>
          <w:position w:val="1"/>
          <w:sz w:val="24"/>
          <w:szCs w:val="24"/>
          <w14:textFill>
            <w14:solidFill>
              <w14:schemeClr w14:val="tx1"/>
            </w14:solidFill>
          </w14:textFill>
        </w:rPr>
      </w:pPr>
      <w:r>
        <w:rPr>
          <w:rFonts w:ascii="宋体" w:hAnsi="宋体" w:eastAsia="宋体" w:cs="宋体"/>
          <w:strike/>
          <w:color w:val="000000" w:themeColor="text1"/>
          <w:position w:val="1"/>
          <w:sz w:val="24"/>
          <w:szCs w:val="24"/>
          <w14:textFill>
            <w14:solidFill>
              <w14:schemeClr w14:val="tx1"/>
            </w14:solidFill>
          </w14:textFill>
        </w:rPr>
        <w:t>4.2.</w:t>
      </w:r>
      <w:r>
        <w:rPr>
          <w:rFonts w:hint="eastAsia" w:ascii="宋体" w:hAnsi="宋体" w:eastAsia="宋体" w:cs="宋体"/>
          <w:strike/>
          <w:color w:val="000000" w:themeColor="text1"/>
          <w:position w:val="1"/>
          <w:sz w:val="24"/>
          <w:szCs w:val="24"/>
          <w14:textFill>
            <w14:solidFill>
              <w14:schemeClr w14:val="tx1"/>
            </w14:solidFill>
          </w14:textFill>
        </w:rPr>
        <w:t>5电子投标文件的拒收情形：见投标须知前附表。</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4.3</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投标文件的修改与撤回</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4.3.1在前附表第2.2.2项规定的投标截止时间前，投标人可以修改或撤回已递交的投标文件</w:t>
      </w:r>
      <w:r>
        <w:rPr>
          <w:rFonts w:hint="eastAsia" w:ascii="宋体" w:hAnsi="宋体" w:eastAsia="宋体" w:cs="宋体"/>
          <w:color w:val="000000" w:themeColor="text1"/>
          <w:position w:val="1"/>
          <w:sz w:val="24"/>
          <w:szCs w:val="24"/>
          <w14:textFill>
            <w14:solidFill>
              <w14:schemeClr w14:val="tx1"/>
            </w14:solidFill>
          </w14:textFill>
        </w:rPr>
        <w:t>，在投标截止时间以后，不能更改投标文件</w:t>
      </w:r>
      <w:r>
        <w:rPr>
          <w:rFonts w:ascii="宋体" w:hAnsi="宋体" w:eastAsia="宋体" w:cs="宋体"/>
          <w:color w:val="000000" w:themeColor="text1"/>
          <w:position w:val="1"/>
          <w:sz w:val="24"/>
          <w:szCs w:val="24"/>
          <w14:textFill>
            <w14:solidFill>
              <w14:schemeClr w14:val="tx1"/>
            </w14:solidFill>
          </w14:textFill>
        </w:rPr>
        <w:t>。</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4.3.2修改的内容为投标文件的组成部分。</w:t>
      </w:r>
      <w:r>
        <w:rPr>
          <w:rFonts w:hint="eastAsia" w:ascii="宋体" w:hAnsi="宋体" w:eastAsia="宋体" w:cs="宋体"/>
          <w:color w:val="000000" w:themeColor="text1"/>
          <w:position w:val="1"/>
          <w:sz w:val="24"/>
          <w:szCs w:val="24"/>
          <w14:textFill>
            <w14:solidFill>
              <w14:schemeClr w14:val="tx1"/>
            </w14:solidFill>
          </w14:textFill>
        </w:rPr>
        <w:t>投标人的补充修改，应按规定编制、密封、标志和递交，并在包封上标明“修改”字样</w:t>
      </w:r>
      <w:r>
        <w:rPr>
          <w:rFonts w:ascii="宋体" w:hAnsi="宋体" w:eastAsia="宋体" w:cs="宋体"/>
          <w:color w:val="000000" w:themeColor="text1"/>
          <w:position w:val="1"/>
          <w:sz w:val="24"/>
          <w:szCs w:val="24"/>
          <w14:textFill>
            <w14:solidFill>
              <w14:schemeClr w14:val="tx1"/>
            </w14:solidFill>
          </w14:textFill>
        </w:rPr>
        <w:t>。</w:t>
      </w:r>
    </w:p>
    <w:p>
      <w:pPr>
        <w:spacing w:line="420" w:lineRule="exact"/>
        <w:ind w:firstLine="495"/>
        <w:jc w:val="both"/>
        <w:rPr>
          <w:rFonts w:ascii="宋体" w:hAnsi="宋体" w:eastAsia="宋体" w:cs="宋体"/>
          <w:strike/>
          <w:color w:val="000000" w:themeColor="text1"/>
          <w:position w:val="1"/>
          <w:sz w:val="24"/>
          <w:szCs w:val="24"/>
          <w14:textFill>
            <w14:solidFill>
              <w14:schemeClr w14:val="tx1"/>
            </w14:solidFill>
          </w14:textFill>
        </w:rPr>
      </w:pPr>
      <w:r>
        <w:rPr>
          <w:rFonts w:hint="eastAsia" w:ascii="宋体" w:hAnsi="宋体" w:eastAsia="宋体" w:cs="宋体"/>
          <w:strike/>
          <w:color w:val="000000" w:themeColor="text1"/>
          <w:position w:val="1"/>
          <w:sz w:val="24"/>
          <w:szCs w:val="24"/>
          <w14:textFill>
            <w14:solidFill>
              <w14:schemeClr w14:val="tx1"/>
            </w14:solidFill>
          </w14:textFill>
        </w:rPr>
        <w:t>4.3.3投标人修改或撤回已递交电子投标文件的通知，应按照本章第3.7.5项的要求加盖电子印章。电子招标投标交易平台收到通知后，即时向投标人发出确认回执通知。</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4.4</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投标文件的拒收情形</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详见投标人须知前附表。</w:t>
      </w:r>
    </w:p>
    <w:p>
      <w:pPr>
        <w:spacing w:line="420" w:lineRule="exact"/>
        <w:jc w:val="both"/>
        <w:outlineLvl w:val="2"/>
        <w:rPr>
          <w:rFonts w:ascii="宋体" w:hAnsi="宋体" w:eastAsia="宋体" w:cs="宋体"/>
          <w:color w:val="000000" w:themeColor="text1"/>
          <w:sz w:val="24"/>
          <w:szCs w:val="24"/>
          <w14:textFill>
            <w14:solidFill>
              <w14:schemeClr w14:val="tx1"/>
            </w14:solidFill>
          </w14:textFill>
        </w:rPr>
      </w:pPr>
      <w:r>
        <w:rPr>
          <w:rFonts w:ascii="宋体" w:hAnsi="宋体" w:eastAsia="宋体" w:cs="Calibri"/>
          <w:b/>
          <w:bCs/>
          <w:color w:val="000000" w:themeColor="text1"/>
          <w:sz w:val="24"/>
          <w:szCs w:val="24"/>
          <w14:textFill>
            <w14:solidFill>
              <w14:schemeClr w14:val="tx1"/>
            </w14:solidFill>
          </w14:textFill>
        </w:rPr>
        <w:t>5.</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开标程序</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5.1</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开标时间和地点、参加开标会议的要求</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招标人在投标人须知前附表第2.2.2项规定的投标截止时间(开标时间)和投标人须知前附表规定的地点公开开标，参加开标会议的要求见投标人须知前附表。</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5.2</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开标</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招标人（或招标代理机构）作为主持人，按下列程序进行开标：</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5.2.1</w:t>
      </w:r>
      <w:r>
        <w:rPr>
          <w:rFonts w:hint="eastAsia" w:ascii="宋体" w:hAnsi="宋体" w:eastAsia="宋体" w:cs="宋体"/>
          <w:color w:val="000000" w:themeColor="text1"/>
          <w:position w:val="1"/>
          <w:sz w:val="24"/>
          <w:szCs w:val="24"/>
          <w14:textFill>
            <w14:solidFill>
              <w14:schemeClr w14:val="tx1"/>
            </w14:solidFill>
          </w14:textFill>
        </w:rPr>
        <w:t>宣布开标开始及会场纪律；</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5.2.2</w:t>
      </w:r>
      <w:r>
        <w:rPr>
          <w:rFonts w:hint="eastAsia" w:ascii="宋体" w:hAnsi="宋体" w:eastAsia="宋体" w:cs="宋体"/>
          <w:color w:val="000000" w:themeColor="text1"/>
          <w:position w:val="1"/>
          <w:sz w:val="24"/>
          <w:szCs w:val="24"/>
          <w14:textFill>
            <w14:solidFill>
              <w14:schemeClr w14:val="tx1"/>
            </w14:solidFill>
          </w14:textFill>
        </w:rPr>
        <w:t>投标人在投标截止时间前递交投标文件撤回函的，招标人（或招标代理机构）宣读撤回函；</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5.2.3投标文件启封前，招标人代表检查投标文件的密封情况，招标人（或招标代理机构）宣布投标文件密封情况；</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5.2.4将投标文件送入评标室进行评审；</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5.2.5评审结束后，汇总评审结果；</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5.2.6招标人、监督人员等有关工作人员在开标记录上签字确认；</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5.2.7宣布评审或开标结果；</w:t>
      </w:r>
    </w:p>
    <w:p>
      <w:pPr>
        <w:spacing w:line="420" w:lineRule="exact"/>
        <w:ind w:firstLine="495"/>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5.2.8开标结束。</w:t>
      </w:r>
    </w:p>
    <w:p>
      <w:pPr>
        <w:spacing w:line="400" w:lineRule="exact"/>
        <w:jc w:val="both"/>
        <w:outlineLvl w:val="3"/>
        <w:rPr>
          <w:rFonts w:asciiTheme="minorEastAsia" w:hAnsiTheme="minorEastAsia" w:eastAsiaTheme="minorEastAsia"/>
          <w:b/>
          <w:bCs/>
          <w:strike/>
          <w:color w:val="000000" w:themeColor="text1"/>
          <w:sz w:val="24"/>
          <w:szCs w:val="24"/>
          <w14:textFill>
            <w14:solidFill>
              <w14:schemeClr w14:val="tx1"/>
            </w14:solidFill>
          </w14:textFill>
        </w:rPr>
      </w:pPr>
      <w:r>
        <w:rPr>
          <w:rFonts w:hint="eastAsia" w:asciiTheme="minorEastAsia" w:hAnsiTheme="minorEastAsia" w:eastAsiaTheme="minorEastAsia"/>
          <w:b/>
          <w:bCs/>
          <w:strike/>
          <w:color w:val="000000" w:themeColor="text1"/>
          <w:sz w:val="24"/>
          <w:szCs w:val="24"/>
          <w14:textFill>
            <w14:solidFill>
              <w14:schemeClr w14:val="tx1"/>
            </w14:solidFill>
          </w14:textFill>
        </w:rPr>
        <w:t>5.3不见面开标软硬件要求</w:t>
      </w:r>
    </w:p>
    <w:p>
      <w:pPr>
        <w:spacing w:line="400" w:lineRule="exact"/>
        <w:ind w:firstLine="480" w:firstLineChars="200"/>
        <w:rPr>
          <w:rFonts w:asciiTheme="minorEastAsia" w:hAnsiTheme="minorEastAsia" w:eastAsiaTheme="minorEastAsia"/>
          <w:bCs/>
          <w:strike/>
          <w:color w:val="000000" w:themeColor="text1"/>
          <w:sz w:val="24"/>
          <w:szCs w:val="24"/>
          <w14:textFill>
            <w14:solidFill>
              <w14:schemeClr w14:val="tx1"/>
            </w14:solidFill>
          </w14:textFill>
        </w:rPr>
      </w:pPr>
      <w:r>
        <w:rPr>
          <w:rFonts w:hint="eastAsia" w:asciiTheme="minorEastAsia" w:hAnsiTheme="minorEastAsia" w:eastAsiaTheme="minorEastAsia"/>
          <w:bCs/>
          <w:strike/>
          <w:color w:val="000000" w:themeColor="text1"/>
          <w:sz w:val="24"/>
          <w:szCs w:val="24"/>
          <w14:textFill>
            <w14:solidFill>
              <w14:schemeClr w14:val="tx1"/>
            </w14:solidFill>
          </w14:textFill>
        </w:rPr>
        <w:t>（一）建议电脑配置：4G以上内存，MicrosoftWindows7以上操作系统，正版office软件，及相应的配套硬件设备（摄像头、耳机、麦克风等）。</w:t>
      </w:r>
    </w:p>
    <w:p>
      <w:pPr>
        <w:spacing w:line="400" w:lineRule="exact"/>
        <w:ind w:firstLine="480" w:firstLineChars="200"/>
        <w:rPr>
          <w:rFonts w:asciiTheme="minorEastAsia" w:hAnsiTheme="minorEastAsia" w:eastAsiaTheme="minorEastAsia"/>
          <w:bCs/>
          <w:strike/>
          <w:color w:val="000000" w:themeColor="text1"/>
          <w:sz w:val="24"/>
          <w:szCs w:val="24"/>
          <w14:textFill>
            <w14:solidFill>
              <w14:schemeClr w14:val="tx1"/>
            </w14:solidFill>
          </w14:textFill>
        </w:rPr>
      </w:pPr>
      <w:r>
        <w:rPr>
          <w:rFonts w:hint="eastAsia" w:asciiTheme="minorEastAsia" w:hAnsiTheme="minorEastAsia" w:eastAsiaTheme="minorEastAsia"/>
          <w:bCs/>
          <w:strike/>
          <w:color w:val="000000" w:themeColor="text1"/>
          <w:sz w:val="24"/>
          <w:szCs w:val="24"/>
          <w14:textFill>
            <w14:solidFill>
              <w14:schemeClr w14:val="tx1"/>
            </w14:solidFill>
          </w14:textFill>
        </w:rPr>
        <w:t>（二） 50M 以上网络带宽连接。</w:t>
      </w:r>
    </w:p>
    <w:p>
      <w:pPr>
        <w:spacing w:line="400" w:lineRule="exact"/>
        <w:ind w:firstLine="480" w:firstLineChars="200"/>
        <w:rPr>
          <w:rFonts w:asciiTheme="minorEastAsia" w:hAnsiTheme="minorEastAsia" w:eastAsiaTheme="minorEastAsia"/>
          <w:bCs/>
          <w:strike/>
          <w:color w:val="000000" w:themeColor="text1"/>
          <w:sz w:val="24"/>
          <w:szCs w:val="24"/>
          <w14:textFill>
            <w14:solidFill>
              <w14:schemeClr w14:val="tx1"/>
            </w14:solidFill>
          </w14:textFill>
        </w:rPr>
      </w:pPr>
      <w:r>
        <w:rPr>
          <w:rFonts w:hint="eastAsia" w:asciiTheme="minorEastAsia" w:hAnsiTheme="minorEastAsia" w:eastAsiaTheme="minorEastAsia"/>
          <w:bCs/>
          <w:strike/>
          <w:color w:val="000000" w:themeColor="text1"/>
          <w:sz w:val="24"/>
          <w:szCs w:val="24"/>
          <w14:textFill>
            <w14:solidFill>
              <w14:schemeClr w14:val="tx1"/>
            </w14:solidFill>
          </w14:textFill>
        </w:rPr>
        <w:t>（三）安装浙江省公共资源交易CA签章互认驱动及开标大厅直播播放器。相关软件可在诸暨市公共资源电子交易平台（按各平台情况填写）下载专区页面下载。</w:t>
      </w:r>
    </w:p>
    <w:p>
      <w:pPr>
        <w:spacing w:line="400" w:lineRule="exact"/>
        <w:ind w:firstLine="480" w:firstLineChars="200"/>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strike/>
          <w:color w:val="000000" w:themeColor="text1"/>
          <w:sz w:val="24"/>
          <w:szCs w:val="24"/>
          <w14:textFill>
            <w14:solidFill>
              <w14:schemeClr w14:val="tx1"/>
            </w14:solidFill>
          </w14:textFill>
        </w:rPr>
        <w:t>（四）使用MicrosoftInternetExplorer11（IE 11）及以上浏览器，加入可信任站点，添加兼容性视图设置修改 Activex控件和插件设置，关闭弹出窗口拦截。</w:t>
      </w:r>
    </w:p>
    <w:p>
      <w:pPr>
        <w:spacing w:line="400" w:lineRule="exact"/>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5.4特殊情况的处置</w:t>
      </w:r>
    </w:p>
    <w:p>
      <w:pPr>
        <w:spacing w:line="400" w:lineRule="exact"/>
        <w:ind w:firstLine="480" w:firstLineChars="200"/>
        <w:rPr>
          <w:rFonts w:asciiTheme="minorEastAsia" w:hAnsiTheme="minorEastAsia" w:eastAsiaTheme="minorEastAsia"/>
          <w:bCs/>
          <w:strike/>
          <w:color w:val="000000" w:themeColor="text1"/>
          <w:sz w:val="24"/>
          <w:szCs w:val="24"/>
          <w14:textFill>
            <w14:solidFill>
              <w14:schemeClr w14:val="tx1"/>
            </w14:solidFill>
          </w14:textFill>
        </w:rPr>
      </w:pPr>
      <w:r>
        <w:rPr>
          <w:rFonts w:hint="eastAsia" w:asciiTheme="minorEastAsia" w:hAnsiTheme="minorEastAsia" w:eastAsiaTheme="minorEastAsia"/>
          <w:bCs/>
          <w:strike/>
          <w:color w:val="000000" w:themeColor="text1"/>
          <w:sz w:val="24"/>
          <w:szCs w:val="24"/>
          <w14:textFill>
            <w14:solidFill>
              <w14:schemeClr w14:val="tx1"/>
            </w14:solidFill>
          </w14:textFill>
        </w:rPr>
        <w:t>5.4.1特殊情况的处置</w:t>
      </w:r>
    </w:p>
    <w:p>
      <w:pPr>
        <w:spacing w:line="400" w:lineRule="exact"/>
        <w:ind w:firstLine="480" w:firstLineChars="200"/>
        <w:rPr>
          <w:rFonts w:asciiTheme="minorEastAsia" w:hAnsiTheme="minorEastAsia" w:eastAsiaTheme="minorEastAsia"/>
          <w:bCs/>
          <w:strike/>
          <w:color w:val="000000" w:themeColor="text1"/>
          <w:sz w:val="24"/>
          <w:szCs w:val="24"/>
          <w14:textFill>
            <w14:solidFill>
              <w14:schemeClr w14:val="tx1"/>
            </w14:solidFill>
          </w14:textFill>
        </w:rPr>
      </w:pPr>
      <w:r>
        <w:rPr>
          <w:rFonts w:hint="eastAsia" w:asciiTheme="minorEastAsia" w:hAnsiTheme="minorEastAsia" w:eastAsiaTheme="minorEastAsia"/>
          <w:bCs/>
          <w:strike/>
          <w:color w:val="000000" w:themeColor="text1"/>
          <w:sz w:val="24"/>
          <w:szCs w:val="24"/>
          <w14:textFill>
            <w14:solidFill>
              <w14:schemeClr w14:val="tx1"/>
            </w14:solidFill>
          </w14:textFill>
        </w:rPr>
        <w:t>（一）因网络、系统、电力等不可抗力因素延期开标的，需更新制作投标文件并按招标文件要求重新递交。</w:t>
      </w:r>
    </w:p>
    <w:p>
      <w:pPr>
        <w:spacing w:line="400" w:lineRule="exact"/>
        <w:ind w:firstLine="480" w:firstLineChars="200"/>
        <w:rPr>
          <w:rFonts w:asciiTheme="minorEastAsia" w:hAnsiTheme="minorEastAsia" w:eastAsiaTheme="minorEastAsia"/>
          <w:bCs/>
          <w:strike/>
          <w:color w:val="000000" w:themeColor="text1"/>
          <w:sz w:val="24"/>
          <w:szCs w:val="24"/>
          <w14:textFill>
            <w14:solidFill>
              <w14:schemeClr w14:val="tx1"/>
            </w14:solidFill>
          </w14:textFill>
        </w:rPr>
      </w:pPr>
      <w:r>
        <w:rPr>
          <w:rFonts w:hint="eastAsia" w:asciiTheme="minorEastAsia" w:hAnsiTheme="minorEastAsia" w:eastAsiaTheme="minorEastAsia"/>
          <w:bCs/>
          <w:strike/>
          <w:color w:val="000000" w:themeColor="text1"/>
          <w:sz w:val="24"/>
          <w:szCs w:val="24"/>
          <w14:textFill>
            <w14:solidFill>
              <w14:schemeClr w14:val="tx1"/>
            </w14:solidFill>
          </w14:textFill>
        </w:rPr>
        <w:t>（二）因电子交易系统故障、投标人数量过多等非投标人原因，导致投标文件不能在规定时间内完成解密的，招标人可向监管部门申请并征得同意后延长解密时间，告知在线的投标人。</w:t>
      </w:r>
    </w:p>
    <w:p>
      <w:pPr>
        <w:spacing w:line="400" w:lineRule="exact"/>
        <w:ind w:firstLine="480" w:firstLineChars="200"/>
        <w:rPr>
          <w:rFonts w:asciiTheme="minorEastAsia" w:hAnsiTheme="minorEastAsia" w:eastAsiaTheme="minorEastAsia"/>
          <w:bCs/>
          <w:strike/>
          <w:color w:val="000000" w:themeColor="text1"/>
          <w:sz w:val="24"/>
          <w:szCs w:val="24"/>
          <w14:textFill>
            <w14:solidFill>
              <w14:schemeClr w14:val="tx1"/>
            </w14:solidFill>
          </w14:textFill>
        </w:rPr>
      </w:pPr>
      <w:r>
        <w:rPr>
          <w:rFonts w:hint="eastAsia" w:asciiTheme="minorEastAsia" w:hAnsiTheme="minorEastAsia" w:eastAsiaTheme="minorEastAsia"/>
          <w:bCs/>
          <w:strike/>
          <w:color w:val="000000" w:themeColor="text1"/>
          <w:sz w:val="24"/>
          <w:szCs w:val="24"/>
          <w14:textFill>
            <w14:solidFill>
              <w14:schemeClr w14:val="tx1"/>
            </w14:solidFill>
          </w14:textFill>
        </w:rPr>
        <w:t>（三）投标人电脑终端的硬件设备和软件系统配置必须符合不见面开标技术要求并运行正常，否则投标人自行承担不利后果。</w:t>
      </w:r>
    </w:p>
    <w:p>
      <w:pPr>
        <w:spacing w:line="400" w:lineRule="exact"/>
        <w:ind w:firstLine="480" w:firstLineChars="200"/>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5.4.2开标特别说明</w:t>
      </w:r>
    </w:p>
    <w:p>
      <w:pPr>
        <w:spacing w:line="400" w:lineRule="exact"/>
        <w:ind w:firstLine="480" w:firstLineChars="200"/>
        <w:rPr>
          <w:rFonts w:asciiTheme="minorEastAsia" w:hAnsiTheme="minorEastAsia" w:eastAsiaTheme="minorEastAsia"/>
          <w:bCs/>
          <w:strike/>
          <w:color w:val="000000" w:themeColor="text1"/>
          <w:sz w:val="24"/>
          <w:szCs w:val="24"/>
          <w14:textFill>
            <w14:solidFill>
              <w14:schemeClr w14:val="tx1"/>
            </w14:solidFill>
          </w14:textFill>
        </w:rPr>
      </w:pPr>
      <w:r>
        <w:rPr>
          <w:rFonts w:hint="eastAsia" w:asciiTheme="minorEastAsia" w:hAnsiTheme="minorEastAsia" w:eastAsiaTheme="minorEastAsia"/>
          <w:bCs/>
          <w:strike/>
          <w:color w:val="000000" w:themeColor="text1"/>
          <w:sz w:val="24"/>
          <w:szCs w:val="24"/>
          <w14:textFill>
            <w14:solidFill>
              <w14:schemeClr w14:val="tx1"/>
            </w14:solidFill>
          </w14:textFill>
        </w:rPr>
        <w:t>（一）开标解密使用投标人上传的加密电子投标文件。</w:t>
      </w:r>
    </w:p>
    <w:p>
      <w:pPr>
        <w:spacing w:line="400" w:lineRule="exact"/>
        <w:ind w:firstLine="480" w:firstLineChars="200"/>
        <w:rPr>
          <w:rFonts w:asciiTheme="minorEastAsia" w:hAnsiTheme="minorEastAsia" w:eastAsiaTheme="minorEastAsia"/>
          <w:bCs/>
          <w:strike/>
          <w:color w:val="000000" w:themeColor="text1"/>
          <w:sz w:val="24"/>
          <w:szCs w:val="24"/>
          <w14:textFill>
            <w14:solidFill>
              <w14:schemeClr w14:val="tx1"/>
            </w14:solidFill>
          </w14:textFill>
        </w:rPr>
      </w:pPr>
      <w:r>
        <w:rPr>
          <w:rFonts w:hint="eastAsia" w:asciiTheme="minorEastAsia" w:hAnsiTheme="minorEastAsia" w:eastAsiaTheme="minorEastAsia"/>
          <w:bCs/>
          <w:strike/>
          <w:color w:val="000000" w:themeColor="text1"/>
          <w:sz w:val="24"/>
          <w:szCs w:val="24"/>
          <w14:textFill>
            <w14:solidFill>
              <w14:schemeClr w14:val="tx1"/>
            </w14:solidFill>
          </w14:textFill>
        </w:rPr>
        <w:t>（二）因投标人原因造成其电子文件未解密的，视为撤销其投标文件；投标截止时间前未完成投标文件传输的，视为撤回其投标文件；因投标人之外的原因造成电子投标文件未解密的，视为撤回其投标文件。</w:t>
      </w:r>
    </w:p>
    <w:p>
      <w:pPr>
        <w:spacing w:line="400" w:lineRule="exact"/>
        <w:ind w:firstLine="480" w:firstLineChars="200"/>
        <w:rPr>
          <w:rFonts w:asciiTheme="minorEastAsia" w:hAnsiTheme="minorEastAsia" w:eastAsiaTheme="minorEastAsia"/>
          <w:bCs/>
          <w:strike/>
          <w:color w:val="000000" w:themeColor="text1"/>
          <w:sz w:val="24"/>
          <w:szCs w:val="24"/>
          <w14:textFill>
            <w14:solidFill>
              <w14:schemeClr w14:val="tx1"/>
            </w14:solidFill>
          </w14:textFill>
        </w:rPr>
      </w:pPr>
      <w:r>
        <w:rPr>
          <w:rFonts w:hint="eastAsia" w:asciiTheme="minorEastAsia" w:hAnsiTheme="minorEastAsia" w:eastAsiaTheme="minorEastAsia"/>
          <w:bCs/>
          <w:strike/>
          <w:color w:val="000000" w:themeColor="text1"/>
          <w:sz w:val="24"/>
          <w:szCs w:val="24"/>
          <w14:textFill>
            <w14:solidFill>
              <w14:schemeClr w14:val="tx1"/>
            </w14:solidFill>
          </w14:textFill>
        </w:rPr>
        <w:t>（三）部分投标人的电子文件无法解密的，其他投标文件的开标可以继续进行。</w:t>
      </w:r>
    </w:p>
    <w:p>
      <w:pPr>
        <w:spacing w:line="400" w:lineRule="exact"/>
        <w:ind w:firstLine="480" w:firstLineChars="200"/>
        <w:rPr>
          <w:rFonts w:asciiTheme="minorEastAsia" w:hAnsiTheme="minorEastAsia" w:eastAsiaTheme="minorEastAsia"/>
          <w:bCs/>
          <w:strike/>
          <w:color w:val="000000" w:themeColor="text1"/>
          <w:sz w:val="24"/>
          <w:szCs w:val="24"/>
          <w14:textFill>
            <w14:solidFill>
              <w14:schemeClr w14:val="tx1"/>
            </w14:solidFill>
          </w14:textFill>
        </w:rPr>
      </w:pPr>
      <w:r>
        <w:rPr>
          <w:rFonts w:hint="eastAsia" w:asciiTheme="minorEastAsia" w:hAnsiTheme="minorEastAsia" w:eastAsiaTheme="minorEastAsia"/>
          <w:bCs/>
          <w:strike/>
          <w:color w:val="000000" w:themeColor="text1"/>
          <w:sz w:val="24"/>
          <w:szCs w:val="24"/>
          <w14:textFill>
            <w14:solidFill>
              <w14:schemeClr w14:val="tx1"/>
            </w14:solidFill>
          </w14:textFill>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pPr>
        <w:spacing w:line="400" w:lineRule="exact"/>
        <w:ind w:firstLine="480" w:firstLineChars="200"/>
        <w:rPr>
          <w:rFonts w:asciiTheme="minorEastAsia" w:hAnsiTheme="minorEastAsia" w:eastAsiaTheme="minorEastAsia"/>
          <w:bCs/>
          <w:strike/>
          <w:color w:val="000000" w:themeColor="text1"/>
          <w:sz w:val="24"/>
          <w:szCs w:val="24"/>
          <w14:textFill>
            <w14:solidFill>
              <w14:schemeClr w14:val="tx1"/>
            </w14:solidFill>
          </w14:textFill>
        </w:rPr>
      </w:pPr>
      <w:r>
        <w:rPr>
          <w:rFonts w:hint="eastAsia" w:asciiTheme="minorEastAsia" w:hAnsiTheme="minorEastAsia" w:eastAsiaTheme="minorEastAsia"/>
          <w:bCs/>
          <w:strike/>
          <w:color w:val="000000" w:themeColor="text1"/>
          <w:sz w:val="24"/>
          <w:szCs w:val="24"/>
          <w14:textFill>
            <w14:solidFill>
              <w14:schemeClr w14:val="tx1"/>
            </w14:solidFill>
          </w14:textFill>
        </w:rPr>
        <w:t>（五）投标人应实时关注不见面开标系统页面，观看开标全过程，并根据需要，使用不见面开标系统与招标人进行互动交流、澄清、异议、投标文件解密等活动。投标人登录不见面开标系统，参与在线开标活动，均被视为是投标人的法定代表人或其委托代理人，承担相应的法律责任。</w:t>
      </w:r>
    </w:p>
    <w:p>
      <w:pPr>
        <w:spacing w:line="400" w:lineRule="exact"/>
        <w:ind w:firstLine="480" w:firstLineChars="200"/>
        <w:rPr>
          <w:rFonts w:asciiTheme="minorEastAsia" w:hAnsiTheme="minorEastAsia" w:eastAsiaTheme="minorEastAsia"/>
          <w:bCs/>
          <w:strike/>
          <w:color w:val="000000" w:themeColor="text1"/>
          <w:sz w:val="24"/>
          <w:szCs w:val="24"/>
          <w14:textFill>
            <w14:solidFill>
              <w14:schemeClr w14:val="tx1"/>
            </w14:solidFill>
          </w14:textFill>
        </w:rPr>
      </w:pPr>
      <w:r>
        <w:rPr>
          <w:rFonts w:hint="eastAsia" w:asciiTheme="minorEastAsia" w:hAnsiTheme="minorEastAsia" w:eastAsiaTheme="minorEastAsia"/>
          <w:bCs/>
          <w:strike/>
          <w:color w:val="000000" w:themeColor="text1"/>
          <w:sz w:val="24"/>
          <w:szCs w:val="24"/>
          <w14:textFill>
            <w14:solidFill>
              <w14:schemeClr w14:val="tx1"/>
            </w14:solidFill>
          </w14:textFill>
        </w:rPr>
        <w:t>未及时登录不见面开标系统参与在线开标，投标人将无法及时获取解密指令、废标、澄清、唱标、评审结果等实时情况。投标人应自行承担由此引起的相关风险。</w:t>
      </w:r>
    </w:p>
    <w:p>
      <w:pPr>
        <w:spacing w:line="400" w:lineRule="exact"/>
        <w:ind w:firstLine="470" w:firstLineChars="196"/>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5.4.3其他:见投标人须知前附表。</w:t>
      </w:r>
    </w:p>
    <w:p>
      <w:pPr>
        <w:widowControl w:val="0"/>
        <w:kinsoku/>
        <w:autoSpaceDE/>
        <w:autoSpaceDN/>
        <w:adjustRightInd/>
        <w:snapToGrid/>
        <w:spacing w:line="360" w:lineRule="auto"/>
        <w:jc w:val="both"/>
        <w:textAlignment w:val="auto"/>
        <w:outlineLvl w:val="1"/>
        <w:rPr>
          <w:rFonts w:ascii="宋体" w:hAnsi="宋体" w:eastAsia="宋体" w:cs="Times New Roman"/>
          <w:b/>
          <w:bCs/>
          <w:snapToGrid/>
          <w:kern w:val="2"/>
          <w:sz w:val="24"/>
          <w:szCs w:val="24"/>
        </w:rPr>
      </w:pPr>
      <w:bookmarkStart w:id="5" w:name="_Toc153981473"/>
      <w:bookmarkStart w:id="6" w:name="_Toc9230"/>
      <w:bookmarkStart w:id="7" w:name="_Toc22922"/>
      <w:bookmarkStart w:id="8" w:name="_Toc24644"/>
      <w:bookmarkStart w:id="9" w:name="_Toc25932"/>
      <w:bookmarkStart w:id="10" w:name="_Toc24695"/>
      <w:bookmarkStart w:id="11" w:name="_Toc24156"/>
      <w:bookmarkStart w:id="12" w:name="_Toc462184031"/>
      <w:bookmarkStart w:id="13" w:name="_Toc15636"/>
      <w:bookmarkStart w:id="14" w:name="_Toc27905"/>
      <w:bookmarkStart w:id="15" w:name="_Toc16092"/>
      <w:bookmarkStart w:id="16" w:name="_Toc31702"/>
      <w:bookmarkStart w:id="17" w:name="_Toc22455"/>
      <w:r>
        <w:rPr>
          <w:rFonts w:hint="eastAsia" w:ascii="宋体" w:hAnsi="宋体" w:eastAsia="宋体" w:cs="Times New Roman"/>
          <w:b/>
          <w:bCs/>
          <w:snapToGrid/>
          <w:kern w:val="2"/>
          <w:sz w:val="24"/>
          <w:szCs w:val="24"/>
        </w:rPr>
        <w:t>6</w:t>
      </w:r>
      <w:r>
        <w:rPr>
          <w:rFonts w:ascii="宋体" w:hAnsi="宋体" w:eastAsia="宋体" w:cs="Times New Roman"/>
          <w:b/>
          <w:bCs/>
          <w:snapToGrid/>
          <w:kern w:val="2"/>
          <w:sz w:val="24"/>
          <w:szCs w:val="24"/>
        </w:rPr>
        <w:t xml:space="preserve">. </w:t>
      </w:r>
      <w:r>
        <w:rPr>
          <w:rFonts w:hint="eastAsia" w:ascii="宋体" w:hAnsi="宋体" w:eastAsia="宋体" w:cs="Times New Roman"/>
          <w:b/>
          <w:bCs/>
          <w:snapToGrid/>
          <w:kern w:val="2"/>
          <w:sz w:val="24"/>
          <w:szCs w:val="24"/>
        </w:rPr>
        <w:t>评标</w:t>
      </w:r>
      <w:bookmarkEnd w:id="5"/>
      <w:bookmarkEnd w:id="6"/>
      <w:bookmarkEnd w:id="7"/>
      <w:bookmarkEnd w:id="8"/>
      <w:bookmarkEnd w:id="9"/>
      <w:bookmarkEnd w:id="10"/>
      <w:bookmarkEnd w:id="11"/>
      <w:bookmarkEnd w:id="12"/>
      <w:bookmarkEnd w:id="13"/>
      <w:bookmarkEnd w:id="14"/>
      <w:bookmarkEnd w:id="15"/>
      <w:bookmarkEnd w:id="16"/>
      <w:bookmarkEnd w:id="17"/>
    </w:p>
    <w:p>
      <w:pPr>
        <w:widowControl w:val="0"/>
        <w:kinsoku/>
        <w:autoSpaceDE/>
        <w:autoSpaceDN/>
        <w:adjustRightInd/>
        <w:snapToGrid/>
        <w:spacing w:line="360" w:lineRule="auto"/>
        <w:jc w:val="both"/>
        <w:textAlignment w:val="auto"/>
        <w:rPr>
          <w:rFonts w:ascii="宋体" w:hAnsi="Times New Roman" w:eastAsia="宋体" w:cs="Times New Roman"/>
          <w:b/>
          <w:snapToGrid/>
          <w:kern w:val="2"/>
          <w:sz w:val="24"/>
          <w:szCs w:val="24"/>
        </w:rPr>
      </w:pPr>
      <w:bookmarkStart w:id="18" w:name="_Toc193449944"/>
      <w:r>
        <w:rPr>
          <w:rFonts w:hint="eastAsia" w:ascii="宋体" w:hAnsi="Times New Roman" w:eastAsia="宋体" w:cs="Times New Roman"/>
          <w:b/>
          <w:snapToGrid/>
          <w:kern w:val="2"/>
          <w:sz w:val="24"/>
          <w:szCs w:val="24"/>
        </w:rPr>
        <w:t>6.1 评标委员会</w:t>
      </w:r>
      <w:bookmarkEnd w:id="18"/>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6.1.1评标由招标人依法组建的评标委员会负责。评标委员会由招标人代表和有关技术、经济等方面的评标专家组成。评标委员会成员人数以及技术、经济等方面专家的确定方式见投标人须知前附表规定。</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6.1.2 评标委员会成员有下列情形之一的，应当回避：</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6.1.2.1 投标人或投标人的主要负责人及其拟派项目负责人的近亲属；</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6.1.2.2 项目主管部门或者行政监督部门的人员：</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6.1.2.3 与投标人有经济利益关系，可能影响对投标公正评审的；</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6.1.2.4 曾因在招标、评标以及其他与招标投标有关活动中有过不良行为或从事违法行为而受过行政处罚或刑事处罚的。</w:t>
      </w:r>
    </w:p>
    <w:p>
      <w:pPr>
        <w:widowControl w:val="0"/>
        <w:kinsoku/>
        <w:autoSpaceDE/>
        <w:autoSpaceDN/>
        <w:adjustRightInd/>
        <w:snapToGrid/>
        <w:spacing w:line="360" w:lineRule="auto"/>
        <w:jc w:val="both"/>
        <w:textAlignment w:val="auto"/>
        <w:rPr>
          <w:rFonts w:ascii="宋体" w:hAnsi="Times New Roman" w:eastAsia="宋体" w:cs="Times New Roman"/>
          <w:b/>
          <w:snapToGrid/>
          <w:kern w:val="2"/>
          <w:sz w:val="24"/>
          <w:szCs w:val="24"/>
        </w:rPr>
      </w:pPr>
      <w:bookmarkStart w:id="19" w:name="_Toc193449945"/>
      <w:r>
        <w:rPr>
          <w:rFonts w:hint="eastAsia" w:ascii="宋体" w:hAnsi="Times New Roman" w:eastAsia="宋体" w:cs="Times New Roman"/>
          <w:b/>
          <w:snapToGrid/>
          <w:kern w:val="2"/>
          <w:sz w:val="24"/>
          <w:szCs w:val="24"/>
        </w:rPr>
        <w:t xml:space="preserve">6.2 评标原则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评标活动遵循公平、公正、科学、择优的原则。</w:t>
      </w:r>
    </w:p>
    <w:p>
      <w:pPr>
        <w:widowControl w:val="0"/>
        <w:kinsoku/>
        <w:autoSpaceDE/>
        <w:autoSpaceDN/>
        <w:adjustRightInd/>
        <w:snapToGrid/>
        <w:spacing w:line="360" w:lineRule="auto"/>
        <w:jc w:val="both"/>
        <w:textAlignment w:val="auto"/>
        <w:rPr>
          <w:rFonts w:ascii="宋体" w:hAnsi="Times New Roman" w:eastAsia="宋体" w:cs="Times New Roman"/>
          <w:b/>
          <w:snapToGrid/>
          <w:kern w:val="2"/>
          <w:sz w:val="24"/>
          <w:szCs w:val="24"/>
        </w:rPr>
      </w:pPr>
      <w:r>
        <w:rPr>
          <w:rFonts w:hint="eastAsia" w:ascii="宋体" w:hAnsi="Times New Roman" w:eastAsia="宋体" w:cs="Times New Roman"/>
          <w:b/>
          <w:snapToGrid/>
          <w:kern w:val="2"/>
          <w:sz w:val="24"/>
          <w:szCs w:val="24"/>
        </w:rPr>
        <w:t>6.3 评标过程的保密</w:t>
      </w:r>
      <w:bookmarkEnd w:id="19"/>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6.3.1 开标后，直至授予中标人合同为止，凡属于对投标文件的审查、澄清、评价和比较的有关资料，以及与评标有关的其他任何情况均应严格保密。</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6.3.2 在投标文件的评审和比较、中标候选人推荐以及授予合同的过程中，投标人向招标人和评标委员会施加影响的任何行为，都将会导致其投标被拒绝。</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6.3.3 中标人确定后，招标人不对未中标人就评标过程以及未能中标原因作出任何解释。</w:t>
      </w:r>
    </w:p>
    <w:p>
      <w:pPr>
        <w:widowControl w:val="0"/>
        <w:kinsoku/>
        <w:autoSpaceDE/>
        <w:autoSpaceDN/>
        <w:adjustRightInd/>
        <w:snapToGrid/>
        <w:spacing w:line="360" w:lineRule="auto"/>
        <w:jc w:val="both"/>
        <w:textAlignment w:val="auto"/>
        <w:rPr>
          <w:rFonts w:ascii="宋体" w:hAnsi="Times New Roman" w:eastAsia="宋体" w:cs="Times New Roman"/>
          <w:b/>
          <w:snapToGrid/>
          <w:kern w:val="2"/>
          <w:sz w:val="24"/>
          <w:szCs w:val="24"/>
        </w:rPr>
      </w:pPr>
      <w:bookmarkStart w:id="20" w:name="_Toc193449946"/>
      <w:r>
        <w:rPr>
          <w:rFonts w:hint="eastAsia" w:ascii="宋体" w:hAnsi="Times New Roman" w:eastAsia="宋体" w:cs="Times New Roman"/>
          <w:b/>
          <w:snapToGrid/>
          <w:kern w:val="2"/>
          <w:sz w:val="24"/>
          <w:szCs w:val="24"/>
        </w:rPr>
        <w:t>6.4 评标</w:t>
      </w:r>
      <w:bookmarkEnd w:id="20"/>
    </w:p>
    <w:p>
      <w:pPr>
        <w:widowControl w:val="0"/>
        <w:kinsoku/>
        <w:autoSpaceDE/>
        <w:autoSpaceDN/>
        <w:adjustRightInd/>
        <w:snapToGrid/>
        <w:spacing w:line="360" w:lineRule="auto"/>
        <w:ind w:firstLine="480" w:firstLineChars="200"/>
        <w:jc w:val="both"/>
        <w:textAlignment w:val="auto"/>
        <w:rPr>
          <w:rFonts w:ascii="宋体" w:hAnsi="宋体" w:eastAsia="宋体" w:cs="Times New Roman"/>
          <w:snapToGrid/>
          <w:kern w:val="2"/>
          <w:sz w:val="24"/>
          <w:szCs w:val="24"/>
        </w:rPr>
      </w:pPr>
      <w:r>
        <w:rPr>
          <w:rFonts w:hint="eastAsia" w:ascii="宋体" w:hAnsi="宋体" w:eastAsia="宋体" w:cs="Times New Roman"/>
          <w:snapToGrid/>
          <w:kern w:val="2"/>
          <w:sz w:val="24"/>
          <w:szCs w:val="24"/>
        </w:rPr>
        <w:t>6.4.1评标委员会按照投标人须知前附表规定的评标办法（详见第三章“评标办法”规定的方法、评审因素、标准和程序）对投标文件进行评审。第三章“评标办法”未规定的方法、评审因素和标准，不作为评标依据。</w:t>
      </w:r>
    </w:p>
    <w:p>
      <w:pPr>
        <w:widowControl w:val="0"/>
        <w:kinsoku/>
        <w:autoSpaceDE/>
        <w:autoSpaceDN/>
        <w:adjustRightInd/>
        <w:snapToGrid/>
        <w:spacing w:line="360" w:lineRule="auto"/>
        <w:ind w:firstLine="480" w:firstLineChars="200"/>
        <w:jc w:val="both"/>
        <w:textAlignment w:val="auto"/>
        <w:rPr>
          <w:rFonts w:ascii="宋体" w:hAnsi="宋体" w:eastAsia="宋体" w:cs="Times New Roman"/>
          <w:snapToGrid/>
          <w:kern w:val="2"/>
          <w:sz w:val="24"/>
          <w:szCs w:val="24"/>
        </w:rPr>
      </w:pPr>
      <w:r>
        <w:rPr>
          <w:rFonts w:ascii="宋体" w:hAnsi="宋体" w:eastAsia="宋体" w:cs="Times New Roman"/>
          <w:snapToGrid/>
          <w:kern w:val="2"/>
          <w:sz w:val="24"/>
          <w:szCs w:val="24"/>
        </w:rPr>
        <w:t>6.</w:t>
      </w:r>
      <w:r>
        <w:rPr>
          <w:rFonts w:hint="eastAsia" w:ascii="宋体" w:hAnsi="宋体" w:eastAsia="宋体" w:cs="Times New Roman"/>
          <w:snapToGrid/>
          <w:kern w:val="2"/>
          <w:sz w:val="24"/>
          <w:szCs w:val="24"/>
        </w:rPr>
        <w:t>4</w:t>
      </w:r>
      <w:r>
        <w:rPr>
          <w:rFonts w:ascii="宋体" w:hAnsi="宋体" w:eastAsia="宋体" w:cs="Times New Roman"/>
          <w:snapToGrid/>
          <w:kern w:val="2"/>
          <w:sz w:val="24"/>
          <w:szCs w:val="24"/>
        </w:rPr>
        <w:t>.2评标完成后，评标委员会应当向招标人提交书面评标报告和中标候选人名单。评标委员会推荐中标候选人的人数见投标人须知前附表。</w:t>
      </w:r>
    </w:p>
    <w:p>
      <w:pPr>
        <w:keepNext/>
        <w:keepLines/>
        <w:widowControl w:val="0"/>
        <w:kinsoku/>
        <w:autoSpaceDE/>
        <w:autoSpaceDN/>
        <w:adjustRightInd/>
        <w:snapToGrid/>
        <w:spacing w:before="120" w:beforeLines="50" w:line="360" w:lineRule="auto"/>
        <w:jc w:val="both"/>
        <w:textAlignment w:val="auto"/>
        <w:outlineLvl w:val="1"/>
        <w:rPr>
          <w:rFonts w:ascii="宋体" w:hAnsi="宋体" w:eastAsia="宋体" w:cs="Times New Roman"/>
          <w:b/>
          <w:bCs/>
          <w:snapToGrid/>
          <w:kern w:val="2"/>
          <w:sz w:val="24"/>
          <w:szCs w:val="24"/>
        </w:rPr>
      </w:pPr>
      <w:bookmarkStart w:id="21" w:name="_Toc153981474"/>
      <w:bookmarkStart w:id="22" w:name="_Toc17051"/>
      <w:bookmarkStart w:id="23" w:name="_Toc29415"/>
      <w:bookmarkStart w:id="24" w:name="_Toc7704"/>
      <w:bookmarkStart w:id="25" w:name="_Toc13493"/>
      <w:bookmarkStart w:id="26" w:name="_Toc8865"/>
      <w:bookmarkStart w:id="27" w:name="_Toc12652"/>
      <w:bookmarkStart w:id="28" w:name="_Toc28621"/>
      <w:bookmarkStart w:id="29" w:name="_Toc18956"/>
      <w:bookmarkStart w:id="30" w:name="_Toc21714"/>
      <w:bookmarkStart w:id="31" w:name="_Toc462184032"/>
      <w:bookmarkStart w:id="32" w:name="_Toc11303"/>
      <w:bookmarkStart w:id="33" w:name="_Toc28153"/>
      <w:r>
        <w:rPr>
          <w:rFonts w:hint="eastAsia" w:ascii="宋体" w:hAnsi="宋体" w:eastAsia="宋体" w:cs="Times New Roman"/>
          <w:b/>
          <w:bCs/>
          <w:snapToGrid/>
          <w:kern w:val="2"/>
          <w:sz w:val="24"/>
          <w:szCs w:val="24"/>
        </w:rPr>
        <w:t>7</w:t>
      </w:r>
      <w:r>
        <w:rPr>
          <w:rFonts w:ascii="宋体" w:hAnsi="宋体" w:eastAsia="宋体" w:cs="Times New Roman"/>
          <w:b/>
          <w:bCs/>
          <w:snapToGrid/>
          <w:kern w:val="2"/>
          <w:sz w:val="24"/>
          <w:szCs w:val="24"/>
        </w:rPr>
        <w:t xml:space="preserve">. </w:t>
      </w:r>
      <w:r>
        <w:rPr>
          <w:rFonts w:hint="eastAsia" w:ascii="宋体" w:hAnsi="宋体" w:eastAsia="宋体" w:cs="Times New Roman"/>
          <w:b/>
          <w:bCs/>
          <w:snapToGrid/>
          <w:kern w:val="2"/>
          <w:sz w:val="24"/>
          <w:szCs w:val="24"/>
        </w:rPr>
        <w:t>合同授予</w:t>
      </w:r>
      <w:bookmarkEnd w:id="21"/>
      <w:bookmarkEnd w:id="22"/>
      <w:bookmarkEnd w:id="23"/>
      <w:bookmarkEnd w:id="24"/>
      <w:bookmarkEnd w:id="25"/>
      <w:bookmarkEnd w:id="26"/>
      <w:bookmarkEnd w:id="27"/>
      <w:bookmarkEnd w:id="28"/>
      <w:bookmarkEnd w:id="29"/>
      <w:bookmarkEnd w:id="30"/>
      <w:bookmarkEnd w:id="31"/>
      <w:bookmarkEnd w:id="32"/>
      <w:bookmarkEnd w:id="33"/>
      <w:bookmarkStart w:id="34" w:name="_Toc193449947"/>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□7.1 定标方式</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授权评标委员会推荐中标候选人的见投标人须知前附表6.4.2。</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☑7.1 定标方式（</w:t>
      </w:r>
      <w:r>
        <w:rPr>
          <w:rFonts w:hint="eastAsia" w:ascii="宋体" w:hAnsi="宋体" w:eastAsia="宋体" w:cs="宋体"/>
          <w:snapToGrid/>
          <w:kern w:val="2"/>
          <w:sz w:val="24"/>
          <w:szCs w:val="24"/>
        </w:rPr>
        <w:t>适用“评定分离”</w:t>
      </w:r>
      <w:r>
        <w:rPr>
          <w:rFonts w:hint="eastAsia" w:ascii="宋体" w:hAnsi="Times New Roman" w:eastAsia="宋体" w:cs="Times New Roman"/>
          <w:snapToGrid/>
          <w:kern w:val="2"/>
          <w:sz w:val="24"/>
          <w:szCs w:val="24"/>
        </w:rPr>
        <w:t>）</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highlight w:val="none"/>
        </w:rPr>
      </w:pPr>
      <w:r>
        <w:rPr>
          <w:rFonts w:hint="eastAsia" w:ascii="宋体" w:hAnsi="Times New Roman" w:eastAsia="宋体" w:cs="Times New Roman"/>
          <w:snapToGrid/>
          <w:kern w:val="2"/>
          <w:sz w:val="24"/>
          <w:szCs w:val="24"/>
          <w:highlight w:val="none"/>
        </w:rPr>
        <w:t>按照《浙江省工程建设项目招标投标“评定分离”操作指引（试行）》（浙发改公管〔2023〕256 号）确定。</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7.1.1中标候选人公示</w:t>
      </w:r>
    </w:p>
    <w:p>
      <w:pPr>
        <w:widowControl w:val="0"/>
        <w:kinsoku/>
        <w:autoSpaceDE/>
        <w:autoSpaceDN/>
        <w:adjustRightInd/>
        <w:snapToGrid/>
        <w:spacing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对中标候选人的情况（有业绩、荣誉要求的，包括业绩、荣誉）在诸暨市公共资源交易网予以公示，公示期间招标人将对业绩及相关资质、证书原件等进行核查，公示期为3日。如遇国家法定休假日，应顺延至法定休假日后第一个工作日。</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7.1.2定标会议时间和地点</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招标人在投标须知前附表规定的时间和地点召</w:t>
      </w:r>
      <w:r>
        <w:rPr>
          <w:rFonts w:ascii="宋体" w:hAnsi="Times New Roman" w:eastAsia="宋体" w:cs="Times New Roman"/>
          <w:snapToGrid/>
          <w:kern w:val="2"/>
          <w:sz w:val="24"/>
          <w:szCs w:val="24"/>
        </w:rPr>
        <w:t>开定标会议，</w:t>
      </w:r>
      <w:r>
        <w:rPr>
          <w:rFonts w:hint="eastAsia" w:ascii="宋体" w:hAnsi="Times New Roman" w:eastAsia="宋体" w:cs="Times New Roman"/>
          <w:snapToGrid/>
          <w:kern w:val="2"/>
          <w:sz w:val="24"/>
          <w:szCs w:val="24"/>
        </w:rPr>
        <w:t>并全程录音录像。</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7.1.3 定标委员会的组成见投标人须知前附表。定标委员会成员与中标候选人有利害关系的应主动说明并申请回避，定</w:t>
      </w:r>
      <w:r>
        <w:rPr>
          <w:rFonts w:ascii="宋体" w:hAnsi="Times New Roman" w:eastAsia="宋体" w:cs="Times New Roman"/>
          <w:snapToGrid/>
          <w:kern w:val="2"/>
          <w:sz w:val="24"/>
          <w:szCs w:val="24"/>
        </w:rPr>
        <w:t>标委员会名单在中标结果确定前保密</w:t>
      </w:r>
      <w:r>
        <w:rPr>
          <w:rFonts w:hint="eastAsia" w:ascii="宋体" w:hAnsi="Times New Roman" w:eastAsia="宋体" w:cs="Times New Roman"/>
          <w:snapToGrid/>
          <w:kern w:val="2"/>
          <w:sz w:val="24"/>
          <w:szCs w:val="24"/>
        </w:rPr>
        <w:t>。</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7.1.4 定标要素</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7.1.4.1招标人可在投标须知前附表规定的时间前对所有中标候选人进行考</w:t>
      </w:r>
      <w:r>
        <w:rPr>
          <w:rFonts w:ascii="宋体" w:hAnsi="Times New Roman" w:eastAsia="宋体" w:cs="Times New Roman"/>
          <w:snapToGrid/>
          <w:kern w:val="2"/>
          <w:sz w:val="24"/>
          <w:szCs w:val="24"/>
        </w:rPr>
        <w:t>察、质询。考察、质询小组应由投标须知前附表规定的人数组成。考察、质询小组应如实记录考察、质询情况，并出具考察、质询报告作为定标要素之一。考察、质询报告应客观公正，不得有明示或暗示中标人的内容</w:t>
      </w:r>
      <w:r>
        <w:rPr>
          <w:rFonts w:hint="eastAsia" w:ascii="宋体" w:hAnsi="Times New Roman" w:eastAsia="宋体" w:cs="Times New Roman"/>
          <w:snapToGrid/>
          <w:kern w:val="2"/>
          <w:sz w:val="24"/>
          <w:szCs w:val="24"/>
        </w:rPr>
        <w:t>。本项目定标前是否进行考察</w:t>
      </w:r>
      <w:r>
        <w:rPr>
          <w:rFonts w:ascii="宋体" w:hAnsi="Times New Roman" w:eastAsia="宋体" w:cs="Times New Roman"/>
          <w:snapToGrid/>
          <w:kern w:val="2"/>
          <w:sz w:val="24"/>
          <w:szCs w:val="24"/>
        </w:rPr>
        <w:t>、质询</w:t>
      </w:r>
      <w:r>
        <w:rPr>
          <w:rFonts w:hint="eastAsia" w:ascii="宋体" w:hAnsi="Times New Roman" w:eastAsia="宋体" w:cs="Times New Roman"/>
          <w:snapToGrid/>
          <w:kern w:val="2"/>
          <w:sz w:val="24"/>
          <w:szCs w:val="24"/>
        </w:rPr>
        <w:t>：</w:t>
      </w:r>
      <w:r>
        <w:rPr>
          <w:rFonts w:hint="eastAsia" w:ascii="宋体" w:hAnsi="Times New Roman" w:eastAsia="宋体" w:cs="Times New Roman"/>
          <w:b/>
          <w:bCs/>
          <w:snapToGrid/>
          <w:kern w:val="2"/>
          <w:sz w:val="24"/>
          <w:szCs w:val="24"/>
          <w:u w:val="single"/>
        </w:rPr>
        <w:t>(否)</w:t>
      </w:r>
      <w:r>
        <w:rPr>
          <w:rFonts w:hint="eastAsia" w:ascii="宋体" w:hAnsi="Times New Roman" w:eastAsia="宋体" w:cs="Times New Roman"/>
          <w:snapToGrid/>
          <w:kern w:val="2"/>
          <w:sz w:val="24"/>
          <w:szCs w:val="24"/>
        </w:rPr>
        <w:t>。</w:t>
      </w:r>
    </w:p>
    <w:p>
      <w:pPr>
        <w:widowControl w:val="0"/>
        <w:kinsoku/>
        <w:autoSpaceDE/>
        <w:autoSpaceDN/>
        <w:adjustRightInd/>
        <w:snapToGrid/>
        <w:spacing w:line="360" w:lineRule="auto"/>
        <w:ind w:firstLine="480" w:firstLineChars="200"/>
        <w:jc w:val="both"/>
        <w:textAlignment w:val="auto"/>
        <w:rPr>
          <w:rFonts w:ascii="Times New Roman" w:hAnsi="Times New Roman" w:eastAsia="宋体" w:cs="Times New Roman"/>
          <w:snapToGrid/>
          <w:kern w:val="2"/>
          <w:sz w:val="24"/>
          <w:szCs w:val="24"/>
        </w:rPr>
      </w:pPr>
      <w:r>
        <w:rPr>
          <w:rFonts w:hint="eastAsia" w:ascii="宋体" w:hAnsi="Times New Roman" w:eastAsia="宋体" w:cs="Times New Roman"/>
          <w:snapToGrid/>
          <w:kern w:val="2"/>
          <w:sz w:val="24"/>
          <w:szCs w:val="24"/>
        </w:rPr>
        <w:t>7.1.4.2</w:t>
      </w:r>
      <w:r>
        <w:rPr>
          <w:rFonts w:ascii="宋体" w:hAnsi="Times New Roman" w:eastAsia="宋体" w:cs="Times New Roman"/>
          <w:snapToGrid/>
          <w:kern w:val="2"/>
          <w:sz w:val="24"/>
          <w:szCs w:val="24"/>
        </w:rPr>
        <w:t>招标人在定标阶段对中标候选人（联合体投标的，为联合体牵头人）的法定代表人</w:t>
      </w:r>
      <w:r>
        <w:rPr>
          <w:rFonts w:hint="eastAsia" w:ascii="宋体" w:hAnsi="Times New Roman" w:eastAsia="宋体" w:cs="Times New Roman"/>
          <w:snapToGrid/>
          <w:kern w:val="2"/>
          <w:sz w:val="24"/>
          <w:szCs w:val="24"/>
        </w:rPr>
        <w:t>、</w:t>
      </w:r>
      <w:r>
        <w:rPr>
          <w:rFonts w:ascii="宋体" w:hAnsi="Times New Roman" w:eastAsia="宋体" w:cs="Times New Roman"/>
          <w:snapToGrid/>
          <w:kern w:val="2"/>
          <w:sz w:val="24"/>
          <w:szCs w:val="24"/>
        </w:rPr>
        <w:t>拟派项目负责人开展现场面试。现场面试由定标委员会具体实施。</w:t>
      </w:r>
      <w:r>
        <w:rPr>
          <w:rFonts w:hint="eastAsia" w:ascii="宋体" w:hAnsi="Times New Roman" w:eastAsia="宋体" w:cs="Times New Roman"/>
          <w:snapToGrid/>
          <w:kern w:val="2"/>
          <w:sz w:val="24"/>
          <w:szCs w:val="24"/>
        </w:rPr>
        <w:t>本项目是否进行现场面试：</w:t>
      </w:r>
      <w:r>
        <w:rPr>
          <w:rFonts w:hint="eastAsia" w:ascii="宋体" w:hAnsi="Times New Roman" w:eastAsia="宋体" w:cs="Times New Roman"/>
          <w:b/>
          <w:bCs/>
          <w:snapToGrid/>
          <w:kern w:val="2"/>
          <w:sz w:val="24"/>
          <w:szCs w:val="24"/>
          <w:u w:val="single"/>
        </w:rPr>
        <w:t>(否)</w:t>
      </w:r>
      <w:r>
        <w:rPr>
          <w:rFonts w:hint="eastAsia" w:ascii="宋体" w:hAnsi="Times New Roman" w:eastAsia="宋体" w:cs="Times New Roman"/>
          <w:snapToGrid/>
          <w:kern w:val="2"/>
          <w:sz w:val="24"/>
          <w:szCs w:val="24"/>
        </w:rPr>
        <w:t>。</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7.</w:t>
      </w:r>
      <w:r>
        <w:rPr>
          <w:rFonts w:hint="eastAsia" w:ascii="宋体" w:hAnsi="Times New Roman" w:eastAsia="宋体" w:cs="Times New Roman"/>
          <w:snapToGrid/>
          <w:kern w:val="2"/>
          <w:sz w:val="24"/>
          <w:szCs w:val="24"/>
        </w:rPr>
        <w:t>1.4.3</w:t>
      </w:r>
      <w:r>
        <w:rPr>
          <w:rFonts w:ascii="宋体" w:hAnsi="Times New Roman" w:eastAsia="宋体" w:cs="Times New Roman"/>
          <w:snapToGrid/>
          <w:kern w:val="2"/>
          <w:sz w:val="24"/>
          <w:szCs w:val="24"/>
        </w:rPr>
        <w:t xml:space="preserve">定标要素应参考评标委员会评标报告、质询或考察报告、现场面试情况，此外，还可以包含以下要素：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 xml:space="preserve">（1）价格因素：主要包括商务报价高低、不平衡报价情况等；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 xml:space="preserve">（2）企业实力：主要包括企业规模、资质等级、专业技术人员规模、近年的财务状况、过往业绩（含业绩影响力、难易程度）等；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 xml:space="preserve">（3）企业信誉：主要包括企业信用情况、过往业绩履约情况、建设单位履约评价情况等（可查询全国和浙江省建筑市场监管公共服务系统等）；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（4）投标方案：主要包括</w:t>
      </w:r>
      <w:r>
        <w:rPr>
          <w:rFonts w:hint="eastAsia" w:ascii="宋体" w:hAnsi="Times New Roman" w:eastAsia="宋体" w:cs="Times New Roman"/>
          <w:snapToGrid/>
          <w:kern w:val="2"/>
          <w:sz w:val="24"/>
          <w:szCs w:val="24"/>
        </w:rPr>
        <w:t>设计方案</w:t>
      </w:r>
      <w:r>
        <w:rPr>
          <w:rFonts w:ascii="宋体" w:hAnsi="Times New Roman" w:eastAsia="宋体" w:cs="Times New Roman"/>
          <w:snapToGrid/>
          <w:kern w:val="2"/>
          <w:sz w:val="24"/>
          <w:szCs w:val="24"/>
        </w:rPr>
        <w:t>情况、</w:t>
      </w:r>
      <w:r>
        <w:rPr>
          <w:rFonts w:hint="eastAsia" w:ascii="宋体" w:hAnsi="Times New Roman" w:eastAsia="宋体" w:cs="Times New Roman"/>
          <w:snapToGrid/>
          <w:kern w:val="2"/>
          <w:sz w:val="24"/>
          <w:szCs w:val="24"/>
        </w:rPr>
        <w:t>设计</w:t>
      </w:r>
      <w:r>
        <w:rPr>
          <w:rFonts w:ascii="宋体" w:hAnsi="Times New Roman" w:eastAsia="宋体" w:cs="Times New Roman"/>
          <w:snapToGrid/>
          <w:kern w:val="2"/>
          <w:sz w:val="24"/>
          <w:szCs w:val="24"/>
        </w:rPr>
        <w:t xml:space="preserve">重难点解决方案等；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 xml:space="preserve">（5）拟派团队能力与水平：主要包括团队主要负责人类似工程业绩、拟派项目团队人员的资信实力等；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 xml:space="preserve">（6）联合体投标的，联合体组成情况；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w:t>
      </w:r>
      <w:r>
        <w:rPr>
          <w:rFonts w:hint="eastAsia" w:ascii="宋体" w:hAnsi="Times New Roman" w:eastAsia="宋体" w:cs="Times New Roman"/>
          <w:snapToGrid/>
          <w:kern w:val="2"/>
          <w:sz w:val="24"/>
          <w:szCs w:val="24"/>
        </w:rPr>
        <w:t>7</w:t>
      </w:r>
      <w:r>
        <w:rPr>
          <w:rFonts w:ascii="宋体" w:hAnsi="Times New Roman" w:eastAsia="宋体" w:cs="Times New Roman"/>
          <w:snapToGrid/>
          <w:kern w:val="2"/>
          <w:sz w:val="24"/>
          <w:szCs w:val="24"/>
        </w:rPr>
        <w:t>）招标人认为需要考量</w:t>
      </w:r>
      <w:r>
        <w:rPr>
          <w:rFonts w:hint="eastAsia" w:ascii="宋体" w:hAnsi="Times New Roman" w:eastAsia="宋体" w:cs="Times New Roman"/>
          <w:snapToGrid/>
          <w:kern w:val="2"/>
          <w:sz w:val="24"/>
          <w:szCs w:val="24"/>
        </w:rPr>
        <w:t>的其他因素。</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7.1.5</w:t>
      </w:r>
      <w:r>
        <w:rPr>
          <w:rFonts w:ascii="宋体" w:hAnsi="Times New Roman" w:eastAsia="宋体" w:cs="Times New Roman"/>
          <w:snapToGrid/>
          <w:kern w:val="2"/>
          <w:sz w:val="24"/>
          <w:szCs w:val="24"/>
        </w:rPr>
        <w:t xml:space="preserve">定标方法可采用下列方法或者下列方法的组合： </w:t>
      </w:r>
    </w:p>
    <w:p>
      <w:pPr>
        <w:widowControl w:val="0"/>
        <w:kinsoku/>
        <w:autoSpaceDE/>
        <w:autoSpaceDN/>
        <w:adjustRightInd/>
        <w:snapToGrid/>
        <w:spacing w:line="360" w:lineRule="auto"/>
        <w:ind w:firstLine="480" w:firstLineChars="200"/>
        <w:jc w:val="both"/>
        <w:textAlignment w:val="auto"/>
        <w:rPr>
          <w:rFonts w:hint="eastAsia" w:ascii="宋体" w:hAnsi="Times New Roman" w:eastAsia="宋体" w:cs="Times New Roman"/>
          <w:snapToGrid/>
          <w:kern w:val="2"/>
          <w:sz w:val="24"/>
          <w:szCs w:val="24"/>
          <w:highlight w:val="none"/>
        </w:rPr>
      </w:pPr>
      <w:r>
        <w:rPr>
          <w:rFonts w:ascii="宋体" w:hAnsi="Times New Roman" w:eastAsia="宋体" w:cs="Times New Roman"/>
          <w:snapToGrid/>
          <w:kern w:val="2"/>
          <w:sz w:val="24"/>
          <w:szCs w:val="24"/>
          <w:highlight w:val="none"/>
        </w:rPr>
        <w:t>（1）</w:t>
      </w:r>
      <w:r>
        <w:rPr>
          <w:rFonts w:hint="eastAsia" w:ascii="宋体" w:hAnsi="Times New Roman" w:eastAsia="宋体" w:cs="Times New Roman"/>
          <w:snapToGrid/>
          <w:kern w:val="2"/>
          <w:sz w:val="24"/>
          <w:szCs w:val="24"/>
          <w:highlight w:val="none"/>
          <w:lang w:val="en-US" w:eastAsia="zh-CN"/>
        </w:rPr>
        <w:t>直接</w:t>
      </w:r>
      <w:r>
        <w:rPr>
          <w:rFonts w:hint="eastAsia" w:ascii="宋体" w:hAnsi="Times New Roman" w:eastAsia="宋体" w:cs="Times New Roman"/>
          <w:snapToGrid/>
          <w:kern w:val="2"/>
          <w:sz w:val="24"/>
          <w:szCs w:val="24"/>
          <w:highlight w:val="none"/>
        </w:rPr>
        <w:t>票决法：定标委员会在进入投票范围的中标候选人中，以每人投票支持一个中标候选人的方式，得票最多且过半数的中标候选人为中标人。</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highlight w:val="none"/>
        </w:rPr>
      </w:pPr>
      <w:r>
        <w:rPr>
          <w:rFonts w:hint="eastAsia" w:ascii="宋体" w:hAnsi="Times New Roman" w:eastAsia="宋体" w:cs="Times New Roman"/>
          <w:snapToGrid/>
          <w:kern w:val="2"/>
          <w:sz w:val="24"/>
          <w:szCs w:val="24"/>
          <w:highlight w:val="none"/>
        </w:rPr>
        <w:t>当没有中标候选人得票超过半数时，选择得票较多的2个中标候选人（按上一轮得票多少的顺序选择，在选择第2个中标候选人时出现同票的中标候选人时，</w:t>
      </w:r>
      <w:r>
        <w:rPr>
          <w:rFonts w:hint="eastAsia" w:ascii="宋体" w:hAnsi="Times New Roman" w:eastAsia="宋体" w:cs="Times New Roman"/>
          <w:snapToGrid/>
          <w:kern w:val="2"/>
          <w:sz w:val="24"/>
          <w:szCs w:val="24"/>
          <w:highlight w:val="none"/>
          <w:lang w:eastAsia="zh-CN"/>
        </w:rPr>
        <w:t>☑</w:t>
      </w:r>
      <w:r>
        <w:rPr>
          <w:rFonts w:hint="eastAsia" w:ascii="宋体" w:hAnsi="Times New Roman" w:eastAsia="宋体" w:cs="Times New Roman"/>
          <w:snapToGrid/>
          <w:kern w:val="2"/>
          <w:sz w:val="24"/>
          <w:szCs w:val="24"/>
          <w:highlight w:val="none"/>
        </w:rPr>
        <w:t>抽签抽取中标候选人□报价低者（报价相同时抽签抽取1个中标候选人）□由招标人法定代表人或其委托代表直接确定1个中标候选人</w:t>
      </w:r>
      <w:r>
        <w:rPr>
          <w:rFonts w:hint="eastAsia" w:ascii="宋体" w:hAnsi="Times New Roman" w:eastAsia="宋体" w:cs="Times New Roman"/>
          <w:snapToGrid/>
          <w:kern w:val="2"/>
          <w:sz w:val="24"/>
          <w:szCs w:val="24"/>
          <w:highlight w:val="none"/>
          <w:lang w:eastAsia="zh-CN"/>
        </w:rPr>
        <w:t>）</w:t>
      </w:r>
      <w:r>
        <w:rPr>
          <w:rFonts w:hint="eastAsia" w:ascii="宋体" w:hAnsi="Times New Roman" w:eastAsia="宋体" w:cs="Times New Roman"/>
          <w:snapToGrid/>
          <w:kern w:val="2"/>
          <w:sz w:val="24"/>
          <w:szCs w:val="24"/>
          <w:highlight w:val="none"/>
        </w:rPr>
        <w:t>作为二次投票的范围，直至出现得票过半数的中标候选人为止。</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trike/>
          <w:snapToGrid/>
          <w:kern w:val="2"/>
          <w:sz w:val="24"/>
          <w:szCs w:val="24"/>
        </w:rPr>
      </w:pPr>
      <w:r>
        <w:rPr>
          <w:rFonts w:ascii="宋体" w:hAnsi="Times New Roman" w:eastAsia="宋体" w:cs="Times New Roman"/>
          <w:strike/>
          <w:snapToGrid/>
          <w:kern w:val="2"/>
          <w:sz w:val="24"/>
          <w:szCs w:val="24"/>
        </w:rPr>
        <w:t xml:space="preserve">（2）集体议事法。由定标委员会进行集体商议，定标委员会成员各自发表意见，由定标委员会组长最终确定中标人。所有参加会议的定标委员会成员的意见应当作书面记录，并由定标委员会成员签字确认。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trike/>
          <w:snapToGrid/>
          <w:kern w:val="2"/>
          <w:sz w:val="24"/>
          <w:szCs w:val="24"/>
        </w:rPr>
      </w:pPr>
      <w:r>
        <w:rPr>
          <w:rFonts w:ascii="宋体" w:hAnsi="Times New Roman" w:eastAsia="宋体" w:cs="Times New Roman"/>
          <w:strike/>
          <w:snapToGrid/>
          <w:kern w:val="2"/>
          <w:sz w:val="24"/>
          <w:szCs w:val="24"/>
        </w:rPr>
        <w:t>（3）投标须知前附表规定的其他定标办法</w:t>
      </w:r>
      <w:r>
        <w:rPr>
          <w:rFonts w:hint="eastAsia" w:ascii="宋体" w:hAnsi="Times New Roman" w:eastAsia="宋体" w:cs="Times New Roman"/>
          <w:strike/>
          <w:snapToGrid/>
          <w:kern w:val="2"/>
          <w:sz w:val="24"/>
          <w:szCs w:val="24"/>
        </w:rPr>
        <w:t>。</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7.1.6中标人</w:t>
      </w:r>
      <w:r>
        <w:rPr>
          <w:rFonts w:ascii="宋体" w:hAnsi="Times New Roman" w:eastAsia="宋体" w:cs="Times New Roman"/>
          <w:snapToGrid/>
          <w:kern w:val="2"/>
          <w:sz w:val="24"/>
          <w:szCs w:val="24"/>
        </w:rPr>
        <w:t>公</w:t>
      </w:r>
      <w:r>
        <w:rPr>
          <w:rFonts w:hint="eastAsia" w:ascii="宋体" w:hAnsi="Times New Roman" w:eastAsia="宋体" w:cs="Times New Roman"/>
          <w:snapToGrid/>
          <w:kern w:val="2"/>
          <w:sz w:val="24"/>
          <w:szCs w:val="24"/>
        </w:rPr>
        <w:t>告</w:t>
      </w:r>
      <w:r>
        <w:rPr>
          <w:rFonts w:ascii="宋体" w:hAnsi="Times New Roman" w:eastAsia="宋体" w:cs="Times New Roman"/>
          <w:snapToGrid/>
          <w:kern w:val="2"/>
          <w:sz w:val="24"/>
          <w:szCs w:val="24"/>
        </w:rPr>
        <w:t>媒介及期限</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招标人应当将中标结果情况在投标须知前附表规定的媒介上公告不少于3日。</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7.</w:t>
      </w:r>
      <w:r>
        <w:rPr>
          <w:rFonts w:hint="eastAsia" w:ascii="宋体" w:hAnsi="Times New Roman" w:eastAsia="宋体" w:cs="Times New Roman"/>
          <w:snapToGrid/>
          <w:kern w:val="2"/>
          <w:sz w:val="24"/>
          <w:szCs w:val="24"/>
        </w:rPr>
        <w:t>1.7</w:t>
      </w:r>
      <w:r>
        <w:rPr>
          <w:rFonts w:ascii="宋体" w:hAnsi="Times New Roman" w:eastAsia="宋体" w:cs="Times New Roman"/>
          <w:snapToGrid/>
          <w:kern w:val="2"/>
          <w:sz w:val="24"/>
          <w:szCs w:val="24"/>
        </w:rPr>
        <w:t>定标后有下列情形之一的，招标人可以组织原定标委员会从其他中标候选人中按原定标方法确定中标人：</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 xml:space="preserve">（1）中标人放弃中标资格或者拒不签订合同的；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 xml:space="preserve">（2）中标人被查实存在违法行为影响中标结果的；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 xml:space="preserve">（3）投标须知前附表规定的其他情形。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7.</w:t>
      </w:r>
      <w:r>
        <w:rPr>
          <w:rFonts w:hint="eastAsia" w:ascii="宋体" w:hAnsi="Times New Roman" w:eastAsia="宋体" w:cs="Times New Roman"/>
          <w:snapToGrid/>
          <w:kern w:val="2"/>
          <w:sz w:val="24"/>
          <w:szCs w:val="24"/>
        </w:rPr>
        <w:t>1.8</w:t>
      </w:r>
      <w:r>
        <w:rPr>
          <w:rFonts w:ascii="宋体" w:hAnsi="Times New Roman" w:eastAsia="宋体" w:cs="Times New Roman"/>
          <w:snapToGrid/>
          <w:kern w:val="2"/>
          <w:sz w:val="24"/>
          <w:szCs w:val="24"/>
        </w:rPr>
        <w:t xml:space="preserve">定标后有下列情形之一的，应重新定标：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 xml:space="preserve">（1）查实定标委员会未按定标办法公正履职的；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 xml:space="preserve">（2）有定标委员会成员与中标候选人有利害关系且未申请回避的；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ascii="宋体" w:hAnsi="Times New Roman" w:eastAsia="宋体" w:cs="Times New Roman"/>
          <w:snapToGrid/>
          <w:kern w:val="2"/>
          <w:sz w:val="24"/>
          <w:szCs w:val="24"/>
        </w:rPr>
        <w:t>（3）投标须知前附表规定的其他情形</w:t>
      </w:r>
      <w:r>
        <w:rPr>
          <w:rFonts w:hint="eastAsia" w:ascii="宋体" w:hAnsi="Times New Roman" w:eastAsia="宋体" w:cs="Times New Roman"/>
          <w:snapToGrid/>
          <w:kern w:val="2"/>
          <w:sz w:val="24"/>
          <w:szCs w:val="24"/>
        </w:rPr>
        <w:t>。</w:t>
      </w:r>
    </w:p>
    <w:p>
      <w:pPr>
        <w:widowControl w:val="0"/>
        <w:kinsoku/>
        <w:autoSpaceDE/>
        <w:autoSpaceDN/>
        <w:adjustRightInd/>
        <w:snapToGrid/>
        <w:spacing w:line="360" w:lineRule="auto"/>
        <w:jc w:val="both"/>
        <w:textAlignment w:val="auto"/>
        <w:rPr>
          <w:rFonts w:ascii="宋体" w:hAnsi="Times New Roman" w:eastAsia="宋体" w:cs="Times New Roman"/>
          <w:b/>
          <w:snapToGrid/>
          <w:kern w:val="2"/>
          <w:sz w:val="24"/>
          <w:szCs w:val="24"/>
        </w:rPr>
      </w:pPr>
      <w:r>
        <w:rPr>
          <w:rFonts w:hint="eastAsia" w:ascii="宋体" w:hAnsi="Times New Roman" w:eastAsia="宋体" w:cs="Times New Roman"/>
          <w:b/>
          <w:snapToGrid/>
          <w:kern w:val="2"/>
          <w:sz w:val="24"/>
          <w:szCs w:val="24"/>
        </w:rPr>
        <w:t>7.2 合同授予</w:t>
      </w:r>
      <w:bookmarkEnd w:id="34"/>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7.2.1</w:t>
      </w:r>
      <w:r>
        <w:rPr>
          <w:rFonts w:ascii="宋体" w:hAnsi="Times New Roman" w:eastAsia="宋体" w:cs="Times New Roman"/>
          <w:snapToGrid/>
          <w:kern w:val="2"/>
          <w:sz w:val="24"/>
          <w:szCs w:val="24"/>
        </w:rPr>
        <w:t>中标候选人公示媒介及期限见投标人须知前附表。</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7.2.2本招标项目的设计合同将授予按本章第7.1条款所确定的中标人。</w:t>
      </w:r>
    </w:p>
    <w:p>
      <w:pPr>
        <w:widowControl w:val="0"/>
        <w:kinsoku/>
        <w:autoSpaceDE/>
        <w:autoSpaceDN/>
        <w:adjustRightInd/>
        <w:snapToGrid/>
        <w:spacing w:line="360" w:lineRule="auto"/>
        <w:jc w:val="both"/>
        <w:textAlignment w:val="auto"/>
        <w:rPr>
          <w:rFonts w:ascii="宋体" w:hAnsi="Times New Roman" w:eastAsia="宋体" w:cs="Times New Roman"/>
          <w:b/>
          <w:snapToGrid/>
          <w:kern w:val="2"/>
          <w:sz w:val="24"/>
          <w:szCs w:val="24"/>
        </w:rPr>
      </w:pPr>
      <w:bookmarkStart w:id="35" w:name="_Toc193449949"/>
      <w:r>
        <w:rPr>
          <w:rFonts w:hint="eastAsia" w:ascii="宋体" w:hAnsi="Times New Roman" w:eastAsia="宋体" w:cs="Times New Roman"/>
          <w:b/>
          <w:snapToGrid/>
          <w:kern w:val="2"/>
          <w:sz w:val="24"/>
          <w:szCs w:val="24"/>
        </w:rPr>
        <w:t>7.3 中标通知书</w:t>
      </w:r>
      <w:bookmarkEnd w:id="35"/>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7.3.1招标人将于中标人确定后15日内向中标人发出中标通知书并向招投标监管机构提交招标情况书面报告。</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7.3.2 中标通知书为合同的组成部分。</w:t>
      </w:r>
    </w:p>
    <w:p>
      <w:pPr>
        <w:widowControl w:val="0"/>
        <w:kinsoku/>
        <w:autoSpaceDE/>
        <w:autoSpaceDN/>
        <w:adjustRightInd/>
        <w:snapToGrid/>
        <w:spacing w:line="360" w:lineRule="auto"/>
        <w:jc w:val="both"/>
        <w:textAlignment w:val="auto"/>
        <w:rPr>
          <w:rFonts w:ascii="宋体" w:hAnsi="Times New Roman" w:eastAsia="宋体" w:cs="Times New Roman"/>
          <w:b/>
          <w:snapToGrid/>
          <w:kern w:val="2"/>
          <w:sz w:val="24"/>
          <w:szCs w:val="24"/>
        </w:rPr>
      </w:pPr>
      <w:r>
        <w:rPr>
          <w:rFonts w:hint="eastAsia" w:ascii="宋体" w:hAnsi="Times New Roman" w:eastAsia="宋体" w:cs="Times New Roman"/>
          <w:b/>
          <w:snapToGrid/>
          <w:kern w:val="2"/>
          <w:sz w:val="24"/>
          <w:szCs w:val="24"/>
        </w:rPr>
        <w:t>7.4</w:t>
      </w:r>
      <w:bookmarkStart w:id="36" w:name="_Toc193449950"/>
      <w:r>
        <w:rPr>
          <w:rFonts w:hint="eastAsia" w:ascii="宋体" w:hAnsi="Times New Roman" w:eastAsia="宋体" w:cs="Times New Roman"/>
          <w:b/>
          <w:snapToGrid/>
          <w:kern w:val="2"/>
          <w:sz w:val="24"/>
          <w:szCs w:val="24"/>
        </w:rPr>
        <w:t xml:space="preserve"> 履约</w:t>
      </w:r>
      <w:bookmarkEnd w:id="36"/>
      <w:r>
        <w:rPr>
          <w:rFonts w:hint="eastAsia" w:ascii="宋体" w:hAnsi="Times New Roman" w:eastAsia="宋体" w:cs="Times New Roman"/>
          <w:b/>
          <w:snapToGrid/>
          <w:kern w:val="2"/>
          <w:sz w:val="24"/>
          <w:szCs w:val="24"/>
        </w:rPr>
        <w:t>保证金</w:t>
      </w:r>
    </w:p>
    <w:p>
      <w:pPr>
        <w:widowControl w:val="0"/>
        <w:tabs>
          <w:tab w:val="left" w:pos="540"/>
        </w:tabs>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7.4.1 在签订合同前，中标人应按投标人须知前附表规定的金额、担保形式向招标人提交履约保证金。联合体中标的，其履约保证金以联合体牵头人名义提交。如采用履约保函形式提交担保，则中标人应提交在中国境内注册并经招标人认可的担保机构出具的银行保函。否则，招标人将不予接受。</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pPr>
        <w:widowControl w:val="0"/>
        <w:kinsoku/>
        <w:autoSpaceDE/>
        <w:autoSpaceDN/>
        <w:adjustRightInd/>
        <w:snapToGrid/>
        <w:spacing w:line="360" w:lineRule="auto"/>
        <w:jc w:val="both"/>
        <w:textAlignment w:val="auto"/>
        <w:rPr>
          <w:rFonts w:ascii="宋体" w:hAnsi="Times New Roman" w:eastAsia="宋体" w:cs="Times New Roman"/>
          <w:b/>
          <w:snapToGrid/>
          <w:kern w:val="2"/>
          <w:sz w:val="24"/>
          <w:szCs w:val="24"/>
        </w:rPr>
      </w:pPr>
      <w:bookmarkStart w:id="37" w:name="_Toc193449952"/>
      <w:r>
        <w:rPr>
          <w:rFonts w:hint="eastAsia" w:ascii="宋体" w:hAnsi="Times New Roman" w:eastAsia="宋体" w:cs="Times New Roman"/>
          <w:b/>
          <w:snapToGrid/>
          <w:kern w:val="2"/>
          <w:sz w:val="24"/>
          <w:szCs w:val="24"/>
        </w:rPr>
        <w:t xml:space="preserve">7.5 </w:t>
      </w:r>
      <w:bookmarkEnd w:id="37"/>
      <w:r>
        <w:rPr>
          <w:rFonts w:hint="eastAsia" w:ascii="宋体" w:hAnsi="Times New Roman" w:eastAsia="宋体" w:cs="Times New Roman"/>
          <w:b/>
          <w:snapToGrid/>
          <w:kern w:val="2"/>
          <w:sz w:val="24"/>
          <w:szCs w:val="24"/>
        </w:rPr>
        <w:t>签订合同</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7.5.1 招标人与中标人将于中标通知书发出之日起30日内，根据招标文件和中标人的投标文件签订书面合同，招标人和中标人不得另行订立背离合同实质性内容的其他协议。</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7.5.2 招标人如无正当理由不按本章第7.5.1条款规定与中标人订立合同，或招标人迫使中标人订立背离合同实质性内容的协议，招标人将依法承担相应法律责任。</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kern w:val="2"/>
          <w:sz w:val="24"/>
          <w:szCs w:val="24"/>
        </w:rPr>
      </w:pPr>
      <w:r>
        <w:rPr>
          <w:rFonts w:hint="eastAsia" w:ascii="宋体" w:hAnsi="Times New Roman" w:eastAsia="宋体" w:cs="Times New Roman"/>
          <w:snapToGrid/>
          <w:kern w:val="2"/>
          <w:sz w:val="24"/>
          <w:szCs w:val="24"/>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pPr>
        <w:widowControl w:val="0"/>
        <w:kinsoku/>
        <w:autoSpaceDE/>
        <w:autoSpaceDN/>
        <w:adjustRightInd/>
        <w:snapToGrid/>
        <w:spacing w:line="360" w:lineRule="auto"/>
        <w:ind w:firstLine="480" w:firstLineChars="200"/>
        <w:jc w:val="both"/>
        <w:textAlignment w:val="auto"/>
        <w:rPr>
          <w:rFonts w:ascii="Times New Roman" w:hAnsi="Times New Roman" w:eastAsia="宋体" w:cs="Times New Roman"/>
          <w:snapToGrid/>
          <w:kern w:val="2"/>
          <w:sz w:val="24"/>
          <w:szCs w:val="24"/>
        </w:rPr>
      </w:pPr>
      <w:r>
        <w:rPr>
          <w:rFonts w:hint="eastAsia" w:ascii="宋体" w:hAnsi="Times New Roman" w:eastAsia="宋体" w:cs="Times New Roman"/>
          <w:snapToGrid/>
          <w:kern w:val="2"/>
          <w:sz w:val="24"/>
          <w:szCs w:val="24"/>
        </w:rPr>
        <w:t>7.5.4 中标人应当按照合同约定履行义务，完成中标项目的设计工作，不得将中标项目的设计工作转委托给他人。</w:t>
      </w:r>
      <w:r>
        <w:rPr>
          <w:rFonts w:hint="eastAsia" w:ascii="Times New Roman" w:hAnsi="Times New Roman" w:eastAsia="宋体" w:cs="Times New Roman"/>
          <w:snapToGrid/>
          <w:kern w:val="2"/>
          <w:sz w:val="24"/>
          <w:szCs w:val="24"/>
        </w:rPr>
        <w:t xml:space="preserve"> </w:t>
      </w:r>
    </w:p>
    <w:p>
      <w:pPr>
        <w:spacing w:line="420" w:lineRule="exact"/>
        <w:jc w:val="both"/>
        <w:outlineLvl w:val="2"/>
        <w:rPr>
          <w:rFonts w:ascii="宋体" w:hAnsi="宋体" w:eastAsia="宋体" w:cs="宋体"/>
          <w:color w:val="000000" w:themeColor="text1"/>
          <w:sz w:val="24"/>
          <w:szCs w:val="24"/>
          <w14:textFill>
            <w14:solidFill>
              <w14:schemeClr w14:val="tx1"/>
            </w14:solidFill>
          </w14:textFill>
        </w:rPr>
      </w:pPr>
      <w:r>
        <w:rPr>
          <w:rFonts w:ascii="宋体" w:hAnsi="宋体" w:eastAsia="宋体" w:cs="Calibri"/>
          <w:b/>
          <w:bCs/>
          <w:color w:val="000000" w:themeColor="text1"/>
          <w:sz w:val="24"/>
          <w:szCs w:val="24"/>
          <w14:textFill>
            <w14:solidFill>
              <w14:schemeClr w14:val="tx1"/>
            </w14:solidFill>
          </w14:textFill>
        </w:rPr>
        <w:t>8.</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重新招标和不再招标</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8.1</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重新招标</w:t>
      </w:r>
    </w:p>
    <w:p>
      <w:pPr>
        <w:spacing w:line="420" w:lineRule="exact"/>
        <w:ind w:firstLine="312" w:firstLineChars="13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有下列情形之一的，招标人将重新招标：</w:t>
      </w:r>
    </w:p>
    <w:p>
      <w:pPr>
        <w:spacing w:line="420" w:lineRule="exact"/>
        <w:ind w:firstLine="312" w:firstLineChars="13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(1)投标截止时间止，投标人少于3个的；</w:t>
      </w:r>
    </w:p>
    <w:p>
      <w:pPr>
        <w:spacing w:line="420" w:lineRule="exact"/>
        <w:ind w:firstLine="312" w:firstLineChars="13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(2)经评标委员会评审后否决所有投标的；</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8.2</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不再招标</w:t>
      </w:r>
    </w:p>
    <w:p>
      <w:pPr>
        <w:spacing w:line="420" w:lineRule="exact"/>
        <w:ind w:firstLine="360" w:firstLineChars="150"/>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重新招标后投标人仍少于3个的，经原审批或核准部门批准后不再进行招标。</w:t>
      </w:r>
    </w:p>
    <w:p>
      <w:pPr>
        <w:spacing w:line="420" w:lineRule="exact"/>
        <w:jc w:val="both"/>
        <w:outlineLvl w:val="2"/>
        <w:rPr>
          <w:rFonts w:ascii="宋体" w:hAnsi="宋体" w:eastAsia="宋体" w:cs="宋体"/>
          <w:color w:val="000000" w:themeColor="text1"/>
          <w:sz w:val="24"/>
          <w:szCs w:val="24"/>
          <w14:textFill>
            <w14:solidFill>
              <w14:schemeClr w14:val="tx1"/>
            </w14:solidFill>
          </w14:textFill>
        </w:rPr>
      </w:pPr>
      <w:r>
        <w:rPr>
          <w:rFonts w:ascii="宋体" w:hAnsi="宋体" w:eastAsia="宋体" w:cs="Calibri"/>
          <w:b/>
          <w:bCs/>
          <w:color w:val="000000" w:themeColor="text1"/>
          <w:sz w:val="24"/>
          <w:szCs w:val="24"/>
          <w14:textFill>
            <w14:solidFill>
              <w14:schemeClr w14:val="tx1"/>
            </w14:solidFill>
          </w14:textFill>
        </w:rPr>
        <w:t>9.</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纪律和监督</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9.1</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对招标人的纪律要求</w:t>
      </w:r>
    </w:p>
    <w:p>
      <w:pPr>
        <w:spacing w:line="420" w:lineRule="exact"/>
        <w:ind w:firstLine="476"/>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招标人不得泄漏招标投标活动中应当保密的情况和资料，不得与投标人串通损害国家利益、社会公共利益或者他人合法权益</w:t>
      </w:r>
      <w:r>
        <w:rPr>
          <w:rFonts w:ascii="宋体" w:hAnsi="宋体" w:eastAsia="宋体" w:cs="宋体"/>
          <w:color w:val="000000" w:themeColor="text1"/>
          <w:sz w:val="24"/>
          <w:szCs w:val="24"/>
          <w14:textFill>
            <w14:solidFill>
              <w14:schemeClr w14:val="tx1"/>
            </w14:solidFill>
          </w14:textFill>
        </w:rPr>
        <w:t>。</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9.2</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对投标人的纪律要求</w:t>
      </w:r>
    </w:p>
    <w:p>
      <w:pPr>
        <w:spacing w:line="420" w:lineRule="exact"/>
        <w:ind w:firstLine="483"/>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投标人不得相互串通投标或者与招标人串通投标，不得向招标人或者评标委员会成员行贿谋取中标，不得以他人名义投标或者以其他方式弄虚作假骗取中标；投标人不得以任何方式干扰、影响评标工作。</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9.3</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对评标委员会成员的纪律要求</w:t>
      </w:r>
    </w:p>
    <w:p>
      <w:pPr>
        <w:spacing w:line="420" w:lineRule="exact"/>
        <w:ind w:firstLine="483"/>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评标委员会成员不得收受他人的财物或者其他好处，不得向他人透</w:t>
      </w:r>
      <w:r>
        <w:rPr>
          <w:rFonts w:hint="eastAsia" w:ascii="宋体" w:hAnsi="宋体" w:eastAsia="宋体" w:cs="宋体"/>
          <w:color w:val="000000" w:themeColor="text1"/>
          <w:position w:val="1"/>
          <w:sz w:val="24"/>
          <w:szCs w:val="24"/>
          <w14:textFill>
            <w14:solidFill>
              <w14:schemeClr w14:val="tx1"/>
            </w14:solidFill>
          </w14:textFill>
        </w:rPr>
        <w:t>露</w:t>
      </w:r>
      <w:r>
        <w:rPr>
          <w:rFonts w:ascii="宋体" w:hAnsi="宋体" w:eastAsia="宋体" w:cs="宋体"/>
          <w:color w:val="000000" w:themeColor="text1"/>
          <w:position w:val="1"/>
          <w:sz w:val="24"/>
          <w:szCs w:val="24"/>
          <w14:textFill>
            <w14:solidFill>
              <w14:schemeClr w14:val="tx1"/>
            </w14:solidFill>
          </w14:textFill>
        </w:rPr>
        <w:t>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pPr>
        <w:spacing w:line="420" w:lineRule="exact"/>
        <w:jc w:val="both"/>
        <w:outlineLvl w:val="3"/>
        <w:rPr>
          <w:rFonts w:ascii="宋体" w:hAnsi="宋体" w:eastAsia="宋体" w:cs="宋体"/>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9.4</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对与评标活动有关的工作人员的纪律要求</w:t>
      </w:r>
    </w:p>
    <w:p>
      <w:pPr>
        <w:spacing w:line="420" w:lineRule="exact"/>
        <w:ind w:firstLine="483"/>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pPr>
        <w:spacing w:line="420" w:lineRule="exact"/>
        <w:jc w:val="both"/>
        <w:outlineLvl w:val="2"/>
        <w:rPr>
          <w:rFonts w:ascii="宋体" w:hAnsi="宋体" w:eastAsia="宋体" w:cs="宋体"/>
          <w:color w:val="000000" w:themeColor="text1"/>
          <w:sz w:val="24"/>
          <w:szCs w:val="24"/>
          <w14:textFill>
            <w14:solidFill>
              <w14:schemeClr w14:val="tx1"/>
            </w14:solidFill>
          </w14:textFill>
        </w:rPr>
      </w:pPr>
      <w:r>
        <w:rPr>
          <w:rFonts w:ascii="宋体" w:hAnsi="宋体" w:eastAsia="宋体" w:cs="Calibri"/>
          <w:b/>
          <w:bCs/>
          <w:color w:val="000000" w:themeColor="text1"/>
          <w:sz w:val="24"/>
          <w:szCs w:val="24"/>
          <w14:textFill>
            <w14:solidFill>
              <w14:schemeClr w14:val="tx1"/>
            </w14:solidFill>
          </w14:textFill>
        </w:rPr>
        <w:t>9.5</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异议与投诉</w:t>
      </w:r>
    </w:p>
    <w:p>
      <w:pPr>
        <w:spacing w:line="420" w:lineRule="exact"/>
        <w:ind w:firstLine="483"/>
        <w:jc w:val="both"/>
        <w:rPr>
          <w:rFonts w:ascii="宋体" w:hAnsi="宋体" w:eastAsia="宋体" w:cs="宋体"/>
          <w:color w:val="000000" w:themeColor="text1"/>
          <w:position w:val="1"/>
          <w:sz w:val="24"/>
          <w:szCs w:val="24"/>
          <w14:textFill>
            <w14:solidFill>
              <w14:schemeClr w14:val="tx1"/>
            </w14:solidFill>
          </w14:textFill>
        </w:rPr>
      </w:pPr>
      <w:r>
        <w:rPr>
          <w:rFonts w:ascii="宋体" w:hAnsi="宋体" w:eastAsia="宋体" w:cs="宋体"/>
          <w:color w:val="000000" w:themeColor="text1"/>
          <w:position w:val="1"/>
          <w:sz w:val="24"/>
          <w:szCs w:val="24"/>
          <w14:textFill>
            <w14:solidFill>
              <w14:schemeClr w14:val="tx1"/>
            </w14:solidFill>
          </w14:textFill>
        </w:rPr>
        <w:t>投标人及其他利害关系人有提出异议与投诉的权利，但应遵守国家相关法律</w:t>
      </w:r>
      <w:r>
        <w:rPr>
          <w:rFonts w:hint="eastAsia" w:ascii="宋体" w:hAnsi="宋体" w:eastAsia="宋体" w:cs="宋体"/>
          <w:color w:val="000000" w:themeColor="text1"/>
          <w:position w:val="1"/>
          <w:sz w:val="24"/>
          <w:szCs w:val="24"/>
          <w14:textFill>
            <w14:solidFill>
              <w14:schemeClr w14:val="tx1"/>
            </w14:solidFill>
          </w14:textFill>
        </w:rPr>
        <w:t>法规，具体要求见投标人须知前附表。</w:t>
      </w:r>
    </w:p>
    <w:p>
      <w:pPr>
        <w:spacing w:line="420" w:lineRule="exact"/>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Calibri"/>
          <w:b/>
          <w:bCs/>
          <w:color w:val="000000" w:themeColor="text1"/>
          <w:sz w:val="24"/>
          <w:szCs w:val="24"/>
          <w14:textFill>
            <w14:solidFill>
              <w14:schemeClr w14:val="tx1"/>
            </w14:solidFill>
          </w14:textFill>
        </w:rPr>
        <w:t>10.</w:t>
      </w:r>
      <w:r>
        <w:rPr>
          <w:rFonts w:ascii="宋体" w:hAnsi="宋体" w:eastAsia="宋体" w:cs="宋体"/>
          <w:color w:val="000000" w:themeColor="text1"/>
          <w:sz w:val="24"/>
          <w:szCs w:val="24"/>
          <w14:textOutline w14:w="4356" w14:cap="sq" w14:cmpd="sng" w14:algn="ctr">
            <w14:solidFill>
              <w14:srgbClr w14:val="000000"/>
            </w14:solidFill>
            <w14:prstDash w14:val="solid"/>
            <w14:bevel/>
          </w14:textOutline>
          <w14:textFill>
            <w14:solidFill>
              <w14:schemeClr w14:val="tx1"/>
            </w14:solidFill>
          </w14:textFill>
        </w:rPr>
        <w:t>需要补充的其他内容</w:t>
      </w:r>
    </w:p>
    <w:p>
      <w:pPr>
        <w:spacing w:line="347" w:lineRule="auto"/>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需要补充的其他内容：见投标人须知前附表。</w:t>
      </w:r>
    </w:p>
    <w:p>
      <w:pPr>
        <w:spacing w:line="347" w:lineRule="auto"/>
        <w:jc w:val="both"/>
        <w:rPr>
          <w:rFonts w:ascii="宋体" w:hAnsi="宋体" w:eastAsia="宋体" w:cs="宋体"/>
          <w:color w:val="000000" w:themeColor="text1"/>
          <w:position w:val="1"/>
          <w:sz w:val="24"/>
          <w:szCs w:val="24"/>
          <w14:textFill>
            <w14:solidFill>
              <w14:schemeClr w14:val="tx1"/>
            </w14:solidFill>
          </w14:textFill>
        </w:rPr>
      </w:pPr>
    </w:p>
    <w:p>
      <w:pPr>
        <w:spacing w:line="347" w:lineRule="auto"/>
        <w:jc w:val="both"/>
        <w:rPr>
          <w:rFonts w:ascii="宋体" w:hAnsi="宋体" w:eastAsia="宋体" w:cs="宋体"/>
          <w:color w:val="000000" w:themeColor="text1"/>
          <w:position w:val="1"/>
          <w:sz w:val="24"/>
          <w:szCs w:val="24"/>
          <w14:textFill>
            <w14:solidFill>
              <w14:schemeClr w14:val="tx1"/>
            </w14:solidFill>
          </w14:textFill>
        </w:rPr>
      </w:pPr>
    </w:p>
    <w:p>
      <w:pPr>
        <w:spacing w:line="347" w:lineRule="auto"/>
        <w:jc w:val="both"/>
        <w:rPr>
          <w:rFonts w:ascii="宋体" w:hAnsi="宋体" w:eastAsia="宋体" w:cs="宋体"/>
          <w:color w:val="000000" w:themeColor="text1"/>
          <w:position w:val="1"/>
          <w:sz w:val="24"/>
          <w:szCs w:val="24"/>
          <w14:textFill>
            <w14:solidFill>
              <w14:schemeClr w14:val="tx1"/>
            </w14:solidFill>
          </w14:textFill>
        </w:rPr>
      </w:pPr>
    </w:p>
    <w:p>
      <w:pPr>
        <w:spacing w:line="347" w:lineRule="auto"/>
        <w:jc w:val="both"/>
        <w:rPr>
          <w:rFonts w:ascii="宋体" w:hAnsi="宋体" w:eastAsia="宋体" w:cs="宋体"/>
          <w:color w:val="000000" w:themeColor="text1"/>
          <w:position w:val="1"/>
          <w:sz w:val="24"/>
          <w:szCs w:val="24"/>
          <w14:textFill>
            <w14:solidFill>
              <w14:schemeClr w14:val="tx1"/>
            </w14:solidFill>
          </w14:textFill>
        </w:rPr>
      </w:pPr>
    </w:p>
    <w:p>
      <w:pPr>
        <w:spacing w:line="347" w:lineRule="auto"/>
        <w:jc w:val="both"/>
        <w:rPr>
          <w:rFonts w:ascii="宋体" w:hAnsi="宋体" w:eastAsia="宋体" w:cs="宋体"/>
          <w:color w:val="000000" w:themeColor="text1"/>
          <w:position w:val="1"/>
          <w:sz w:val="24"/>
          <w:szCs w:val="24"/>
          <w14:textFill>
            <w14:solidFill>
              <w14:schemeClr w14:val="tx1"/>
            </w14:solidFill>
          </w14:textFill>
        </w:rPr>
      </w:pPr>
    </w:p>
    <w:p>
      <w:pPr>
        <w:spacing w:line="347" w:lineRule="auto"/>
        <w:jc w:val="both"/>
        <w:rPr>
          <w:color w:val="000000" w:themeColor="text1"/>
          <w14:textFill>
            <w14:solidFill>
              <w14:schemeClr w14:val="tx1"/>
            </w14:solidFill>
          </w14:textFill>
        </w:rPr>
      </w:pPr>
    </w:p>
    <w:p>
      <w:pPr>
        <w:pageBreakBefore/>
        <w:widowControl w:val="0"/>
        <w:spacing w:before="91" w:line="221" w:lineRule="auto"/>
        <w:ind w:left="130"/>
        <w:jc w:val="both"/>
        <w:outlineLvl w:val="1"/>
        <w:rPr>
          <w:rFonts w:ascii="宋体" w:hAnsi="宋体" w:eastAsia="宋体" w:cs="宋体"/>
          <w:color w:val="000000" w:themeColor="text1"/>
          <w:sz w:val="28"/>
          <w:szCs w:val="28"/>
          <w14:textFill>
            <w14:solidFill>
              <w14:schemeClr w14:val="tx1"/>
            </w14:solidFill>
          </w14:textFill>
        </w:rPr>
      </w:pPr>
      <w:bookmarkStart w:id="38" w:name="_bookmark5"/>
      <w:bookmarkEnd w:id="38"/>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附表一：开标记录表</w:t>
      </w:r>
    </w:p>
    <w:p>
      <w:pPr>
        <w:tabs>
          <w:tab w:val="left" w:pos="3317"/>
        </w:tabs>
        <w:spacing w:before="234" w:line="229" w:lineRule="auto"/>
        <w:ind w:left="126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u w:val="single"/>
          <w14:textFill>
            <w14:solidFill>
              <w14:schemeClr w14:val="tx1"/>
            </w14:solidFill>
          </w14:textFill>
        </w:rPr>
        <w:tab/>
      </w: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(项目名称)标段开标记录表</w:t>
      </w:r>
    </w:p>
    <w:p>
      <w:pPr>
        <w:spacing w:line="286" w:lineRule="auto"/>
        <w:jc w:val="both"/>
        <w:rPr>
          <w:color w:val="000000" w:themeColor="text1"/>
          <w14:textFill>
            <w14:solidFill>
              <w14:schemeClr w14:val="tx1"/>
            </w14:solidFill>
          </w14:textFill>
        </w:rPr>
      </w:pPr>
    </w:p>
    <w:p>
      <w:pPr>
        <w:spacing w:line="286" w:lineRule="auto"/>
        <w:jc w:val="both"/>
        <w:rPr>
          <w:color w:val="000000" w:themeColor="text1"/>
          <w14:textFill>
            <w14:solidFill>
              <w14:schemeClr w14:val="tx1"/>
            </w14:solidFill>
          </w14:textFill>
        </w:rPr>
      </w:pPr>
    </w:p>
    <w:p>
      <w:pPr>
        <w:spacing w:before="75" w:line="229" w:lineRule="auto"/>
        <w:ind w:left="72"/>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开标地点：</w:t>
      </w:r>
    </w:p>
    <w:p>
      <w:pPr>
        <w:spacing w:before="183" w:line="228" w:lineRule="auto"/>
        <w:ind w:left="72"/>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开标时间：</w:t>
      </w:r>
      <w:r>
        <w:rPr>
          <w:rFonts w:hint="eastAsia" w:ascii="宋体" w:hAnsi="宋体" w:eastAsia="宋体" w:cs="宋体"/>
          <w:color w:val="000000" w:themeColor="text1"/>
          <w:sz w:val="23"/>
          <w:szCs w:val="23"/>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年</w:t>
      </w:r>
      <w:r>
        <w:rPr>
          <w:rFonts w:hint="eastAsia" w:ascii="宋体" w:hAnsi="宋体" w:eastAsia="宋体" w:cs="宋体"/>
          <w:color w:val="000000" w:themeColor="text1"/>
          <w:sz w:val="23"/>
          <w:szCs w:val="23"/>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月</w:t>
      </w:r>
      <w:r>
        <w:rPr>
          <w:rFonts w:hint="eastAsia" w:ascii="宋体" w:hAnsi="宋体" w:eastAsia="宋体" w:cs="宋体"/>
          <w:color w:val="000000" w:themeColor="text1"/>
          <w:sz w:val="23"/>
          <w:szCs w:val="23"/>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日</w:t>
      </w:r>
      <w:r>
        <w:rPr>
          <w:rFonts w:hint="eastAsia" w:ascii="宋体" w:hAnsi="宋体" w:eastAsia="宋体" w:cs="宋体"/>
          <w:color w:val="000000" w:themeColor="text1"/>
          <w:sz w:val="23"/>
          <w:szCs w:val="23"/>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时</w:t>
      </w:r>
      <w:r>
        <w:rPr>
          <w:rFonts w:hint="eastAsia" w:ascii="宋体" w:hAnsi="宋体" w:eastAsia="宋体" w:cs="宋体"/>
          <w:color w:val="000000" w:themeColor="text1"/>
          <w:sz w:val="23"/>
          <w:szCs w:val="23"/>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分</w:t>
      </w:r>
    </w:p>
    <w:p>
      <w:pPr>
        <w:jc w:val="both"/>
        <w:rPr>
          <w:color w:val="000000" w:themeColor="text1"/>
          <w14:textFill>
            <w14:solidFill>
              <w14:schemeClr w14:val="tx1"/>
            </w14:solidFill>
          </w14:textFill>
        </w:rPr>
      </w:pPr>
    </w:p>
    <w:p>
      <w:pPr>
        <w:jc w:val="both"/>
        <w:rPr>
          <w:color w:val="000000" w:themeColor="text1"/>
          <w14:textFill>
            <w14:solidFill>
              <w14:schemeClr w14:val="tx1"/>
            </w14:solidFill>
          </w14:textFill>
        </w:rPr>
      </w:pPr>
    </w:p>
    <w:p>
      <w:pPr>
        <w:spacing w:line="54" w:lineRule="exact"/>
        <w:jc w:val="both"/>
        <w:rPr>
          <w:color w:val="000000" w:themeColor="text1"/>
          <w14:textFill>
            <w14:solidFill>
              <w14:schemeClr w14:val="tx1"/>
            </w14:solidFill>
          </w14:textFill>
        </w:rPr>
      </w:pPr>
    </w:p>
    <w:tbl>
      <w:tblPr>
        <w:tblStyle w:val="35"/>
        <w:tblW w:w="88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875"/>
        <w:gridCol w:w="1209"/>
        <w:gridCol w:w="941"/>
        <w:gridCol w:w="2243"/>
        <w:gridCol w:w="90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vAlign w:val="center"/>
          </w:tcPr>
          <w:p>
            <w:pPr>
              <w:spacing w:before="75" w:line="520" w:lineRule="exact"/>
              <w:jc w:val="center"/>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序号</w:t>
            </w:r>
          </w:p>
        </w:tc>
        <w:tc>
          <w:tcPr>
            <w:tcW w:w="992" w:type="dxa"/>
            <w:vAlign w:val="center"/>
          </w:tcPr>
          <w:p>
            <w:pPr>
              <w:spacing w:before="74" w:line="520" w:lineRule="exact"/>
              <w:jc w:val="center"/>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投标人</w:t>
            </w:r>
          </w:p>
        </w:tc>
        <w:tc>
          <w:tcPr>
            <w:tcW w:w="1875" w:type="dxa"/>
            <w:vAlign w:val="center"/>
          </w:tcPr>
          <w:p>
            <w:pPr>
              <w:spacing w:before="75" w:line="520" w:lineRule="exact"/>
              <w:ind w:right="6"/>
              <w:jc w:val="center"/>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投标报价(元)</w:t>
            </w:r>
          </w:p>
        </w:tc>
        <w:tc>
          <w:tcPr>
            <w:tcW w:w="1209" w:type="dxa"/>
            <w:vAlign w:val="center"/>
          </w:tcPr>
          <w:p>
            <w:pPr>
              <w:spacing w:before="75" w:line="520" w:lineRule="exact"/>
              <w:ind w:right="-77"/>
              <w:jc w:val="center"/>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投标品牌</w:t>
            </w:r>
          </w:p>
        </w:tc>
        <w:tc>
          <w:tcPr>
            <w:tcW w:w="941" w:type="dxa"/>
            <w:vAlign w:val="center"/>
          </w:tcPr>
          <w:p>
            <w:pPr>
              <w:spacing w:before="75" w:line="520" w:lineRule="exact"/>
              <w:jc w:val="center"/>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交货期</w:t>
            </w:r>
          </w:p>
        </w:tc>
        <w:tc>
          <w:tcPr>
            <w:tcW w:w="2243" w:type="dxa"/>
            <w:vAlign w:val="center"/>
          </w:tcPr>
          <w:p>
            <w:pPr>
              <w:spacing w:before="118" w:line="520" w:lineRule="exact"/>
              <w:ind w:right="160"/>
              <w:jc w:val="center"/>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投标保证金缴纳情况</w:t>
            </w:r>
          </w:p>
        </w:tc>
        <w:tc>
          <w:tcPr>
            <w:tcW w:w="905" w:type="dxa"/>
            <w:vAlign w:val="center"/>
          </w:tcPr>
          <w:p>
            <w:pPr>
              <w:spacing w:before="75" w:line="520" w:lineRule="exact"/>
              <w:jc w:val="center"/>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pPr>
              <w:jc w:val="both"/>
              <w:rPr>
                <w:color w:val="000000" w:themeColor="text1"/>
                <w14:textFill>
                  <w14:solidFill>
                    <w14:schemeClr w14:val="tx1"/>
                  </w14:solidFill>
                </w14:textFill>
              </w:rPr>
            </w:pPr>
          </w:p>
        </w:tc>
        <w:tc>
          <w:tcPr>
            <w:tcW w:w="992" w:type="dxa"/>
          </w:tcPr>
          <w:p>
            <w:pPr>
              <w:jc w:val="both"/>
              <w:rPr>
                <w:color w:val="000000" w:themeColor="text1"/>
                <w14:textFill>
                  <w14:solidFill>
                    <w14:schemeClr w14:val="tx1"/>
                  </w14:solidFill>
                </w14:textFill>
              </w:rPr>
            </w:pPr>
          </w:p>
        </w:tc>
        <w:tc>
          <w:tcPr>
            <w:tcW w:w="1875" w:type="dxa"/>
          </w:tcPr>
          <w:p>
            <w:pPr>
              <w:jc w:val="both"/>
              <w:rPr>
                <w:color w:val="000000" w:themeColor="text1"/>
                <w14:textFill>
                  <w14:solidFill>
                    <w14:schemeClr w14:val="tx1"/>
                  </w14:solidFill>
                </w14:textFill>
              </w:rPr>
            </w:pPr>
          </w:p>
        </w:tc>
        <w:tc>
          <w:tcPr>
            <w:tcW w:w="1209" w:type="dxa"/>
          </w:tcPr>
          <w:p>
            <w:pPr>
              <w:jc w:val="both"/>
              <w:rPr>
                <w:color w:val="000000" w:themeColor="text1"/>
                <w14:textFill>
                  <w14:solidFill>
                    <w14:schemeClr w14:val="tx1"/>
                  </w14:solidFill>
                </w14:textFill>
              </w:rPr>
            </w:pPr>
          </w:p>
        </w:tc>
        <w:tc>
          <w:tcPr>
            <w:tcW w:w="941" w:type="dxa"/>
          </w:tcPr>
          <w:p>
            <w:pPr>
              <w:jc w:val="both"/>
              <w:rPr>
                <w:color w:val="000000" w:themeColor="text1"/>
                <w14:textFill>
                  <w14:solidFill>
                    <w14:schemeClr w14:val="tx1"/>
                  </w14:solidFill>
                </w14:textFill>
              </w:rPr>
            </w:pPr>
          </w:p>
        </w:tc>
        <w:tc>
          <w:tcPr>
            <w:tcW w:w="2243" w:type="dxa"/>
          </w:tcPr>
          <w:p>
            <w:pPr>
              <w:jc w:val="both"/>
              <w:rPr>
                <w:color w:val="000000" w:themeColor="text1"/>
                <w14:textFill>
                  <w14:solidFill>
                    <w14:schemeClr w14:val="tx1"/>
                  </w14:solidFill>
                </w14:textFill>
              </w:rPr>
            </w:pPr>
          </w:p>
        </w:tc>
        <w:tc>
          <w:tcPr>
            <w:tcW w:w="9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Pr>
          <w:p>
            <w:pPr>
              <w:jc w:val="both"/>
              <w:rPr>
                <w:color w:val="000000" w:themeColor="text1"/>
                <w14:textFill>
                  <w14:solidFill>
                    <w14:schemeClr w14:val="tx1"/>
                  </w14:solidFill>
                </w14:textFill>
              </w:rPr>
            </w:pPr>
          </w:p>
        </w:tc>
        <w:tc>
          <w:tcPr>
            <w:tcW w:w="992" w:type="dxa"/>
          </w:tcPr>
          <w:p>
            <w:pPr>
              <w:jc w:val="both"/>
              <w:rPr>
                <w:color w:val="000000" w:themeColor="text1"/>
                <w14:textFill>
                  <w14:solidFill>
                    <w14:schemeClr w14:val="tx1"/>
                  </w14:solidFill>
                </w14:textFill>
              </w:rPr>
            </w:pPr>
          </w:p>
        </w:tc>
        <w:tc>
          <w:tcPr>
            <w:tcW w:w="1875" w:type="dxa"/>
          </w:tcPr>
          <w:p>
            <w:pPr>
              <w:jc w:val="both"/>
              <w:rPr>
                <w:color w:val="000000" w:themeColor="text1"/>
                <w14:textFill>
                  <w14:solidFill>
                    <w14:schemeClr w14:val="tx1"/>
                  </w14:solidFill>
                </w14:textFill>
              </w:rPr>
            </w:pPr>
          </w:p>
        </w:tc>
        <w:tc>
          <w:tcPr>
            <w:tcW w:w="1209" w:type="dxa"/>
          </w:tcPr>
          <w:p>
            <w:pPr>
              <w:jc w:val="both"/>
              <w:rPr>
                <w:color w:val="000000" w:themeColor="text1"/>
                <w14:textFill>
                  <w14:solidFill>
                    <w14:schemeClr w14:val="tx1"/>
                  </w14:solidFill>
                </w14:textFill>
              </w:rPr>
            </w:pPr>
          </w:p>
        </w:tc>
        <w:tc>
          <w:tcPr>
            <w:tcW w:w="941" w:type="dxa"/>
          </w:tcPr>
          <w:p>
            <w:pPr>
              <w:jc w:val="both"/>
              <w:rPr>
                <w:color w:val="000000" w:themeColor="text1"/>
                <w14:textFill>
                  <w14:solidFill>
                    <w14:schemeClr w14:val="tx1"/>
                  </w14:solidFill>
                </w14:textFill>
              </w:rPr>
            </w:pPr>
          </w:p>
        </w:tc>
        <w:tc>
          <w:tcPr>
            <w:tcW w:w="2243" w:type="dxa"/>
          </w:tcPr>
          <w:p>
            <w:pPr>
              <w:jc w:val="both"/>
              <w:rPr>
                <w:color w:val="000000" w:themeColor="text1"/>
                <w14:textFill>
                  <w14:solidFill>
                    <w14:schemeClr w14:val="tx1"/>
                  </w14:solidFill>
                </w14:textFill>
              </w:rPr>
            </w:pPr>
          </w:p>
        </w:tc>
        <w:tc>
          <w:tcPr>
            <w:tcW w:w="9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tcPr>
          <w:p>
            <w:pPr>
              <w:jc w:val="both"/>
              <w:rPr>
                <w:color w:val="000000" w:themeColor="text1"/>
                <w14:textFill>
                  <w14:solidFill>
                    <w14:schemeClr w14:val="tx1"/>
                  </w14:solidFill>
                </w14:textFill>
              </w:rPr>
            </w:pPr>
          </w:p>
        </w:tc>
        <w:tc>
          <w:tcPr>
            <w:tcW w:w="992" w:type="dxa"/>
          </w:tcPr>
          <w:p>
            <w:pPr>
              <w:jc w:val="both"/>
              <w:rPr>
                <w:color w:val="000000" w:themeColor="text1"/>
                <w14:textFill>
                  <w14:solidFill>
                    <w14:schemeClr w14:val="tx1"/>
                  </w14:solidFill>
                </w14:textFill>
              </w:rPr>
            </w:pPr>
          </w:p>
        </w:tc>
        <w:tc>
          <w:tcPr>
            <w:tcW w:w="1875" w:type="dxa"/>
          </w:tcPr>
          <w:p>
            <w:pPr>
              <w:jc w:val="both"/>
              <w:rPr>
                <w:color w:val="000000" w:themeColor="text1"/>
                <w14:textFill>
                  <w14:solidFill>
                    <w14:schemeClr w14:val="tx1"/>
                  </w14:solidFill>
                </w14:textFill>
              </w:rPr>
            </w:pPr>
          </w:p>
        </w:tc>
        <w:tc>
          <w:tcPr>
            <w:tcW w:w="1209" w:type="dxa"/>
          </w:tcPr>
          <w:p>
            <w:pPr>
              <w:jc w:val="both"/>
              <w:rPr>
                <w:color w:val="000000" w:themeColor="text1"/>
                <w14:textFill>
                  <w14:solidFill>
                    <w14:schemeClr w14:val="tx1"/>
                  </w14:solidFill>
                </w14:textFill>
              </w:rPr>
            </w:pPr>
          </w:p>
        </w:tc>
        <w:tc>
          <w:tcPr>
            <w:tcW w:w="941" w:type="dxa"/>
          </w:tcPr>
          <w:p>
            <w:pPr>
              <w:jc w:val="both"/>
              <w:rPr>
                <w:color w:val="000000" w:themeColor="text1"/>
                <w14:textFill>
                  <w14:solidFill>
                    <w14:schemeClr w14:val="tx1"/>
                  </w14:solidFill>
                </w14:textFill>
              </w:rPr>
            </w:pPr>
          </w:p>
        </w:tc>
        <w:tc>
          <w:tcPr>
            <w:tcW w:w="2243" w:type="dxa"/>
          </w:tcPr>
          <w:p>
            <w:pPr>
              <w:jc w:val="both"/>
              <w:rPr>
                <w:color w:val="000000" w:themeColor="text1"/>
                <w14:textFill>
                  <w14:solidFill>
                    <w14:schemeClr w14:val="tx1"/>
                  </w14:solidFill>
                </w14:textFill>
              </w:rPr>
            </w:pPr>
          </w:p>
        </w:tc>
        <w:tc>
          <w:tcPr>
            <w:tcW w:w="9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pPr>
              <w:jc w:val="both"/>
              <w:rPr>
                <w:color w:val="000000" w:themeColor="text1"/>
                <w14:textFill>
                  <w14:solidFill>
                    <w14:schemeClr w14:val="tx1"/>
                  </w14:solidFill>
                </w14:textFill>
              </w:rPr>
            </w:pPr>
          </w:p>
        </w:tc>
        <w:tc>
          <w:tcPr>
            <w:tcW w:w="992" w:type="dxa"/>
          </w:tcPr>
          <w:p>
            <w:pPr>
              <w:jc w:val="both"/>
              <w:rPr>
                <w:color w:val="000000" w:themeColor="text1"/>
                <w14:textFill>
                  <w14:solidFill>
                    <w14:schemeClr w14:val="tx1"/>
                  </w14:solidFill>
                </w14:textFill>
              </w:rPr>
            </w:pPr>
          </w:p>
        </w:tc>
        <w:tc>
          <w:tcPr>
            <w:tcW w:w="1875" w:type="dxa"/>
          </w:tcPr>
          <w:p>
            <w:pPr>
              <w:jc w:val="both"/>
              <w:rPr>
                <w:color w:val="000000" w:themeColor="text1"/>
                <w14:textFill>
                  <w14:solidFill>
                    <w14:schemeClr w14:val="tx1"/>
                  </w14:solidFill>
                </w14:textFill>
              </w:rPr>
            </w:pPr>
          </w:p>
        </w:tc>
        <w:tc>
          <w:tcPr>
            <w:tcW w:w="1209" w:type="dxa"/>
          </w:tcPr>
          <w:p>
            <w:pPr>
              <w:jc w:val="both"/>
              <w:rPr>
                <w:color w:val="000000" w:themeColor="text1"/>
                <w14:textFill>
                  <w14:solidFill>
                    <w14:schemeClr w14:val="tx1"/>
                  </w14:solidFill>
                </w14:textFill>
              </w:rPr>
            </w:pPr>
          </w:p>
        </w:tc>
        <w:tc>
          <w:tcPr>
            <w:tcW w:w="941" w:type="dxa"/>
          </w:tcPr>
          <w:p>
            <w:pPr>
              <w:jc w:val="both"/>
              <w:rPr>
                <w:color w:val="000000" w:themeColor="text1"/>
                <w14:textFill>
                  <w14:solidFill>
                    <w14:schemeClr w14:val="tx1"/>
                  </w14:solidFill>
                </w14:textFill>
              </w:rPr>
            </w:pPr>
          </w:p>
        </w:tc>
        <w:tc>
          <w:tcPr>
            <w:tcW w:w="2243" w:type="dxa"/>
          </w:tcPr>
          <w:p>
            <w:pPr>
              <w:jc w:val="both"/>
              <w:rPr>
                <w:color w:val="000000" w:themeColor="text1"/>
                <w14:textFill>
                  <w14:solidFill>
                    <w14:schemeClr w14:val="tx1"/>
                  </w14:solidFill>
                </w14:textFill>
              </w:rPr>
            </w:pPr>
          </w:p>
        </w:tc>
        <w:tc>
          <w:tcPr>
            <w:tcW w:w="9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pPr>
              <w:jc w:val="both"/>
              <w:rPr>
                <w:color w:val="000000" w:themeColor="text1"/>
                <w14:textFill>
                  <w14:solidFill>
                    <w14:schemeClr w14:val="tx1"/>
                  </w14:solidFill>
                </w14:textFill>
              </w:rPr>
            </w:pPr>
          </w:p>
        </w:tc>
        <w:tc>
          <w:tcPr>
            <w:tcW w:w="992" w:type="dxa"/>
          </w:tcPr>
          <w:p>
            <w:pPr>
              <w:jc w:val="both"/>
              <w:rPr>
                <w:color w:val="000000" w:themeColor="text1"/>
                <w14:textFill>
                  <w14:solidFill>
                    <w14:schemeClr w14:val="tx1"/>
                  </w14:solidFill>
                </w14:textFill>
              </w:rPr>
            </w:pPr>
          </w:p>
        </w:tc>
        <w:tc>
          <w:tcPr>
            <w:tcW w:w="1875" w:type="dxa"/>
          </w:tcPr>
          <w:p>
            <w:pPr>
              <w:jc w:val="both"/>
              <w:rPr>
                <w:color w:val="000000" w:themeColor="text1"/>
                <w14:textFill>
                  <w14:solidFill>
                    <w14:schemeClr w14:val="tx1"/>
                  </w14:solidFill>
                </w14:textFill>
              </w:rPr>
            </w:pPr>
          </w:p>
        </w:tc>
        <w:tc>
          <w:tcPr>
            <w:tcW w:w="1209" w:type="dxa"/>
          </w:tcPr>
          <w:p>
            <w:pPr>
              <w:jc w:val="both"/>
              <w:rPr>
                <w:color w:val="000000" w:themeColor="text1"/>
                <w14:textFill>
                  <w14:solidFill>
                    <w14:schemeClr w14:val="tx1"/>
                  </w14:solidFill>
                </w14:textFill>
              </w:rPr>
            </w:pPr>
          </w:p>
        </w:tc>
        <w:tc>
          <w:tcPr>
            <w:tcW w:w="941" w:type="dxa"/>
          </w:tcPr>
          <w:p>
            <w:pPr>
              <w:jc w:val="both"/>
              <w:rPr>
                <w:color w:val="000000" w:themeColor="text1"/>
                <w14:textFill>
                  <w14:solidFill>
                    <w14:schemeClr w14:val="tx1"/>
                  </w14:solidFill>
                </w14:textFill>
              </w:rPr>
            </w:pPr>
          </w:p>
        </w:tc>
        <w:tc>
          <w:tcPr>
            <w:tcW w:w="2243" w:type="dxa"/>
          </w:tcPr>
          <w:p>
            <w:pPr>
              <w:jc w:val="both"/>
              <w:rPr>
                <w:color w:val="000000" w:themeColor="text1"/>
                <w14:textFill>
                  <w14:solidFill>
                    <w14:schemeClr w14:val="tx1"/>
                  </w14:solidFill>
                </w14:textFill>
              </w:rPr>
            </w:pPr>
          </w:p>
        </w:tc>
        <w:tc>
          <w:tcPr>
            <w:tcW w:w="9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pPr>
              <w:jc w:val="both"/>
              <w:rPr>
                <w:color w:val="000000" w:themeColor="text1"/>
                <w14:textFill>
                  <w14:solidFill>
                    <w14:schemeClr w14:val="tx1"/>
                  </w14:solidFill>
                </w14:textFill>
              </w:rPr>
            </w:pPr>
          </w:p>
        </w:tc>
        <w:tc>
          <w:tcPr>
            <w:tcW w:w="992" w:type="dxa"/>
          </w:tcPr>
          <w:p>
            <w:pPr>
              <w:jc w:val="both"/>
              <w:rPr>
                <w:color w:val="000000" w:themeColor="text1"/>
                <w14:textFill>
                  <w14:solidFill>
                    <w14:schemeClr w14:val="tx1"/>
                  </w14:solidFill>
                </w14:textFill>
              </w:rPr>
            </w:pPr>
          </w:p>
        </w:tc>
        <w:tc>
          <w:tcPr>
            <w:tcW w:w="1875" w:type="dxa"/>
          </w:tcPr>
          <w:p>
            <w:pPr>
              <w:jc w:val="both"/>
              <w:rPr>
                <w:color w:val="000000" w:themeColor="text1"/>
                <w14:textFill>
                  <w14:solidFill>
                    <w14:schemeClr w14:val="tx1"/>
                  </w14:solidFill>
                </w14:textFill>
              </w:rPr>
            </w:pPr>
          </w:p>
        </w:tc>
        <w:tc>
          <w:tcPr>
            <w:tcW w:w="1209" w:type="dxa"/>
          </w:tcPr>
          <w:p>
            <w:pPr>
              <w:jc w:val="both"/>
              <w:rPr>
                <w:color w:val="000000" w:themeColor="text1"/>
                <w14:textFill>
                  <w14:solidFill>
                    <w14:schemeClr w14:val="tx1"/>
                  </w14:solidFill>
                </w14:textFill>
              </w:rPr>
            </w:pPr>
          </w:p>
        </w:tc>
        <w:tc>
          <w:tcPr>
            <w:tcW w:w="941" w:type="dxa"/>
          </w:tcPr>
          <w:p>
            <w:pPr>
              <w:jc w:val="both"/>
              <w:rPr>
                <w:color w:val="000000" w:themeColor="text1"/>
                <w14:textFill>
                  <w14:solidFill>
                    <w14:schemeClr w14:val="tx1"/>
                  </w14:solidFill>
                </w14:textFill>
              </w:rPr>
            </w:pPr>
          </w:p>
        </w:tc>
        <w:tc>
          <w:tcPr>
            <w:tcW w:w="2243" w:type="dxa"/>
          </w:tcPr>
          <w:p>
            <w:pPr>
              <w:jc w:val="both"/>
              <w:rPr>
                <w:color w:val="000000" w:themeColor="text1"/>
                <w14:textFill>
                  <w14:solidFill>
                    <w14:schemeClr w14:val="tx1"/>
                  </w14:solidFill>
                </w14:textFill>
              </w:rPr>
            </w:pPr>
          </w:p>
        </w:tc>
        <w:tc>
          <w:tcPr>
            <w:tcW w:w="9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tcPr>
          <w:p>
            <w:pPr>
              <w:jc w:val="both"/>
              <w:rPr>
                <w:color w:val="000000" w:themeColor="text1"/>
                <w14:textFill>
                  <w14:solidFill>
                    <w14:schemeClr w14:val="tx1"/>
                  </w14:solidFill>
                </w14:textFill>
              </w:rPr>
            </w:pPr>
          </w:p>
        </w:tc>
        <w:tc>
          <w:tcPr>
            <w:tcW w:w="992" w:type="dxa"/>
          </w:tcPr>
          <w:p>
            <w:pPr>
              <w:jc w:val="both"/>
              <w:rPr>
                <w:color w:val="000000" w:themeColor="text1"/>
                <w14:textFill>
                  <w14:solidFill>
                    <w14:schemeClr w14:val="tx1"/>
                  </w14:solidFill>
                </w14:textFill>
              </w:rPr>
            </w:pPr>
          </w:p>
        </w:tc>
        <w:tc>
          <w:tcPr>
            <w:tcW w:w="1875" w:type="dxa"/>
          </w:tcPr>
          <w:p>
            <w:pPr>
              <w:jc w:val="both"/>
              <w:rPr>
                <w:color w:val="000000" w:themeColor="text1"/>
                <w14:textFill>
                  <w14:solidFill>
                    <w14:schemeClr w14:val="tx1"/>
                  </w14:solidFill>
                </w14:textFill>
              </w:rPr>
            </w:pPr>
          </w:p>
        </w:tc>
        <w:tc>
          <w:tcPr>
            <w:tcW w:w="1209" w:type="dxa"/>
          </w:tcPr>
          <w:p>
            <w:pPr>
              <w:jc w:val="both"/>
              <w:rPr>
                <w:color w:val="000000" w:themeColor="text1"/>
                <w14:textFill>
                  <w14:solidFill>
                    <w14:schemeClr w14:val="tx1"/>
                  </w14:solidFill>
                </w14:textFill>
              </w:rPr>
            </w:pPr>
          </w:p>
        </w:tc>
        <w:tc>
          <w:tcPr>
            <w:tcW w:w="941" w:type="dxa"/>
          </w:tcPr>
          <w:p>
            <w:pPr>
              <w:jc w:val="both"/>
              <w:rPr>
                <w:color w:val="000000" w:themeColor="text1"/>
                <w14:textFill>
                  <w14:solidFill>
                    <w14:schemeClr w14:val="tx1"/>
                  </w14:solidFill>
                </w14:textFill>
              </w:rPr>
            </w:pPr>
          </w:p>
        </w:tc>
        <w:tc>
          <w:tcPr>
            <w:tcW w:w="2243" w:type="dxa"/>
          </w:tcPr>
          <w:p>
            <w:pPr>
              <w:jc w:val="both"/>
              <w:rPr>
                <w:color w:val="000000" w:themeColor="text1"/>
                <w14:textFill>
                  <w14:solidFill>
                    <w14:schemeClr w14:val="tx1"/>
                  </w14:solidFill>
                </w14:textFill>
              </w:rPr>
            </w:pPr>
          </w:p>
        </w:tc>
        <w:tc>
          <w:tcPr>
            <w:tcW w:w="9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pPr>
              <w:jc w:val="both"/>
              <w:rPr>
                <w:color w:val="000000" w:themeColor="text1"/>
                <w14:textFill>
                  <w14:solidFill>
                    <w14:schemeClr w14:val="tx1"/>
                  </w14:solidFill>
                </w14:textFill>
              </w:rPr>
            </w:pPr>
          </w:p>
        </w:tc>
        <w:tc>
          <w:tcPr>
            <w:tcW w:w="992" w:type="dxa"/>
          </w:tcPr>
          <w:p>
            <w:pPr>
              <w:jc w:val="both"/>
              <w:rPr>
                <w:color w:val="000000" w:themeColor="text1"/>
                <w14:textFill>
                  <w14:solidFill>
                    <w14:schemeClr w14:val="tx1"/>
                  </w14:solidFill>
                </w14:textFill>
              </w:rPr>
            </w:pPr>
          </w:p>
        </w:tc>
        <w:tc>
          <w:tcPr>
            <w:tcW w:w="1875" w:type="dxa"/>
          </w:tcPr>
          <w:p>
            <w:pPr>
              <w:jc w:val="both"/>
              <w:rPr>
                <w:color w:val="000000" w:themeColor="text1"/>
                <w14:textFill>
                  <w14:solidFill>
                    <w14:schemeClr w14:val="tx1"/>
                  </w14:solidFill>
                </w14:textFill>
              </w:rPr>
            </w:pPr>
          </w:p>
        </w:tc>
        <w:tc>
          <w:tcPr>
            <w:tcW w:w="1209" w:type="dxa"/>
          </w:tcPr>
          <w:p>
            <w:pPr>
              <w:jc w:val="both"/>
              <w:rPr>
                <w:color w:val="000000" w:themeColor="text1"/>
                <w14:textFill>
                  <w14:solidFill>
                    <w14:schemeClr w14:val="tx1"/>
                  </w14:solidFill>
                </w14:textFill>
              </w:rPr>
            </w:pPr>
          </w:p>
        </w:tc>
        <w:tc>
          <w:tcPr>
            <w:tcW w:w="941" w:type="dxa"/>
          </w:tcPr>
          <w:p>
            <w:pPr>
              <w:jc w:val="both"/>
              <w:rPr>
                <w:color w:val="000000" w:themeColor="text1"/>
                <w14:textFill>
                  <w14:solidFill>
                    <w14:schemeClr w14:val="tx1"/>
                  </w14:solidFill>
                </w14:textFill>
              </w:rPr>
            </w:pPr>
          </w:p>
        </w:tc>
        <w:tc>
          <w:tcPr>
            <w:tcW w:w="2243" w:type="dxa"/>
          </w:tcPr>
          <w:p>
            <w:pPr>
              <w:jc w:val="both"/>
              <w:rPr>
                <w:color w:val="000000" w:themeColor="text1"/>
                <w14:textFill>
                  <w14:solidFill>
                    <w14:schemeClr w14:val="tx1"/>
                  </w14:solidFill>
                </w14:textFill>
              </w:rPr>
            </w:pPr>
          </w:p>
        </w:tc>
        <w:tc>
          <w:tcPr>
            <w:tcW w:w="9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pPr>
              <w:jc w:val="both"/>
              <w:rPr>
                <w:color w:val="000000" w:themeColor="text1"/>
                <w14:textFill>
                  <w14:solidFill>
                    <w14:schemeClr w14:val="tx1"/>
                  </w14:solidFill>
                </w14:textFill>
              </w:rPr>
            </w:pPr>
          </w:p>
        </w:tc>
        <w:tc>
          <w:tcPr>
            <w:tcW w:w="992" w:type="dxa"/>
          </w:tcPr>
          <w:p>
            <w:pPr>
              <w:jc w:val="both"/>
              <w:rPr>
                <w:color w:val="000000" w:themeColor="text1"/>
                <w14:textFill>
                  <w14:solidFill>
                    <w14:schemeClr w14:val="tx1"/>
                  </w14:solidFill>
                </w14:textFill>
              </w:rPr>
            </w:pPr>
          </w:p>
        </w:tc>
        <w:tc>
          <w:tcPr>
            <w:tcW w:w="1875" w:type="dxa"/>
          </w:tcPr>
          <w:p>
            <w:pPr>
              <w:jc w:val="both"/>
              <w:rPr>
                <w:color w:val="000000" w:themeColor="text1"/>
                <w14:textFill>
                  <w14:solidFill>
                    <w14:schemeClr w14:val="tx1"/>
                  </w14:solidFill>
                </w14:textFill>
              </w:rPr>
            </w:pPr>
          </w:p>
        </w:tc>
        <w:tc>
          <w:tcPr>
            <w:tcW w:w="1209" w:type="dxa"/>
          </w:tcPr>
          <w:p>
            <w:pPr>
              <w:jc w:val="both"/>
              <w:rPr>
                <w:color w:val="000000" w:themeColor="text1"/>
                <w14:textFill>
                  <w14:solidFill>
                    <w14:schemeClr w14:val="tx1"/>
                  </w14:solidFill>
                </w14:textFill>
              </w:rPr>
            </w:pPr>
          </w:p>
        </w:tc>
        <w:tc>
          <w:tcPr>
            <w:tcW w:w="941" w:type="dxa"/>
          </w:tcPr>
          <w:p>
            <w:pPr>
              <w:jc w:val="both"/>
              <w:rPr>
                <w:color w:val="000000" w:themeColor="text1"/>
                <w14:textFill>
                  <w14:solidFill>
                    <w14:schemeClr w14:val="tx1"/>
                  </w14:solidFill>
                </w14:textFill>
              </w:rPr>
            </w:pPr>
          </w:p>
        </w:tc>
        <w:tc>
          <w:tcPr>
            <w:tcW w:w="2243" w:type="dxa"/>
          </w:tcPr>
          <w:p>
            <w:pPr>
              <w:jc w:val="both"/>
              <w:rPr>
                <w:color w:val="000000" w:themeColor="text1"/>
                <w14:textFill>
                  <w14:solidFill>
                    <w14:schemeClr w14:val="tx1"/>
                  </w14:solidFill>
                </w14:textFill>
              </w:rPr>
            </w:pPr>
          </w:p>
        </w:tc>
        <w:tc>
          <w:tcPr>
            <w:tcW w:w="9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Pr>
          <w:p>
            <w:pPr>
              <w:jc w:val="both"/>
              <w:rPr>
                <w:color w:val="000000" w:themeColor="text1"/>
                <w14:textFill>
                  <w14:solidFill>
                    <w14:schemeClr w14:val="tx1"/>
                  </w14:solidFill>
                </w14:textFill>
              </w:rPr>
            </w:pPr>
          </w:p>
        </w:tc>
        <w:tc>
          <w:tcPr>
            <w:tcW w:w="992" w:type="dxa"/>
          </w:tcPr>
          <w:p>
            <w:pPr>
              <w:jc w:val="both"/>
              <w:rPr>
                <w:color w:val="000000" w:themeColor="text1"/>
                <w14:textFill>
                  <w14:solidFill>
                    <w14:schemeClr w14:val="tx1"/>
                  </w14:solidFill>
                </w14:textFill>
              </w:rPr>
            </w:pPr>
          </w:p>
        </w:tc>
        <w:tc>
          <w:tcPr>
            <w:tcW w:w="1875" w:type="dxa"/>
          </w:tcPr>
          <w:p>
            <w:pPr>
              <w:jc w:val="both"/>
              <w:rPr>
                <w:color w:val="000000" w:themeColor="text1"/>
                <w14:textFill>
                  <w14:solidFill>
                    <w14:schemeClr w14:val="tx1"/>
                  </w14:solidFill>
                </w14:textFill>
              </w:rPr>
            </w:pPr>
          </w:p>
        </w:tc>
        <w:tc>
          <w:tcPr>
            <w:tcW w:w="1209" w:type="dxa"/>
          </w:tcPr>
          <w:p>
            <w:pPr>
              <w:jc w:val="both"/>
              <w:rPr>
                <w:color w:val="000000" w:themeColor="text1"/>
                <w14:textFill>
                  <w14:solidFill>
                    <w14:schemeClr w14:val="tx1"/>
                  </w14:solidFill>
                </w14:textFill>
              </w:rPr>
            </w:pPr>
          </w:p>
        </w:tc>
        <w:tc>
          <w:tcPr>
            <w:tcW w:w="941" w:type="dxa"/>
          </w:tcPr>
          <w:p>
            <w:pPr>
              <w:jc w:val="both"/>
              <w:rPr>
                <w:color w:val="000000" w:themeColor="text1"/>
                <w14:textFill>
                  <w14:solidFill>
                    <w14:schemeClr w14:val="tx1"/>
                  </w14:solidFill>
                </w14:textFill>
              </w:rPr>
            </w:pPr>
          </w:p>
        </w:tc>
        <w:tc>
          <w:tcPr>
            <w:tcW w:w="2243" w:type="dxa"/>
          </w:tcPr>
          <w:p>
            <w:pPr>
              <w:jc w:val="both"/>
              <w:rPr>
                <w:color w:val="000000" w:themeColor="text1"/>
                <w14:textFill>
                  <w14:solidFill>
                    <w14:schemeClr w14:val="tx1"/>
                  </w14:solidFill>
                </w14:textFill>
              </w:rPr>
            </w:pPr>
          </w:p>
        </w:tc>
        <w:tc>
          <w:tcPr>
            <w:tcW w:w="9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pPr>
              <w:jc w:val="both"/>
              <w:rPr>
                <w:color w:val="000000" w:themeColor="text1"/>
                <w14:textFill>
                  <w14:solidFill>
                    <w14:schemeClr w14:val="tx1"/>
                  </w14:solidFill>
                </w14:textFill>
              </w:rPr>
            </w:pPr>
          </w:p>
        </w:tc>
        <w:tc>
          <w:tcPr>
            <w:tcW w:w="992" w:type="dxa"/>
          </w:tcPr>
          <w:p>
            <w:pPr>
              <w:jc w:val="both"/>
              <w:rPr>
                <w:color w:val="000000" w:themeColor="text1"/>
                <w14:textFill>
                  <w14:solidFill>
                    <w14:schemeClr w14:val="tx1"/>
                  </w14:solidFill>
                </w14:textFill>
              </w:rPr>
            </w:pPr>
          </w:p>
        </w:tc>
        <w:tc>
          <w:tcPr>
            <w:tcW w:w="1875" w:type="dxa"/>
          </w:tcPr>
          <w:p>
            <w:pPr>
              <w:jc w:val="both"/>
              <w:rPr>
                <w:color w:val="000000" w:themeColor="text1"/>
                <w14:textFill>
                  <w14:solidFill>
                    <w14:schemeClr w14:val="tx1"/>
                  </w14:solidFill>
                </w14:textFill>
              </w:rPr>
            </w:pPr>
          </w:p>
        </w:tc>
        <w:tc>
          <w:tcPr>
            <w:tcW w:w="1209" w:type="dxa"/>
          </w:tcPr>
          <w:p>
            <w:pPr>
              <w:jc w:val="both"/>
              <w:rPr>
                <w:color w:val="000000" w:themeColor="text1"/>
                <w14:textFill>
                  <w14:solidFill>
                    <w14:schemeClr w14:val="tx1"/>
                  </w14:solidFill>
                </w14:textFill>
              </w:rPr>
            </w:pPr>
          </w:p>
        </w:tc>
        <w:tc>
          <w:tcPr>
            <w:tcW w:w="941" w:type="dxa"/>
          </w:tcPr>
          <w:p>
            <w:pPr>
              <w:jc w:val="both"/>
              <w:rPr>
                <w:color w:val="000000" w:themeColor="text1"/>
                <w14:textFill>
                  <w14:solidFill>
                    <w14:schemeClr w14:val="tx1"/>
                  </w14:solidFill>
                </w14:textFill>
              </w:rPr>
            </w:pPr>
          </w:p>
        </w:tc>
        <w:tc>
          <w:tcPr>
            <w:tcW w:w="2243" w:type="dxa"/>
          </w:tcPr>
          <w:p>
            <w:pPr>
              <w:jc w:val="both"/>
              <w:rPr>
                <w:color w:val="000000" w:themeColor="text1"/>
                <w14:textFill>
                  <w14:solidFill>
                    <w14:schemeClr w14:val="tx1"/>
                  </w14:solidFill>
                </w14:textFill>
              </w:rPr>
            </w:pPr>
          </w:p>
        </w:tc>
        <w:tc>
          <w:tcPr>
            <w:tcW w:w="9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tcPr>
          <w:p>
            <w:pPr>
              <w:jc w:val="both"/>
              <w:rPr>
                <w:color w:val="000000" w:themeColor="text1"/>
                <w14:textFill>
                  <w14:solidFill>
                    <w14:schemeClr w14:val="tx1"/>
                  </w14:solidFill>
                </w14:textFill>
              </w:rPr>
            </w:pPr>
          </w:p>
        </w:tc>
        <w:tc>
          <w:tcPr>
            <w:tcW w:w="992" w:type="dxa"/>
          </w:tcPr>
          <w:p>
            <w:pPr>
              <w:jc w:val="both"/>
              <w:rPr>
                <w:color w:val="000000" w:themeColor="text1"/>
                <w14:textFill>
                  <w14:solidFill>
                    <w14:schemeClr w14:val="tx1"/>
                  </w14:solidFill>
                </w14:textFill>
              </w:rPr>
            </w:pPr>
          </w:p>
        </w:tc>
        <w:tc>
          <w:tcPr>
            <w:tcW w:w="1875" w:type="dxa"/>
          </w:tcPr>
          <w:p>
            <w:pPr>
              <w:jc w:val="both"/>
              <w:rPr>
                <w:color w:val="000000" w:themeColor="text1"/>
                <w14:textFill>
                  <w14:solidFill>
                    <w14:schemeClr w14:val="tx1"/>
                  </w14:solidFill>
                </w14:textFill>
              </w:rPr>
            </w:pPr>
          </w:p>
        </w:tc>
        <w:tc>
          <w:tcPr>
            <w:tcW w:w="1209" w:type="dxa"/>
          </w:tcPr>
          <w:p>
            <w:pPr>
              <w:jc w:val="both"/>
              <w:rPr>
                <w:color w:val="000000" w:themeColor="text1"/>
                <w14:textFill>
                  <w14:solidFill>
                    <w14:schemeClr w14:val="tx1"/>
                  </w14:solidFill>
                </w14:textFill>
              </w:rPr>
            </w:pPr>
          </w:p>
        </w:tc>
        <w:tc>
          <w:tcPr>
            <w:tcW w:w="941" w:type="dxa"/>
          </w:tcPr>
          <w:p>
            <w:pPr>
              <w:jc w:val="both"/>
              <w:rPr>
                <w:color w:val="000000" w:themeColor="text1"/>
                <w14:textFill>
                  <w14:solidFill>
                    <w14:schemeClr w14:val="tx1"/>
                  </w14:solidFill>
                </w14:textFill>
              </w:rPr>
            </w:pPr>
          </w:p>
        </w:tc>
        <w:tc>
          <w:tcPr>
            <w:tcW w:w="2243" w:type="dxa"/>
          </w:tcPr>
          <w:p>
            <w:pPr>
              <w:jc w:val="both"/>
              <w:rPr>
                <w:color w:val="000000" w:themeColor="text1"/>
                <w14:textFill>
                  <w14:solidFill>
                    <w14:schemeClr w14:val="tx1"/>
                  </w14:solidFill>
                </w14:textFill>
              </w:rPr>
            </w:pPr>
          </w:p>
        </w:tc>
        <w:tc>
          <w:tcPr>
            <w:tcW w:w="905" w:type="dxa"/>
          </w:tcPr>
          <w:p>
            <w:pPr>
              <w:jc w:val="both"/>
              <w:rPr>
                <w:color w:val="000000" w:themeColor="text1"/>
                <w14:textFill>
                  <w14:solidFill>
                    <w14:schemeClr w14:val="tx1"/>
                  </w14:solidFill>
                </w14:textFill>
              </w:rPr>
            </w:pPr>
          </w:p>
        </w:tc>
      </w:tr>
    </w:tbl>
    <w:p>
      <w:pPr>
        <w:spacing w:line="291" w:lineRule="auto"/>
        <w:jc w:val="both"/>
        <w:rPr>
          <w:color w:val="000000" w:themeColor="text1"/>
          <w14:textFill>
            <w14:solidFill>
              <w14:schemeClr w14:val="tx1"/>
            </w14:solidFill>
          </w14:textFill>
        </w:rPr>
      </w:pPr>
    </w:p>
    <w:p>
      <w:pPr>
        <w:spacing w:line="292" w:lineRule="auto"/>
        <w:jc w:val="both"/>
        <w:rPr>
          <w:color w:val="000000" w:themeColor="text1"/>
          <w14:textFill>
            <w14:solidFill>
              <w14:schemeClr w14:val="tx1"/>
            </w14:solidFill>
          </w14:textFill>
        </w:rPr>
      </w:pPr>
    </w:p>
    <w:p>
      <w:pPr>
        <w:tabs>
          <w:tab w:val="left" w:pos="6520"/>
        </w:tabs>
        <w:spacing w:before="75" w:line="503" w:lineRule="auto"/>
        <w:ind w:left="5429" w:hanging="535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招标人代表：</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记录人：</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监标人：</w:t>
      </w:r>
      <w:r>
        <w:rPr>
          <w:rFonts w:ascii="宋体" w:hAnsi="宋体" w:eastAsia="宋体" w:cs="宋体"/>
          <w:color w:val="000000" w:themeColor="text1"/>
          <w:sz w:val="23"/>
          <w:szCs w:val="23"/>
          <w:u w:val="single"/>
          <w14:textFill>
            <w14:solidFill>
              <w14:schemeClr w14:val="tx1"/>
            </w14:solidFill>
          </w14:textFill>
        </w:rPr>
        <w:t xml:space="preserve">   </w:t>
      </w:r>
    </w:p>
    <w:p>
      <w:pPr>
        <w:tabs>
          <w:tab w:val="left" w:pos="6520"/>
        </w:tabs>
        <w:spacing w:before="75" w:line="503" w:lineRule="auto"/>
        <w:ind w:left="5429" w:hanging="5357"/>
        <w:jc w:val="right"/>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年</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月</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日</w:t>
      </w:r>
    </w:p>
    <w:p>
      <w:pPr>
        <w:jc w:val="right"/>
        <w:rPr>
          <w:color w:val="000000" w:themeColor="text1"/>
          <w14:textFill>
            <w14:solidFill>
              <w14:schemeClr w14:val="tx1"/>
            </w14:solidFill>
          </w14:textFill>
        </w:rPr>
        <w:sectPr>
          <w:footerReference r:id="rId7" w:type="default"/>
          <w:pgSz w:w="11906" w:h="16839"/>
          <w:pgMar w:top="1418" w:right="1559" w:bottom="1418" w:left="1474" w:header="0" w:footer="1035" w:gutter="0"/>
          <w:cols w:space="720" w:num="1"/>
        </w:sectPr>
      </w:pPr>
    </w:p>
    <w:p>
      <w:pPr>
        <w:spacing w:line="347" w:lineRule="auto"/>
        <w:jc w:val="both"/>
        <w:rPr>
          <w:color w:val="000000" w:themeColor="text1"/>
          <w14:textFill>
            <w14:solidFill>
              <w14:schemeClr w14:val="tx1"/>
            </w14:solidFill>
          </w14:textFill>
        </w:rPr>
      </w:pPr>
    </w:p>
    <w:p>
      <w:pPr>
        <w:spacing w:before="91" w:line="220" w:lineRule="auto"/>
        <w:ind w:left="312"/>
        <w:jc w:val="both"/>
        <w:outlineLvl w:val="1"/>
        <w:rPr>
          <w:rFonts w:ascii="宋体" w:hAnsi="宋体" w:eastAsia="宋体" w:cs="宋体"/>
          <w:color w:val="000000" w:themeColor="text1"/>
          <w:sz w:val="28"/>
          <w:szCs w:val="28"/>
          <w14:textFill>
            <w14:solidFill>
              <w14:schemeClr w14:val="tx1"/>
            </w14:solidFill>
          </w14:textFill>
        </w:rPr>
      </w:pPr>
      <w:bookmarkStart w:id="39" w:name="_bookmark6"/>
      <w:bookmarkEnd w:id="39"/>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附表二：问题澄清通知</w:t>
      </w:r>
    </w:p>
    <w:p>
      <w:pPr>
        <w:spacing w:line="331" w:lineRule="auto"/>
        <w:jc w:val="both"/>
        <w:rPr>
          <w:color w:val="000000" w:themeColor="text1"/>
          <w14:textFill>
            <w14:solidFill>
              <w14:schemeClr w14:val="tx1"/>
            </w14:solidFill>
          </w14:textFill>
        </w:rPr>
      </w:pPr>
    </w:p>
    <w:p>
      <w:pPr>
        <w:spacing w:line="332" w:lineRule="auto"/>
        <w:jc w:val="both"/>
        <w:rPr>
          <w:color w:val="000000" w:themeColor="text1"/>
          <w14:textFill>
            <w14:solidFill>
              <w14:schemeClr w14:val="tx1"/>
            </w14:solidFill>
          </w14:textFill>
        </w:rPr>
      </w:pPr>
    </w:p>
    <w:p>
      <w:pPr>
        <w:spacing w:before="91" w:line="221" w:lineRule="auto"/>
        <w:ind w:left="3845"/>
        <w:jc w:val="both"/>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问题澄清通知</w:t>
      </w:r>
    </w:p>
    <w:p>
      <w:pPr>
        <w:spacing w:before="287" w:line="221" w:lineRule="auto"/>
        <w:ind w:left="3957"/>
        <w:jc w:val="both"/>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编号：</w:t>
      </w:r>
    </w:p>
    <w:p>
      <w:pPr>
        <w:spacing w:line="349" w:lineRule="auto"/>
        <w:jc w:val="both"/>
        <w:rPr>
          <w:color w:val="000000" w:themeColor="text1"/>
          <w14:textFill>
            <w14:solidFill>
              <w14:schemeClr w14:val="tx1"/>
            </w14:solidFill>
          </w14:textFill>
        </w:rPr>
      </w:pPr>
    </w:p>
    <w:p>
      <w:pPr>
        <w:spacing w:line="349" w:lineRule="auto"/>
        <w:jc w:val="both"/>
        <w:rPr>
          <w:color w:val="000000" w:themeColor="text1"/>
          <w14:textFill>
            <w14:solidFill>
              <w14:schemeClr w14:val="tx1"/>
            </w14:solidFill>
          </w14:textFill>
        </w:rPr>
      </w:pPr>
    </w:p>
    <w:p>
      <w:pPr>
        <w:tabs>
          <w:tab w:val="left" w:pos="1978"/>
        </w:tabs>
        <w:spacing w:before="91" w:line="221" w:lineRule="auto"/>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u w:val="single"/>
          <w14:textFill>
            <w14:solidFill>
              <w14:schemeClr w14:val="tx1"/>
            </w14:solidFill>
          </w14:textFill>
        </w:rPr>
        <w:tab/>
      </w:r>
      <w:r>
        <w:rPr>
          <w:rFonts w:ascii="宋体" w:hAnsi="宋体" w:eastAsia="宋体" w:cs="宋体"/>
          <w:color w:val="000000" w:themeColor="text1"/>
          <w:sz w:val="24"/>
          <w:szCs w:val="24"/>
          <w14:textFill>
            <w14:solidFill>
              <w14:schemeClr w14:val="tx1"/>
            </w14:solidFill>
          </w14:textFill>
        </w:rPr>
        <w:t>(投标人名称):</w:t>
      </w:r>
    </w:p>
    <w:p>
      <w:pPr>
        <w:tabs>
          <w:tab w:val="left" w:pos="1558"/>
        </w:tabs>
        <w:spacing w:before="226" w:line="377" w:lineRule="auto"/>
        <w:ind w:left="10" w:right="72" w:firstLine="549"/>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u w:val="single"/>
          <w14:textFill>
            <w14:solidFill>
              <w14:schemeClr w14:val="tx1"/>
            </w14:solidFill>
          </w14:textFill>
        </w:rPr>
        <w:tab/>
      </w:r>
      <w:r>
        <w:rPr>
          <w:rFonts w:ascii="宋体" w:hAnsi="宋体" w:eastAsia="宋体" w:cs="宋体"/>
          <w:color w:val="000000" w:themeColor="text1"/>
          <w:sz w:val="24"/>
          <w:szCs w:val="24"/>
          <w14:textFill>
            <w14:solidFill>
              <w14:schemeClr w14:val="tx1"/>
            </w14:solidFill>
          </w14:textFill>
        </w:rPr>
        <w:t>(项目名称)标段招标的评标委员会，对你方的投标文件进行了仔细的审查，现需你方对下列问题以书面形式予以澄清：</w:t>
      </w:r>
    </w:p>
    <w:p>
      <w:pPr>
        <w:spacing w:before="18" w:line="563" w:lineRule="exact"/>
        <w:ind w:left="591"/>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position w:val="25"/>
          <w:sz w:val="24"/>
          <w:szCs w:val="24"/>
          <w14:textFill>
            <w14:solidFill>
              <w14:schemeClr w14:val="tx1"/>
            </w14:solidFill>
          </w14:textFill>
        </w:rPr>
        <w:t>1.</w:t>
      </w:r>
    </w:p>
    <w:p>
      <w:pPr>
        <w:spacing w:line="186" w:lineRule="auto"/>
        <w:ind w:left="574"/>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2.</w:t>
      </w:r>
    </w:p>
    <w:p>
      <w:pPr>
        <w:spacing w:before="232" w:line="443" w:lineRule="exact"/>
        <w:ind w:left="588"/>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position w:val="3"/>
          <w:sz w:val="24"/>
          <w:szCs w:val="24"/>
          <w14:textFill>
            <w14:solidFill>
              <w14:schemeClr w14:val="tx1"/>
            </w14:solidFill>
          </w14:textFill>
        </w:rPr>
        <w:t>……</w:t>
      </w:r>
    </w:p>
    <w:p>
      <w:pPr>
        <w:spacing w:before="116" w:line="379" w:lineRule="auto"/>
        <w:ind w:left="12" w:right="72" w:firstLine="555"/>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请将上述问题的澄清于年月日时前反馈。</w:t>
      </w:r>
    </w:p>
    <w:p>
      <w:pPr>
        <w:spacing w:line="248" w:lineRule="auto"/>
        <w:jc w:val="both"/>
        <w:rPr>
          <w:color w:val="000000" w:themeColor="text1"/>
          <w:sz w:val="24"/>
          <w:szCs w:val="24"/>
          <w14:textFill>
            <w14:solidFill>
              <w14:schemeClr w14:val="tx1"/>
            </w14:solidFill>
          </w14:textFill>
        </w:rPr>
      </w:pPr>
    </w:p>
    <w:p>
      <w:pPr>
        <w:spacing w:line="249" w:lineRule="auto"/>
        <w:jc w:val="both"/>
        <w:rPr>
          <w:color w:val="000000" w:themeColor="text1"/>
          <w:sz w:val="24"/>
          <w:szCs w:val="24"/>
          <w14:textFill>
            <w14:solidFill>
              <w14:schemeClr w14:val="tx1"/>
            </w14:solidFill>
          </w14:textFill>
        </w:rPr>
      </w:pPr>
    </w:p>
    <w:p>
      <w:pPr>
        <w:spacing w:line="249" w:lineRule="auto"/>
        <w:jc w:val="both"/>
        <w:rPr>
          <w:color w:val="000000" w:themeColor="text1"/>
          <w:sz w:val="24"/>
          <w:szCs w:val="24"/>
          <w14:textFill>
            <w14:solidFill>
              <w14:schemeClr w14:val="tx1"/>
            </w14:solidFill>
          </w14:textFill>
        </w:rPr>
      </w:pPr>
    </w:p>
    <w:p>
      <w:pPr>
        <w:spacing w:line="249" w:lineRule="auto"/>
        <w:jc w:val="both"/>
        <w:rPr>
          <w:color w:val="000000" w:themeColor="text1"/>
          <w:sz w:val="24"/>
          <w:szCs w:val="24"/>
          <w14:textFill>
            <w14:solidFill>
              <w14:schemeClr w14:val="tx1"/>
            </w14:solidFill>
          </w14:textFill>
        </w:rPr>
      </w:pPr>
    </w:p>
    <w:p>
      <w:pPr>
        <w:tabs>
          <w:tab w:val="left" w:pos="6922"/>
        </w:tabs>
        <w:spacing w:before="91" w:line="377" w:lineRule="auto"/>
        <w:ind w:left="6489" w:hanging="298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评标委员会负责人：</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 xml:space="preserve"> (签字或盖章)</w:t>
      </w:r>
    </w:p>
    <w:p>
      <w:pPr>
        <w:tabs>
          <w:tab w:val="left" w:pos="6922"/>
        </w:tabs>
        <w:spacing w:before="91" w:line="377" w:lineRule="auto"/>
        <w:ind w:left="105" w:leftChars="50" w:firstLine="115" w:firstLineChars="50"/>
        <w:jc w:val="righ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年</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月</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日</w:t>
      </w:r>
    </w:p>
    <w:p>
      <w:pPr>
        <w:jc w:val="both"/>
        <w:rPr>
          <w:color w:val="000000" w:themeColor="text1"/>
          <w14:textFill>
            <w14:solidFill>
              <w14:schemeClr w14:val="tx1"/>
            </w14:solidFill>
          </w14:textFill>
        </w:rPr>
        <w:sectPr>
          <w:footerReference r:id="rId8" w:type="default"/>
          <w:pgSz w:w="11906" w:h="16839"/>
          <w:pgMar w:top="1418" w:right="1559" w:bottom="1418" w:left="1474" w:header="0" w:footer="1035" w:gutter="0"/>
          <w:cols w:space="720" w:num="1"/>
        </w:sectPr>
      </w:pPr>
    </w:p>
    <w:p>
      <w:pPr>
        <w:spacing w:before="157" w:line="220" w:lineRule="auto"/>
        <w:ind w:left="314"/>
        <w:jc w:val="both"/>
        <w:outlineLvl w:val="1"/>
        <w:rPr>
          <w:rFonts w:ascii="宋体" w:hAnsi="宋体" w:eastAsia="宋体" w:cs="宋体"/>
          <w:color w:val="000000" w:themeColor="text1"/>
          <w:sz w:val="28"/>
          <w:szCs w:val="28"/>
          <w14:textFill>
            <w14:solidFill>
              <w14:schemeClr w14:val="tx1"/>
            </w14:solidFill>
          </w14:textFill>
        </w:rPr>
      </w:pPr>
      <w:bookmarkStart w:id="40" w:name="_bookmark7"/>
      <w:bookmarkEnd w:id="40"/>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附表三：问题的澄清</w:t>
      </w:r>
    </w:p>
    <w:p>
      <w:pPr>
        <w:spacing w:line="264" w:lineRule="auto"/>
        <w:jc w:val="both"/>
        <w:rPr>
          <w:color w:val="000000" w:themeColor="text1"/>
          <w14:textFill>
            <w14:solidFill>
              <w14:schemeClr w14:val="tx1"/>
            </w14:solidFill>
          </w14:textFill>
        </w:rPr>
      </w:pPr>
    </w:p>
    <w:p>
      <w:pPr>
        <w:spacing w:line="264" w:lineRule="auto"/>
        <w:jc w:val="both"/>
        <w:rPr>
          <w:color w:val="000000" w:themeColor="text1"/>
          <w14:textFill>
            <w14:solidFill>
              <w14:schemeClr w14:val="tx1"/>
            </w14:solidFill>
          </w14:textFill>
        </w:rPr>
      </w:pPr>
    </w:p>
    <w:p>
      <w:pPr>
        <w:spacing w:line="264" w:lineRule="auto"/>
        <w:jc w:val="both"/>
        <w:rPr>
          <w:color w:val="000000" w:themeColor="text1"/>
          <w14:textFill>
            <w14:solidFill>
              <w14:schemeClr w14:val="tx1"/>
            </w14:solidFill>
          </w14:textFill>
        </w:rPr>
      </w:pPr>
    </w:p>
    <w:p>
      <w:pPr>
        <w:spacing w:before="91" w:line="221" w:lineRule="auto"/>
        <w:ind w:firstLine="3220" w:firstLineChars="1150"/>
        <w:jc w:val="both"/>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问题的澄清</w:t>
      </w:r>
    </w:p>
    <w:p>
      <w:pPr>
        <w:spacing w:before="222" w:line="221" w:lineRule="auto"/>
        <w:ind w:left="4413"/>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Outline w14:w="5105" w14:cap="sq" w14:cmpd="sng" w14:algn="ctr">
            <w14:solidFill>
              <w14:srgbClr w14:val="000000"/>
            </w14:solidFill>
            <w14:prstDash w14:val="solid"/>
            <w14:bevel/>
          </w14:textOutline>
          <w14:textFill>
            <w14:solidFill>
              <w14:schemeClr w14:val="tx1"/>
            </w14:solidFill>
          </w14:textFill>
        </w:rPr>
        <w:t>编号：</w:t>
      </w:r>
    </w:p>
    <w:p>
      <w:pPr>
        <w:tabs>
          <w:tab w:val="left" w:pos="761"/>
        </w:tabs>
        <w:spacing w:line="360" w:lineRule="auto"/>
        <w:ind w:firstLine="120" w:firstLineChars="50"/>
        <w:jc w:val="both"/>
        <w:rPr>
          <w:rFonts w:ascii="宋体" w:hAnsi="宋体" w:eastAsia="宋体" w:cs="宋体"/>
          <w:color w:val="000000" w:themeColor="text1"/>
          <w:sz w:val="24"/>
          <w:szCs w:val="24"/>
          <w:u w:val="single"/>
          <w14:textFill>
            <w14:solidFill>
              <w14:schemeClr w14:val="tx1"/>
            </w14:solidFill>
          </w14:textFill>
        </w:rPr>
      </w:pPr>
    </w:p>
    <w:p>
      <w:pPr>
        <w:tabs>
          <w:tab w:val="left" w:pos="761"/>
        </w:tabs>
        <w:spacing w:line="360" w:lineRule="auto"/>
        <w:ind w:firstLine="120" w:firstLineChars="5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u w:val="single"/>
          <w14:textFill>
            <w14:solidFill>
              <w14:schemeClr w14:val="tx1"/>
            </w14:solidFill>
          </w14:textFill>
        </w:rPr>
        <w:tab/>
      </w:r>
      <w:r>
        <w:rPr>
          <w:rFonts w:ascii="宋体" w:hAnsi="宋体" w:eastAsia="宋体" w:cs="宋体"/>
          <w:color w:val="000000" w:themeColor="text1"/>
          <w:sz w:val="24"/>
          <w:szCs w:val="24"/>
          <w14:textFill>
            <w14:solidFill>
              <w14:schemeClr w14:val="tx1"/>
            </w14:solidFill>
          </w14:textFill>
        </w:rPr>
        <w:t>(项目名称)标段招标评标委员会：</w:t>
      </w:r>
    </w:p>
    <w:p>
      <w:pPr>
        <w:spacing w:line="360" w:lineRule="auto"/>
        <w:ind w:left="605"/>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问题澄清通知(编号：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)已收悉，现澄清如下：</w:t>
      </w:r>
    </w:p>
    <w:p>
      <w:pPr>
        <w:spacing w:line="360" w:lineRule="auto"/>
        <w:ind w:left="1135"/>
        <w:jc w:val="both"/>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1.                                 </w:t>
      </w:r>
    </w:p>
    <w:p>
      <w:pPr>
        <w:spacing w:line="360" w:lineRule="auto"/>
        <w:ind w:left="1135"/>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u w:val="single"/>
          <w14:textFill>
            <w14:solidFill>
              <w14:schemeClr w14:val="tx1"/>
            </w14:solidFill>
          </w14:textFill>
        </w:rPr>
        <w:t xml:space="preserve">                                 </w:t>
      </w:r>
    </w:p>
    <w:p>
      <w:pPr>
        <w:spacing w:before="234" w:line="443" w:lineRule="exact"/>
        <w:ind w:left="115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position w:val="3"/>
          <w:sz w:val="24"/>
          <w:szCs w:val="24"/>
          <w14:textFill>
            <w14:solidFill>
              <w14:schemeClr w14:val="tx1"/>
            </w14:solidFill>
          </w14:textFill>
        </w:rPr>
        <w:t>……</w:t>
      </w:r>
    </w:p>
    <w:p>
      <w:pPr>
        <w:spacing w:line="250" w:lineRule="auto"/>
        <w:jc w:val="both"/>
        <w:rPr>
          <w:color w:val="000000" w:themeColor="text1"/>
          <w:sz w:val="24"/>
          <w:szCs w:val="24"/>
          <w14:textFill>
            <w14:solidFill>
              <w14:schemeClr w14:val="tx1"/>
            </w14:solidFill>
          </w14:textFill>
        </w:rPr>
      </w:pPr>
    </w:p>
    <w:p>
      <w:pPr>
        <w:spacing w:line="250" w:lineRule="auto"/>
        <w:jc w:val="both"/>
        <w:rPr>
          <w:color w:val="000000" w:themeColor="text1"/>
          <w:sz w:val="24"/>
          <w:szCs w:val="24"/>
          <w14:textFill>
            <w14:solidFill>
              <w14:schemeClr w14:val="tx1"/>
            </w14:solidFill>
          </w14:textFill>
        </w:rPr>
      </w:pPr>
    </w:p>
    <w:p>
      <w:pPr>
        <w:spacing w:line="250" w:lineRule="auto"/>
        <w:jc w:val="both"/>
        <w:rPr>
          <w:color w:val="000000" w:themeColor="text1"/>
          <w:sz w:val="24"/>
          <w:szCs w:val="24"/>
          <w14:textFill>
            <w14:solidFill>
              <w14:schemeClr w14:val="tx1"/>
            </w14:solidFill>
          </w14:textFill>
        </w:rPr>
      </w:pPr>
    </w:p>
    <w:p>
      <w:pPr>
        <w:spacing w:line="250" w:lineRule="auto"/>
        <w:jc w:val="both"/>
        <w:rPr>
          <w:color w:val="000000" w:themeColor="text1"/>
          <w:sz w:val="24"/>
          <w:szCs w:val="24"/>
          <w14:textFill>
            <w14:solidFill>
              <w14:schemeClr w14:val="tx1"/>
            </w14:solidFill>
          </w14:textFill>
        </w:rPr>
      </w:pPr>
    </w:p>
    <w:p>
      <w:pPr>
        <w:spacing w:line="250" w:lineRule="auto"/>
        <w:jc w:val="both"/>
        <w:rPr>
          <w:color w:val="000000" w:themeColor="text1"/>
          <w:sz w:val="24"/>
          <w:szCs w:val="24"/>
          <w14:textFill>
            <w14:solidFill>
              <w14:schemeClr w14:val="tx1"/>
            </w14:solidFill>
          </w14:textFill>
        </w:rPr>
      </w:pPr>
    </w:p>
    <w:p>
      <w:pPr>
        <w:spacing w:line="250" w:lineRule="auto"/>
        <w:jc w:val="both"/>
        <w:rPr>
          <w:color w:val="000000" w:themeColor="text1"/>
          <w:sz w:val="24"/>
          <w:szCs w:val="24"/>
          <w14:textFill>
            <w14:solidFill>
              <w14:schemeClr w14:val="tx1"/>
            </w14:solidFill>
          </w14:textFill>
        </w:rPr>
      </w:pPr>
    </w:p>
    <w:p>
      <w:pPr>
        <w:spacing w:line="250" w:lineRule="auto"/>
        <w:jc w:val="both"/>
        <w:rPr>
          <w:color w:val="000000" w:themeColor="text1"/>
          <w:sz w:val="24"/>
          <w:szCs w:val="24"/>
          <w14:textFill>
            <w14:solidFill>
              <w14:schemeClr w14:val="tx1"/>
            </w14:solidFill>
          </w14:textFill>
        </w:rPr>
      </w:pPr>
    </w:p>
    <w:p>
      <w:pPr>
        <w:spacing w:line="250" w:lineRule="auto"/>
        <w:jc w:val="both"/>
        <w:rPr>
          <w:color w:val="000000" w:themeColor="text1"/>
          <w:sz w:val="24"/>
          <w:szCs w:val="24"/>
          <w14:textFill>
            <w14:solidFill>
              <w14:schemeClr w14:val="tx1"/>
            </w14:solidFill>
          </w14:textFill>
        </w:rPr>
      </w:pPr>
    </w:p>
    <w:p>
      <w:pPr>
        <w:spacing w:line="251" w:lineRule="auto"/>
        <w:jc w:val="both"/>
        <w:rPr>
          <w:color w:val="000000" w:themeColor="text1"/>
          <w:sz w:val="24"/>
          <w:szCs w:val="24"/>
          <w14:textFill>
            <w14:solidFill>
              <w14:schemeClr w14:val="tx1"/>
            </w14:solidFill>
          </w14:textFill>
        </w:rPr>
      </w:pPr>
    </w:p>
    <w:p>
      <w:pPr>
        <w:spacing w:before="92" w:line="369" w:lineRule="auto"/>
        <w:ind w:left="2792" w:right="19"/>
        <w:jc w:val="righ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投标人：</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 xml:space="preserve"> (盖章)</w:t>
      </w:r>
    </w:p>
    <w:p>
      <w:pPr>
        <w:spacing w:before="92" w:line="369" w:lineRule="auto"/>
        <w:ind w:left="120" w:right="19" w:hanging="120" w:hangingChars="50"/>
        <w:jc w:val="righ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法定代表人或委托代理人：</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 xml:space="preserve"> (签字或盖章)</w:t>
      </w:r>
    </w:p>
    <w:p>
      <w:pPr>
        <w:spacing w:before="92" w:line="369" w:lineRule="auto"/>
        <w:ind w:left="115" w:right="19" w:hanging="115" w:hangingChars="50"/>
        <w:jc w:val="righ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年</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月</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日</w:t>
      </w:r>
    </w:p>
    <w:p>
      <w:pPr>
        <w:jc w:val="both"/>
        <w:rPr>
          <w:color w:val="000000" w:themeColor="text1"/>
          <w14:textFill>
            <w14:solidFill>
              <w14:schemeClr w14:val="tx1"/>
            </w14:solidFill>
          </w14:textFill>
        </w:rPr>
        <w:sectPr>
          <w:footerReference r:id="rId9" w:type="default"/>
          <w:pgSz w:w="11906" w:h="16839"/>
          <w:pgMar w:top="1418" w:right="1559" w:bottom="1418" w:left="1474" w:header="0" w:footer="1035" w:gutter="0"/>
          <w:cols w:space="720" w:num="1"/>
        </w:sectPr>
      </w:pPr>
    </w:p>
    <w:p>
      <w:pPr>
        <w:spacing w:before="91" w:line="220" w:lineRule="auto"/>
        <w:jc w:val="both"/>
        <w:outlineLvl w:val="1"/>
        <w:rPr>
          <w:rFonts w:ascii="宋体" w:hAnsi="宋体" w:eastAsia="宋体" w:cs="宋体"/>
          <w:color w:val="000000" w:themeColor="text1"/>
          <w:sz w:val="28"/>
          <w:szCs w:val="28"/>
          <w14:textFill>
            <w14:solidFill>
              <w14:schemeClr w14:val="tx1"/>
            </w14:solidFill>
          </w14:textFill>
        </w:rPr>
      </w:pPr>
      <w:bookmarkStart w:id="41" w:name="_bookmark8"/>
      <w:bookmarkEnd w:id="41"/>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附表四：中标通知书</w:t>
      </w:r>
    </w:p>
    <w:p>
      <w:pPr>
        <w:spacing w:before="266" w:line="227" w:lineRule="auto"/>
        <w:ind w:left="4424"/>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中标通知书</w:t>
      </w:r>
    </w:p>
    <w:p>
      <w:pPr>
        <w:spacing w:before="157" w:line="358" w:lineRule="auto"/>
        <w:ind w:left="398" w:right="389" w:firstLine="48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pPr>
        <w:jc w:val="both"/>
        <w:rPr>
          <w:color w:val="000000" w:themeColor="text1"/>
          <w14:textFill>
            <w14:solidFill>
              <w14:schemeClr w14:val="tx1"/>
            </w14:solidFill>
          </w14:textFill>
        </w:rPr>
      </w:pPr>
    </w:p>
    <w:p>
      <w:pPr>
        <w:spacing w:line="27" w:lineRule="exact"/>
        <w:jc w:val="both"/>
        <w:rPr>
          <w:color w:val="000000" w:themeColor="text1"/>
          <w14:textFill>
            <w14:solidFill>
              <w14:schemeClr w14:val="tx1"/>
            </w14:solidFill>
          </w14:textFill>
        </w:rPr>
      </w:pPr>
    </w:p>
    <w:tbl>
      <w:tblPr>
        <w:tblStyle w:val="35"/>
        <w:tblW w:w="921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708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40" w:hRule="atLeast"/>
        </w:trPr>
        <w:tc>
          <w:tcPr>
            <w:tcW w:w="2129" w:type="dxa"/>
          </w:tcPr>
          <w:p>
            <w:pPr>
              <w:spacing w:before="200" w:line="229" w:lineRule="auto"/>
              <w:ind w:left="1" w:firstLine="2" w:firstLineChars="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招标项目名称</w:t>
            </w:r>
          </w:p>
        </w:tc>
        <w:tc>
          <w:tcPr>
            <w:tcW w:w="7088"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tcPr>
          <w:p>
            <w:pPr>
              <w:spacing w:before="138" w:line="229" w:lineRule="auto"/>
              <w:ind w:left="1" w:firstLine="2" w:firstLineChars="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招标人名称</w:t>
            </w:r>
          </w:p>
        </w:tc>
        <w:tc>
          <w:tcPr>
            <w:tcW w:w="7088"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tcPr>
          <w:p>
            <w:pPr>
              <w:spacing w:before="159" w:line="229" w:lineRule="auto"/>
              <w:ind w:left="1" w:firstLine="2" w:firstLineChars="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中标人名称</w:t>
            </w:r>
          </w:p>
        </w:tc>
        <w:tc>
          <w:tcPr>
            <w:tcW w:w="7088"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tcPr>
          <w:p>
            <w:pPr>
              <w:spacing w:before="116" w:line="228" w:lineRule="auto"/>
              <w:ind w:left="1" w:firstLine="2" w:firstLineChars="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项目负责人</w:t>
            </w:r>
          </w:p>
        </w:tc>
        <w:tc>
          <w:tcPr>
            <w:tcW w:w="7088"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tcPr>
          <w:p>
            <w:pPr>
              <w:spacing w:before="267" w:line="228" w:lineRule="auto"/>
              <w:ind w:left="1" w:firstLine="2" w:firstLineChars="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中标金额</w:t>
            </w:r>
          </w:p>
        </w:tc>
        <w:tc>
          <w:tcPr>
            <w:tcW w:w="7088" w:type="dxa"/>
          </w:tcPr>
          <w:p>
            <w:pPr>
              <w:spacing w:before="267" w:line="229" w:lineRule="auto"/>
              <w:ind w:left="12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(大写)：</w:t>
            </w:r>
          </w:p>
          <w:p>
            <w:pPr>
              <w:spacing w:before="267" w:line="229" w:lineRule="auto"/>
              <w:ind w:left="12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tcPr>
          <w:p>
            <w:pPr>
              <w:spacing w:before="178" w:line="228" w:lineRule="auto"/>
              <w:ind w:left="1" w:firstLine="2" w:firstLineChars="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中标内容范围</w:t>
            </w:r>
          </w:p>
        </w:tc>
        <w:tc>
          <w:tcPr>
            <w:tcW w:w="7088"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tcPr>
          <w:p>
            <w:pPr>
              <w:spacing w:before="116" w:line="468" w:lineRule="exact"/>
              <w:ind w:left="1" w:firstLine="2" w:firstLineChars="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7"/>
                <w:sz w:val="23"/>
                <w:szCs w:val="23"/>
                <w14:textFill>
                  <w14:solidFill>
                    <w14:schemeClr w14:val="tx1"/>
                  </w14:solidFill>
                </w14:textFill>
              </w:rPr>
              <w:t>中标人与招标人签订</w:t>
            </w:r>
          </w:p>
          <w:p>
            <w:pPr>
              <w:spacing w:before="1" w:line="228" w:lineRule="auto"/>
              <w:ind w:left="1" w:firstLine="2" w:firstLineChars="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中标合同期限</w:t>
            </w:r>
          </w:p>
        </w:tc>
        <w:tc>
          <w:tcPr>
            <w:tcW w:w="7088"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tcPr>
          <w:p>
            <w:pPr>
              <w:spacing w:before="196" w:line="229" w:lineRule="auto"/>
              <w:ind w:left="1" w:firstLine="2" w:firstLineChars="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签订中标合同地址</w:t>
            </w:r>
          </w:p>
        </w:tc>
        <w:tc>
          <w:tcPr>
            <w:tcW w:w="7088"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tcPr>
          <w:p>
            <w:pPr>
              <w:spacing w:before="159" w:line="228" w:lineRule="auto"/>
              <w:ind w:left="1" w:firstLine="2" w:firstLineChars="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其他需说明内容</w:t>
            </w:r>
          </w:p>
        </w:tc>
        <w:tc>
          <w:tcPr>
            <w:tcW w:w="7088" w:type="dxa"/>
          </w:tcPr>
          <w:p>
            <w:pPr>
              <w:jc w:val="both"/>
              <w:rPr>
                <w:color w:val="000000" w:themeColor="text1"/>
                <w14:textFill>
                  <w14:solidFill>
                    <w14:schemeClr w14:val="tx1"/>
                  </w14:solidFill>
                </w14:textFill>
              </w:rPr>
            </w:pPr>
          </w:p>
        </w:tc>
      </w:tr>
    </w:tbl>
    <w:p>
      <w:pPr>
        <w:spacing w:line="245" w:lineRule="auto"/>
        <w:jc w:val="both"/>
        <w:rPr>
          <w:color w:val="000000" w:themeColor="text1"/>
          <w14:textFill>
            <w14:solidFill>
              <w14:schemeClr w14:val="tx1"/>
            </w14:solidFill>
          </w14:textFill>
        </w:rPr>
      </w:pPr>
    </w:p>
    <w:p>
      <w:pPr>
        <w:spacing w:line="246" w:lineRule="auto"/>
        <w:jc w:val="both"/>
        <w:rPr>
          <w:color w:val="000000" w:themeColor="text1"/>
          <w14:textFill>
            <w14:solidFill>
              <w14:schemeClr w14:val="tx1"/>
            </w14:solidFill>
          </w14:textFill>
        </w:rPr>
      </w:pPr>
    </w:p>
    <w:p>
      <w:pPr>
        <w:spacing w:line="246" w:lineRule="auto"/>
        <w:jc w:val="both"/>
        <w:rPr>
          <w:color w:val="000000" w:themeColor="text1"/>
          <w14:textFill>
            <w14:solidFill>
              <w14:schemeClr w14:val="tx1"/>
            </w14:solidFill>
          </w14:textFill>
        </w:rPr>
      </w:pPr>
    </w:p>
    <w:p>
      <w:pPr>
        <w:spacing w:before="75" w:line="501" w:lineRule="auto"/>
        <w:ind w:left="6280" w:right="410" w:hanging="103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招标人：</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 xml:space="preserve"> (盖章)</w:t>
      </w:r>
    </w:p>
    <w:p>
      <w:pPr>
        <w:spacing w:before="75" w:line="501" w:lineRule="auto"/>
        <w:ind w:left="6280" w:right="410" w:hanging="103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经办人：</w:t>
      </w:r>
      <w:r>
        <w:rPr>
          <w:rFonts w:ascii="宋体" w:hAnsi="宋体" w:eastAsia="宋体" w:cs="宋体"/>
          <w:color w:val="000000" w:themeColor="text1"/>
          <w:sz w:val="23"/>
          <w:szCs w:val="23"/>
          <w:u w:val="single"/>
          <w14:textFill>
            <w14:solidFill>
              <w14:schemeClr w14:val="tx1"/>
            </w14:solidFill>
          </w14:textFill>
        </w:rPr>
        <w:t xml:space="preserve">      </w:t>
      </w:r>
    </w:p>
    <w:p>
      <w:pPr>
        <w:spacing w:before="2" w:line="500" w:lineRule="auto"/>
        <w:ind w:left="6277" w:right="1078" w:hanging="103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电话：</w:t>
      </w:r>
      <w:r>
        <w:rPr>
          <w:rFonts w:ascii="宋体" w:hAnsi="宋体" w:eastAsia="宋体" w:cs="宋体"/>
          <w:color w:val="000000" w:themeColor="text1"/>
          <w:sz w:val="23"/>
          <w:szCs w:val="23"/>
          <w:u w:val="single"/>
          <w14:textFill>
            <w14:solidFill>
              <w14:schemeClr w14:val="tx1"/>
            </w14:solidFill>
          </w14:textFill>
        </w:rPr>
        <w:t xml:space="preserve">       </w:t>
      </w:r>
    </w:p>
    <w:p>
      <w:pPr>
        <w:spacing w:before="2" w:line="500" w:lineRule="auto"/>
        <w:ind w:left="6277" w:right="1078" w:hanging="103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传真：</w:t>
      </w:r>
      <w:r>
        <w:rPr>
          <w:rFonts w:ascii="宋体" w:hAnsi="宋体" w:eastAsia="宋体" w:cs="宋体"/>
          <w:color w:val="000000" w:themeColor="text1"/>
          <w:sz w:val="23"/>
          <w:szCs w:val="23"/>
          <w:u w:val="single"/>
          <w14:textFill>
            <w14:solidFill>
              <w14:schemeClr w14:val="tx1"/>
            </w14:solidFill>
          </w14:textFill>
        </w:rPr>
        <w:t xml:space="preserve">       </w:t>
      </w:r>
    </w:p>
    <w:p>
      <w:pPr>
        <w:tabs>
          <w:tab w:val="left" w:pos="7447"/>
        </w:tabs>
        <w:spacing w:line="228" w:lineRule="auto"/>
        <w:ind w:left="6837" w:hanging="1035"/>
        <w:jc w:val="both"/>
        <w:outlineLvl w:val="1"/>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年</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月</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日</w:t>
      </w:r>
    </w:p>
    <w:p>
      <w:pPr>
        <w:jc w:val="both"/>
        <w:rPr>
          <w:color w:val="000000" w:themeColor="text1"/>
          <w14:textFill>
            <w14:solidFill>
              <w14:schemeClr w14:val="tx1"/>
            </w14:solidFill>
          </w14:textFill>
        </w:rPr>
        <w:sectPr>
          <w:footerReference r:id="rId10" w:type="default"/>
          <w:pgSz w:w="11906" w:h="16839"/>
          <w:pgMar w:top="1418" w:right="1559" w:bottom="1418" w:left="1474" w:header="0" w:footer="1035" w:gutter="0"/>
          <w:cols w:space="720" w:num="1"/>
        </w:sectPr>
      </w:pPr>
    </w:p>
    <w:p>
      <w:pPr>
        <w:spacing w:before="91" w:line="220" w:lineRule="auto"/>
        <w:jc w:val="both"/>
        <w:outlineLvl w:val="1"/>
        <w:rPr>
          <w:rFonts w:ascii="宋体" w:hAnsi="宋体" w:eastAsia="宋体" w:cs="宋体"/>
          <w:color w:val="000000" w:themeColor="text1"/>
          <w:sz w:val="28"/>
          <w:szCs w:val="28"/>
          <w14:textFill>
            <w14:solidFill>
              <w14:schemeClr w14:val="tx1"/>
            </w14:solidFill>
          </w14:textFill>
        </w:rPr>
      </w:pPr>
      <w:bookmarkStart w:id="42" w:name="_bookmark10"/>
      <w:bookmarkEnd w:id="42"/>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附表</w:t>
      </w:r>
      <w:r>
        <w:rPr>
          <w:rFonts w:hint="eastAsia"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五</w:t>
      </w:r>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：确认通知</w:t>
      </w:r>
    </w:p>
    <w:p>
      <w:pPr>
        <w:spacing w:line="349" w:lineRule="auto"/>
        <w:jc w:val="both"/>
        <w:rPr>
          <w:color w:val="000000" w:themeColor="text1"/>
          <w14:textFill>
            <w14:solidFill>
              <w14:schemeClr w14:val="tx1"/>
            </w14:solidFill>
          </w14:textFill>
        </w:rPr>
      </w:pPr>
    </w:p>
    <w:p>
      <w:pPr>
        <w:spacing w:line="350" w:lineRule="auto"/>
        <w:jc w:val="both"/>
        <w:rPr>
          <w:color w:val="000000" w:themeColor="text1"/>
          <w14:textFill>
            <w14:solidFill>
              <w14:schemeClr w14:val="tx1"/>
            </w14:solidFill>
          </w14:textFill>
        </w:rPr>
      </w:pPr>
    </w:p>
    <w:p>
      <w:pPr>
        <w:spacing w:before="91" w:line="221" w:lineRule="auto"/>
        <w:ind w:left="4094"/>
        <w:jc w:val="both"/>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确认通知</w:t>
      </w:r>
    </w:p>
    <w:p>
      <w:pPr>
        <w:spacing w:line="345" w:lineRule="auto"/>
        <w:jc w:val="both"/>
        <w:rPr>
          <w:color w:val="000000" w:themeColor="text1"/>
          <w14:textFill>
            <w14:solidFill>
              <w14:schemeClr w14:val="tx1"/>
            </w14:solidFill>
          </w14:textFill>
        </w:rPr>
      </w:pPr>
    </w:p>
    <w:p>
      <w:pPr>
        <w:spacing w:line="345" w:lineRule="auto"/>
        <w:jc w:val="both"/>
        <w:rPr>
          <w:color w:val="000000" w:themeColor="text1"/>
          <w14:textFill>
            <w14:solidFill>
              <w14:schemeClr w14:val="tx1"/>
            </w14:solidFill>
          </w14:textFill>
        </w:rPr>
      </w:pPr>
    </w:p>
    <w:p>
      <w:pPr>
        <w:tabs>
          <w:tab w:val="left" w:pos="1838"/>
        </w:tabs>
        <w:spacing w:before="91" w:line="221" w:lineRule="auto"/>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u w:val="single"/>
          <w14:textFill>
            <w14:solidFill>
              <w14:schemeClr w14:val="tx1"/>
            </w14:solidFill>
          </w14:textFill>
        </w:rPr>
        <w:tab/>
      </w:r>
      <w:r>
        <w:rPr>
          <w:rFonts w:ascii="宋体" w:hAnsi="宋体" w:eastAsia="宋体" w:cs="宋体"/>
          <w:color w:val="000000" w:themeColor="text1"/>
          <w:sz w:val="24"/>
          <w:szCs w:val="24"/>
          <w14:textFill>
            <w14:solidFill>
              <w14:schemeClr w14:val="tx1"/>
            </w14:solidFill>
          </w14:textFill>
        </w:rPr>
        <w:t>(招标人名称):</w:t>
      </w:r>
    </w:p>
    <w:p>
      <w:pPr>
        <w:spacing w:before="223" w:line="375" w:lineRule="auto"/>
        <w:ind w:left="10" w:right="72" w:firstLine="562"/>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我方已接到你方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日发出的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(项目名称)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标段招标关于中标结果的通知，我方已于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日收到。</w:t>
      </w:r>
    </w:p>
    <w:p>
      <w:pPr>
        <w:spacing w:line="441" w:lineRule="auto"/>
        <w:jc w:val="both"/>
        <w:rPr>
          <w:color w:val="000000" w:themeColor="text1"/>
          <w:sz w:val="24"/>
          <w:szCs w:val="24"/>
          <w14:textFill>
            <w14:solidFill>
              <w14:schemeClr w14:val="tx1"/>
            </w14:solidFill>
          </w14:textFill>
        </w:rPr>
      </w:pPr>
    </w:p>
    <w:p>
      <w:pPr>
        <w:spacing w:before="91" w:line="221" w:lineRule="auto"/>
        <w:ind w:left="570"/>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特此确认。</w:t>
      </w:r>
    </w:p>
    <w:p>
      <w:pPr>
        <w:spacing w:line="249" w:lineRule="auto"/>
        <w:jc w:val="both"/>
        <w:rPr>
          <w:color w:val="000000" w:themeColor="text1"/>
          <w:sz w:val="24"/>
          <w:szCs w:val="24"/>
          <w14:textFill>
            <w14:solidFill>
              <w14:schemeClr w14:val="tx1"/>
            </w14:solidFill>
          </w14:textFill>
        </w:rPr>
      </w:pPr>
    </w:p>
    <w:p>
      <w:pPr>
        <w:spacing w:line="249" w:lineRule="auto"/>
        <w:jc w:val="both"/>
        <w:rPr>
          <w:color w:val="000000" w:themeColor="text1"/>
          <w:sz w:val="24"/>
          <w:szCs w:val="24"/>
          <w14:textFill>
            <w14:solidFill>
              <w14:schemeClr w14:val="tx1"/>
            </w14:solidFill>
          </w14:textFill>
        </w:rPr>
      </w:pPr>
    </w:p>
    <w:p>
      <w:pPr>
        <w:spacing w:line="249" w:lineRule="auto"/>
        <w:jc w:val="both"/>
        <w:rPr>
          <w:color w:val="000000" w:themeColor="text1"/>
          <w:sz w:val="24"/>
          <w:szCs w:val="24"/>
          <w14:textFill>
            <w14:solidFill>
              <w14:schemeClr w14:val="tx1"/>
            </w14:solidFill>
          </w14:textFill>
        </w:rPr>
      </w:pPr>
    </w:p>
    <w:p>
      <w:pPr>
        <w:spacing w:line="249" w:lineRule="auto"/>
        <w:jc w:val="both"/>
        <w:rPr>
          <w:color w:val="000000" w:themeColor="text1"/>
          <w:sz w:val="24"/>
          <w:szCs w:val="24"/>
          <w14:textFill>
            <w14:solidFill>
              <w14:schemeClr w14:val="tx1"/>
            </w14:solidFill>
          </w14:textFill>
        </w:rPr>
      </w:pPr>
    </w:p>
    <w:p>
      <w:pPr>
        <w:spacing w:line="250" w:lineRule="auto"/>
        <w:jc w:val="both"/>
        <w:rPr>
          <w:color w:val="000000" w:themeColor="text1"/>
          <w:sz w:val="24"/>
          <w:szCs w:val="24"/>
          <w14:textFill>
            <w14:solidFill>
              <w14:schemeClr w14:val="tx1"/>
            </w14:solidFill>
          </w14:textFill>
        </w:rPr>
      </w:pPr>
    </w:p>
    <w:p>
      <w:pPr>
        <w:tabs>
          <w:tab w:val="left" w:pos="7060"/>
        </w:tabs>
        <w:spacing w:before="91" w:line="377" w:lineRule="auto"/>
        <w:ind w:left="6628" w:hanging="1993"/>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投标人：</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 xml:space="preserve"> (盖单位公章)</w:t>
      </w:r>
    </w:p>
    <w:p>
      <w:pPr>
        <w:tabs>
          <w:tab w:val="left" w:pos="7060"/>
        </w:tabs>
        <w:spacing w:before="91" w:line="377" w:lineRule="auto"/>
        <w:ind w:left="6628" w:hanging="1993"/>
        <w:jc w:val="both"/>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年</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月</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日</w:t>
      </w:r>
    </w:p>
    <w:p>
      <w:pPr>
        <w:jc w:val="both"/>
        <w:rPr>
          <w:color w:val="000000" w:themeColor="text1"/>
          <w14:textFill>
            <w14:solidFill>
              <w14:schemeClr w14:val="tx1"/>
            </w14:solidFill>
          </w14:textFill>
        </w:rPr>
        <w:sectPr>
          <w:footerReference r:id="rId11" w:type="default"/>
          <w:pgSz w:w="11906" w:h="16839"/>
          <w:pgMar w:top="1418" w:right="1559" w:bottom="1418" w:left="1474" w:header="0" w:footer="1035" w:gutter="0"/>
          <w:cols w:space="720" w:num="1"/>
        </w:sectPr>
      </w:pPr>
    </w:p>
    <w:p>
      <w:pPr>
        <w:spacing w:line="371" w:lineRule="auto"/>
        <w:jc w:val="both"/>
        <w:rPr>
          <w:color w:val="000000" w:themeColor="text1"/>
          <w14:textFill>
            <w14:solidFill>
              <w14:schemeClr w14:val="tx1"/>
            </w14:solidFill>
          </w14:textFill>
        </w:rPr>
      </w:pPr>
    </w:p>
    <w:p>
      <w:pPr>
        <w:pStyle w:val="4"/>
        <w:jc w:val="center"/>
        <w:rPr>
          <w:rFonts w:ascii="Times New Roman" w:hAnsi="Times New Roman" w:eastAsia="宋体" w:cs="Times New Roman"/>
          <w:snapToGrid/>
          <w:color w:val="000000" w:themeColor="text1"/>
          <w:sz w:val="36"/>
          <w:szCs w:val="36"/>
          <w14:textFill>
            <w14:solidFill>
              <w14:schemeClr w14:val="tx1"/>
            </w14:solidFill>
          </w14:textFill>
        </w:rPr>
      </w:pPr>
      <w:bookmarkStart w:id="43" w:name="_bookmark11"/>
      <w:bookmarkEnd w:id="43"/>
      <w:r>
        <w:rPr>
          <w:rFonts w:ascii="宋体" w:hAnsi="宋体" w:eastAsia="宋体" w:cs="宋体"/>
          <w:color w:val="000000" w:themeColor="text1"/>
          <w:sz w:val="31"/>
          <w:szCs w:val="31"/>
          <w14:textOutline w14:w="5791" w14:cap="sq" w14:cmpd="sng" w14:algn="ctr">
            <w14:solidFill>
              <w14:srgbClr w14:val="000000"/>
            </w14:solidFill>
            <w14:prstDash w14:val="solid"/>
            <w14:bevel/>
          </w14:textOutline>
          <w14:textFill>
            <w14:solidFill>
              <w14:schemeClr w14:val="tx1"/>
            </w14:solidFill>
          </w14:textFill>
        </w:rPr>
        <w:t>第三章</w:t>
      </w:r>
      <w:r>
        <w:rPr>
          <w:rFonts w:hint="eastAsia" w:ascii="Times New Roman" w:hAnsi="Times New Roman" w:eastAsia="宋体" w:cs="Times New Roman"/>
          <w:snapToGrid/>
          <w:color w:val="000000" w:themeColor="text1"/>
          <w:sz w:val="36"/>
          <w:szCs w:val="36"/>
          <w14:textFill>
            <w14:solidFill>
              <w14:schemeClr w14:val="tx1"/>
            </w14:solidFill>
          </w14:textFill>
        </w:rPr>
        <w:t>评标定标办法</w:t>
      </w:r>
    </w:p>
    <w:p>
      <w:pPr>
        <w:widowControl w:val="0"/>
        <w:kinsoku/>
        <w:autoSpaceDE/>
        <w:autoSpaceDN/>
        <w:adjustRightInd/>
        <w:snapToGrid/>
        <w:jc w:val="both"/>
        <w:textAlignment w:val="auto"/>
        <w:rPr>
          <w:rFonts w:ascii="Times New Roman" w:hAnsi="Times New Roman" w:eastAsia="宋体" w:cs="Times New Roman"/>
          <w:snapToGrid/>
          <w:color w:val="000000" w:themeColor="text1"/>
          <w:kern w:val="2"/>
          <w:szCs w:val="24"/>
          <w14:textFill>
            <w14:solidFill>
              <w14:schemeClr w14:val="tx1"/>
            </w14:solidFill>
          </w14:textFill>
        </w:rPr>
      </w:pPr>
    </w:p>
    <w:p>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000000" w:themeColor="text1"/>
          <w:kern w:val="2"/>
          <w14:textFill>
            <w14:solidFill>
              <w14:schemeClr w14:val="tx1"/>
            </w14:solidFill>
          </w14:textFill>
        </w:rPr>
      </w:pPr>
      <w:r>
        <w:rPr>
          <w:rFonts w:hint="eastAsia" w:ascii="Times New Roman" w:hAnsi="Times New Roman" w:eastAsia="宋体" w:cs="Times New Roman"/>
          <w:snapToGrid/>
          <w:color w:val="000000" w:themeColor="text1"/>
          <w:kern w:val="2"/>
          <w14:textFill>
            <w14:solidFill>
              <w14:schemeClr w14:val="tx1"/>
            </w14:solidFill>
          </w14:textFill>
        </w:rPr>
        <w:t>一、评标办法：</w:t>
      </w:r>
    </w:p>
    <w:p>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000000" w:themeColor="text1"/>
          <w:kern w:val="2"/>
          <w14:textFill>
            <w14:solidFill>
              <w14:schemeClr w14:val="tx1"/>
            </w14:solidFill>
          </w14:textFill>
        </w:rPr>
      </w:pPr>
      <w:r>
        <w:rPr>
          <w:rFonts w:hint="eastAsia" w:ascii="Times New Roman" w:hAnsi="Times New Roman" w:eastAsia="宋体" w:cs="Times New Roman"/>
          <w:snapToGrid/>
          <w:color w:val="000000" w:themeColor="text1"/>
          <w:kern w:val="2"/>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经评审的最低投标价法</w:t>
      </w:r>
    </w:p>
    <w:p>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000000" w:themeColor="text1"/>
          <w:kern w:val="2"/>
          <w14:textFill>
            <w14:solidFill>
              <w14:schemeClr w14:val="tx1"/>
            </w14:solidFill>
          </w14:textFill>
        </w:rPr>
      </w:pPr>
      <w:r>
        <w:rPr>
          <w:rFonts w:hint="eastAsia" w:ascii="Times New Roman" w:hAnsi="Times New Roman" w:eastAsia="宋体" w:cs="Times New Roman"/>
          <w:snapToGrid/>
          <w:color w:val="000000" w:themeColor="text1"/>
          <w:kern w:val="2"/>
          <w14:textFill>
            <w14:solidFill>
              <w14:schemeClr w14:val="tx1"/>
            </w14:solidFill>
          </w14:textFill>
        </w:rPr>
        <w:t>☑</w:t>
      </w:r>
      <w:r>
        <w:fldChar w:fldCharType="begin"/>
      </w:r>
      <w:r>
        <w:instrText xml:space="preserve"> HYPERLINK "http://218.108.28.22/zjgcjy/infodetail/?infoid=3561d4c5-1965-4914-8d10-bfd371957ee6&amp;siteid=1&amp;categoryNum=032003" \t "_blank" \o "浙江省重点建设工程施工招标资格后审综合评标示范办法（信用报告）" </w:instrText>
      </w:r>
      <w:r>
        <w:fldChar w:fldCharType="separate"/>
      </w:r>
      <w:r>
        <w:rPr>
          <w:rFonts w:hint="eastAsia" w:ascii="Times New Roman" w:hAnsi="Times New Roman" w:eastAsia="宋体" w:cs="Times New Roman"/>
          <w:snapToGrid/>
          <w:color w:val="000000" w:themeColor="text1"/>
          <w:kern w:val="2"/>
          <w14:textFill>
            <w14:solidFill>
              <w14:schemeClr w14:val="tx1"/>
            </w14:solidFill>
          </w14:textFill>
        </w:rPr>
        <w:t>综合评估法</w:t>
      </w:r>
      <w:r>
        <w:rPr>
          <w:rFonts w:hint="eastAsia" w:ascii="Times New Roman" w:hAnsi="Times New Roman" w:eastAsia="宋体" w:cs="Times New Roman"/>
          <w:snapToGrid/>
          <w:color w:val="000000" w:themeColor="text1"/>
          <w:kern w:val="2"/>
          <w14:textFill>
            <w14:solidFill>
              <w14:schemeClr w14:val="tx1"/>
            </w14:solidFill>
          </w14:textFill>
        </w:rPr>
        <w:fldChar w:fldCharType="end"/>
      </w:r>
      <w:r>
        <w:rPr>
          <w:rFonts w:hint="eastAsia" w:ascii="Times New Roman" w:hAnsi="Times New Roman" w:eastAsia="宋体" w:cs="Times New Roman"/>
          <w:snapToGrid/>
          <w:color w:val="000000" w:themeColor="text1"/>
          <w:kern w:val="2"/>
          <w14:textFill>
            <w14:solidFill>
              <w14:schemeClr w14:val="tx1"/>
            </w14:solidFill>
          </w14:textFill>
        </w:rPr>
        <w:t>（设技术标）</w:t>
      </w:r>
    </w:p>
    <w:p>
      <w:pPr>
        <w:widowControl w:val="0"/>
        <w:kinsoku/>
        <w:autoSpaceDE/>
        <w:autoSpaceDN/>
        <w:adjustRightInd/>
        <w:snapToGrid/>
        <w:spacing w:after="120"/>
        <w:jc w:val="both"/>
        <w:textAlignment w:val="auto"/>
        <w:rPr>
          <w:rFonts w:ascii="Times New Roman" w:hAnsi="Times New Roman" w:eastAsia="宋体" w:cs="Times New Roman"/>
          <w:snapToGrid/>
          <w:color w:val="000000" w:themeColor="text1"/>
          <w:kern w:val="2"/>
          <w:szCs w:val="24"/>
          <w14:textFill>
            <w14:solidFill>
              <w14:schemeClr w14:val="tx1"/>
            </w14:solidFill>
          </w14:textFill>
        </w:rPr>
      </w:pPr>
    </w:p>
    <w:p>
      <w:pPr>
        <w:widowControl w:val="0"/>
        <w:kinsoku/>
        <w:autoSpaceDE/>
        <w:autoSpaceDN/>
        <w:adjustRightInd/>
        <w:snapToGrid/>
        <w:ind w:left="420" w:leftChars="200"/>
        <w:jc w:val="both"/>
        <w:textAlignment w:val="auto"/>
        <w:rPr>
          <w:rFonts w:ascii="Times New Roman" w:hAnsi="Times New Roman" w:eastAsia="宋体" w:cs="Times New Roman"/>
          <w:snapToGrid/>
          <w:color w:val="000000" w:themeColor="text1"/>
          <w:kern w:val="2"/>
          <w:szCs w:val="24"/>
          <w14:textFill>
            <w14:solidFill>
              <w14:schemeClr w14:val="tx1"/>
            </w14:solidFill>
          </w14:textFill>
        </w:rPr>
      </w:pPr>
      <w:r>
        <w:rPr>
          <w:rFonts w:hint="eastAsia" w:ascii="Times New Roman" w:hAnsi="Times New Roman" w:eastAsia="宋体" w:cs="Times New Roman"/>
          <w:snapToGrid/>
          <w:color w:val="000000" w:themeColor="text1"/>
          <w:kern w:val="2"/>
          <w:szCs w:val="24"/>
          <w14:textFill>
            <w14:solidFill>
              <w14:schemeClr w14:val="tx1"/>
            </w14:solidFill>
          </w14:textFill>
        </w:rPr>
        <w:t>二、定标办法：</w:t>
      </w:r>
    </w:p>
    <w:p>
      <w:pPr>
        <w:widowControl w:val="0"/>
        <w:kinsoku/>
        <w:wordWrap w:val="0"/>
        <w:topLinePunct/>
        <w:autoSpaceDE/>
        <w:autoSpaceDN/>
        <w:spacing w:line="400" w:lineRule="exact"/>
        <w:ind w:firstLine="420" w:firstLineChars="200"/>
        <w:jc w:val="both"/>
        <w:textAlignment w:val="auto"/>
        <w:rPr>
          <w:rFonts w:ascii="宋体" w:hAnsi="宋体" w:eastAsia="宋体" w:cs="宋体"/>
          <w:snapToGrid/>
          <w:color w:val="000000" w:themeColor="text1"/>
          <w:kern w:val="2"/>
          <w:highlight w:val="none"/>
          <w14:textFill>
            <w14:solidFill>
              <w14:schemeClr w14:val="tx1"/>
            </w14:solidFill>
          </w14:textFill>
        </w:rPr>
      </w:pPr>
      <w:r>
        <w:rPr>
          <w:rFonts w:hint="eastAsia" w:ascii="宋体" w:hAnsi="宋体" w:eastAsia="宋体" w:cs="宋体"/>
          <w:snapToGrid/>
          <w:color w:val="000000" w:themeColor="text1"/>
          <w:kern w:val="2"/>
          <w:highlight w:val="none"/>
          <w14:textFill>
            <w14:solidFill>
              <w14:schemeClr w14:val="tx1"/>
            </w14:solidFill>
          </w14:textFill>
        </w:rPr>
        <w:t>定标办法按照《浙江省工程建设项目招标投标“评定分离”操作指引（试行）》（浙发改公管〔2023〕256 号）确定。</w:t>
      </w:r>
    </w:p>
    <w:p>
      <w:pPr>
        <w:widowControl w:val="0"/>
        <w:kinsoku/>
        <w:wordWrap w:val="0"/>
        <w:topLinePunct/>
        <w:autoSpaceDE/>
        <w:autoSpaceDN/>
        <w:spacing w:line="400" w:lineRule="exact"/>
        <w:ind w:firstLine="420" w:firstLineChars="200"/>
        <w:jc w:val="both"/>
        <w:textAlignment w:val="auto"/>
        <w:rPr>
          <w:rFonts w:hint="eastAsia" w:ascii="宋体" w:hAnsi="宋体" w:eastAsia="宋体" w:cs="宋体"/>
          <w:snapToGrid/>
          <w:color w:val="000000" w:themeColor="text1"/>
          <w:kern w:val="2"/>
          <w:highlight w:val="none"/>
          <w14:textFill>
            <w14:solidFill>
              <w14:schemeClr w14:val="tx1"/>
            </w14:solidFill>
          </w14:textFill>
        </w:rPr>
      </w:pPr>
      <w:r>
        <w:rPr>
          <w:rFonts w:hint="eastAsia" w:ascii="宋体" w:hAnsi="宋体" w:eastAsia="宋体" w:cs="宋体"/>
          <w:snapToGrid/>
          <w:color w:val="000000" w:themeColor="text1"/>
          <w:kern w:val="2"/>
          <w:highlight w:val="none"/>
          <w14:textFill>
            <w14:solidFill>
              <w14:schemeClr w14:val="tx1"/>
            </w14:solidFill>
          </w14:textFill>
        </w:rPr>
        <w:t>☑</w:t>
      </w:r>
      <w:r>
        <w:rPr>
          <w:rFonts w:hint="eastAsia" w:ascii="宋体" w:hAnsi="宋体" w:eastAsia="宋体" w:cs="宋体"/>
          <w:snapToGrid/>
          <w:color w:val="000000" w:themeColor="text1"/>
          <w:kern w:val="2"/>
          <w:highlight w:val="none"/>
          <w:lang w:val="en-US" w:eastAsia="zh-CN"/>
          <w14:textFill>
            <w14:solidFill>
              <w14:schemeClr w14:val="tx1"/>
            </w14:solidFill>
          </w14:textFill>
        </w:rPr>
        <w:t>直接</w:t>
      </w:r>
      <w:r>
        <w:rPr>
          <w:rFonts w:hint="eastAsia" w:ascii="宋体" w:hAnsi="宋体" w:eastAsia="宋体" w:cs="宋体"/>
          <w:snapToGrid/>
          <w:color w:val="000000" w:themeColor="text1"/>
          <w:kern w:val="2"/>
          <w:highlight w:val="none"/>
          <w14:textFill>
            <w14:solidFill>
              <w14:schemeClr w14:val="tx1"/>
            </w14:solidFill>
          </w14:textFill>
        </w:rPr>
        <w:t>票决法：定标委员会在进入投票范围的中标候选人中，以每人投票支持一个中标候选人的方式，得票最多且过半数的中标候选人为中标人。</w:t>
      </w:r>
    </w:p>
    <w:p>
      <w:pPr>
        <w:widowControl w:val="0"/>
        <w:kinsoku/>
        <w:wordWrap w:val="0"/>
        <w:topLinePunct/>
        <w:autoSpaceDE/>
        <w:autoSpaceDN/>
        <w:spacing w:line="400" w:lineRule="exact"/>
        <w:ind w:firstLine="420" w:firstLineChars="200"/>
        <w:jc w:val="both"/>
        <w:textAlignment w:val="auto"/>
        <w:rPr>
          <w:rFonts w:ascii="宋体" w:hAnsi="宋体" w:eastAsia="宋体" w:cs="宋体"/>
          <w:snapToGrid/>
          <w:color w:val="000000" w:themeColor="text1"/>
          <w:kern w:val="2"/>
          <w:highlight w:val="none"/>
          <w14:textFill>
            <w14:solidFill>
              <w14:schemeClr w14:val="tx1"/>
            </w14:solidFill>
          </w14:textFill>
        </w:rPr>
      </w:pPr>
      <w:r>
        <w:rPr>
          <w:rFonts w:hint="eastAsia" w:ascii="宋体" w:hAnsi="宋体" w:eastAsia="宋体" w:cs="宋体"/>
          <w:snapToGrid/>
          <w:color w:val="000000" w:themeColor="text1"/>
          <w:kern w:val="2"/>
          <w:highlight w:val="none"/>
          <w14:textFill>
            <w14:solidFill>
              <w14:schemeClr w14:val="tx1"/>
            </w14:solidFill>
          </w14:textFill>
        </w:rPr>
        <w:t>当没有中标候选人得票超过半数时，选择得票较多的2个中标候选人（按上一轮得票多少的顺序选择，在选择第2个中标候选人时出现同票的中标候选人时，</w:t>
      </w:r>
      <w:r>
        <w:rPr>
          <w:rFonts w:hint="eastAsia" w:ascii="宋体" w:hAnsi="宋体" w:eastAsia="宋体" w:cs="宋体"/>
          <w:snapToGrid/>
          <w:color w:val="000000" w:themeColor="text1"/>
          <w:kern w:val="2"/>
          <w:highlight w:val="none"/>
          <w:lang w:eastAsia="zh-CN"/>
          <w14:textFill>
            <w14:solidFill>
              <w14:schemeClr w14:val="tx1"/>
            </w14:solidFill>
          </w14:textFill>
        </w:rPr>
        <w:t>☑</w:t>
      </w:r>
      <w:r>
        <w:rPr>
          <w:rFonts w:hint="eastAsia" w:ascii="宋体" w:hAnsi="宋体" w:eastAsia="宋体" w:cs="宋体"/>
          <w:snapToGrid/>
          <w:color w:val="000000" w:themeColor="text1"/>
          <w:kern w:val="2"/>
          <w:highlight w:val="none"/>
          <w14:textFill>
            <w14:solidFill>
              <w14:schemeClr w14:val="tx1"/>
            </w14:solidFill>
          </w14:textFill>
        </w:rPr>
        <w:t>抽签抽取中标候选人□报价低者（报价相同时抽签抽取1个中标候选人）□由招标人法定代表人或其委托代表直接确定1个中标候选人</w:t>
      </w:r>
      <w:r>
        <w:rPr>
          <w:rFonts w:hint="eastAsia" w:ascii="宋体" w:hAnsi="宋体" w:eastAsia="宋体" w:cs="宋体"/>
          <w:snapToGrid/>
          <w:color w:val="000000" w:themeColor="text1"/>
          <w:kern w:val="2"/>
          <w:highlight w:val="none"/>
          <w:lang w:eastAsia="zh-CN"/>
          <w14:textFill>
            <w14:solidFill>
              <w14:schemeClr w14:val="tx1"/>
            </w14:solidFill>
          </w14:textFill>
        </w:rPr>
        <w:t>）</w:t>
      </w:r>
      <w:r>
        <w:rPr>
          <w:rFonts w:hint="eastAsia" w:ascii="宋体" w:hAnsi="宋体" w:eastAsia="宋体" w:cs="宋体"/>
          <w:snapToGrid/>
          <w:color w:val="000000" w:themeColor="text1"/>
          <w:kern w:val="2"/>
          <w:highlight w:val="none"/>
          <w14:textFill>
            <w14:solidFill>
              <w14:schemeClr w14:val="tx1"/>
            </w14:solidFill>
          </w14:textFill>
        </w:rPr>
        <w:t>作为二次投票的范围，直至出现得票过半数的中标候选人为止。</w:t>
      </w:r>
    </w:p>
    <w:p>
      <w:pPr>
        <w:widowControl w:val="0"/>
        <w:kinsoku/>
        <w:wordWrap w:val="0"/>
        <w:topLinePunct/>
        <w:autoSpaceDE/>
        <w:autoSpaceDN/>
        <w:spacing w:line="400" w:lineRule="exact"/>
        <w:ind w:firstLine="420" w:firstLineChars="200"/>
        <w:jc w:val="both"/>
        <w:textAlignment w:val="auto"/>
        <w:rPr>
          <w:rFonts w:ascii="宋体" w:hAnsi="宋体" w:eastAsia="宋体" w:cs="宋体"/>
          <w:snapToGrid/>
          <w:color w:val="000000" w:themeColor="text1"/>
          <w:kern w:val="2"/>
          <w14:textFill>
            <w14:solidFill>
              <w14:schemeClr w14:val="tx1"/>
            </w14:solidFill>
          </w14:textFill>
        </w:rPr>
      </w:pPr>
      <w:r>
        <w:rPr>
          <w:rFonts w:ascii="宋体" w:hAnsi="宋体" w:eastAsia="宋体" w:cs="宋体"/>
          <w:snapToGrid/>
          <w:color w:val="000000" w:themeColor="text1"/>
          <w:kern w:val="2"/>
          <w14:textFill>
            <w14:solidFill>
              <w14:schemeClr w14:val="tx1"/>
            </w14:solidFill>
          </w14:textFill>
        </w:rPr>
        <w:t>□</w:t>
      </w:r>
      <w:r>
        <w:rPr>
          <w:rFonts w:hint="eastAsia" w:ascii="宋体" w:hAnsi="宋体" w:eastAsia="宋体" w:cs="宋体"/>
          <w:snapToGrid/>
          <w:color w:val="000000" w:themeColor="text1"/>
          <w:kern w:val="2"/>
          <w14:textFill>
            <w14:solidFill>
              <w14:schemeClr w14:val="tx1"/>
            </w14:solidFill>
          </w14:textFill>
        </w:rPr>
        <w:t>集体议事法。由定标委员会进行集体商议，定标委员会成员各自发表意见，由定标委员会组长最终确定中标人。所有参加会议的定标委员会成员的意见应当作书面记录，并由定标委员会成员签字确认。</w:t>
      </w:r>
    </w:p>
    <w:p>
      <w:pPr>
        <w:widowControl w:val="0"/>
        <w:kinsoku/>
        <w:wordWrap w:val="0"/>
        <w:topLinePunct/>
        <w:autoSpaceDE/>
        <w:autoSpaceDN/>
        <w:spacing w:line="400" w:lineRule="exact"/>
        <w:ind w:firstLine="420" w:firstLineChars="200"/>
        <w:jc w:val="both"/>
        <w:textAlignment w:val="auto"/>
        <w:rPr>
          <w:rFonts w:ascii="Times New Roman" w:hAnsi="Times New Roman" w:eastAsia="宋体" w:cs="Times New Roman"/>
          <w:strike/>
          <w:snapToGrid/>
          <w:color w:val="000000" w:themeColor="text1"/>
          <w:kern w:val="2"/>
          <w14:textFill>
            <w14:solidFill>
              <w14:schemeClr w14:val="tx1"/>
            </w14:solidFill>
          </w14:textFill>
        </w:rPr>
      </w:pPr>
      <w:r>
        <w:rPr>
          <w:rFonts w:ascii="宋体" w:hAnsi="宋体" w:eastAsia="宋体" w:cs="宋体"/>
          <w:snapToGrid/>
          <w:color w:val="000000" w:themeColor="text1"/>
          <w:kern w:val="2"/>
          <w14:textFill>
            <w14:solidFill>
              <w14:schemeClr w14:val="tx1"/>
            </w14:solidFill>
          </w14:textFill>
        </w:rPr>
        <w:t>□</w:t>
      </w:r>
      <w:r>
        <w:rPr>
          <w:rFonts w:hint="eastAsia" w:ascii="宋体" w:hAnsi="宋体" w:eastAsia="宋体" w:cs="宋体"/>
          <w:snapToGrid/>
          <w:color w:val="000000" w:themeColor="text1"/>
          <w:kern w:val="2"/>
          <w14:textFill>
            <w14:solidFill>
              <w14:schemeClr w14:val="tx1"/>
            </w14:solidFill>
          </w14:textFill>
        </w:rPr>
        <w:t>其他：</w:t>
      </w:r>
      <w:r>
        <w:rPr>
          <w:rFonts w:hint="eastAsia" w:ascii="Times New Roman" w:hAnsi="Times New Roman" w:eastAsia="宋体" w:cs="宋体"/>
          <w:snapToGrid/>
          <w:color w:val="000000" w:themeColor="text1"/>
          <w:kern w:val="2"/>
          <w:u w:val="single"/>
          <w14:textFill>
            <w14:solidFill>
              <w14:schemeClr w14:val="tx1"/>
            </w14:solidFill>
          </w14:textFill>
        </w:rPr>
        <w:t xml:space="preserve">                                                    。</w:t>
      </w:r>
    </w:p>
    <w:p>
      <w:pPr>
        <w:widowControl w:val="0"/>
        <w:kinsoku/>
        <w:autoSpaceDE/>
        <w:autoSpaceDN/>
        <w:adjustRightInd/>
        <w:snapToGrid/>
        <w:jc w:val="both"/>
        <w:textAlignment w:val="auto"/>
        <w:rPr>
          <w:rFonts w:ascii="Times New Roman" w:hAnsi="Times New Roman" w:eastAsia="宋体" w:cs="Times New Roman"/>
          <w:snapToGrid/>
          <w:color w:val="000000" w:themeColor="text1"/>
          <w:kern w:val="2"/>
          <w:szCs w:val="24"/>
          <w14:textFill>
            <w14:solidFill>
              <w14:schemeClr w14:val="tx1"/>
            </w14:solidFill>
          </w14:textFill>
        </w:rPr>
      </w:pPr>
    </w:p>
    <w:p>
      <w:pPr>
        <w:spacing w:before="101" w:line="225" w:lineRule="auto"/>
        <w:ind w:left="3188"/>
        <w:jc w:val="both"/>
        <w:outlineLvl w:val="0"/>
        <w:rPr>
          <w:color w:val="000000" w:themeColor="text1"/>
          <w14:textFill>
            <w14:solidFill>
              <w14:schemeClr w14:val="tx1"/>
            </w14:solidFill>
          </w14:textFill>
        </w:rPr>
        <w:sectPr>
          <w:footerReference r:id="rId12" w:type="default"/>
          <w:pgSz w:w="11907" w:h="16840"/>
          <w:pgMar w:top="1418" w:right="1559" w:bottom="1418" w:left="1474" w:header="0" w:footer="723" w:gutter="0"/>
          <w:cols w:space="720" w:num="1"/>
        </w:sectPr>
      </w:pPr>
    </w:p>
    <w:p>
      <w:pPr>
        <w:spacing w:before="64" w:line="224" w:lineRule="auto"/>
        <w:ind w:left="3326"/>
        <w:jc w:val="both"/>
        <w:rPr>
          <w:rFonts w:ascii="宋体" w:hAnsi="宋体" w:eastAsia="宋体" w:cs="宋体"/>
          <w:color w:val="000000" w:themeColor="text1"/>
          <w:sz w:val="31"/>
          <w:szCs w:val="31"/>
          <w14:textOutline w14:w="5791" w14:cap="sq" w14:cmpd="sng" w14:algn="ctr">
            <w14:solidFill>
              <w14:srgbClr w14:val="000000"/>
            </w14:solidFill>
            <w14:prstDash w14:val="solid"/>
            <w14:bevel/>
          </w14:textOutline>
          <w14:textFill>
            <w14:solidFill>
              <w14:schemeClr w14:val="tx1"/>
            </w14:solidFill>
          </w14:textFill>
        </w:rPr>
      </w:pPr>
    </w:p>
    <w:p>
      <w:pPr>
        <w:spacing w:before="64" w:line="224" w:lineRule="auto"/>
        <w:ind w:left="3326"/>
        <w:jc w:val="both"/>
        <w:rPr>
          <w:rFonts w:ascii="宋体" w:hAnsi="宋体" w:eastAsia="宋体" w:cs="宋体"/>
          <w:strike/>
          <w:color w:val="000000" w:themeColor="text1"/>
          <w:sz w:val="31"/>
          <w:szCs w:val="31"/>
          <w14:textFill>
            <w14:solidFill>
              <w14:schemeClr w14:val="tx1"/>
            </w14:solidFill>
          </w14:textFill>
        </w:rPr>
      </w:pPr>
      <w:r>
        <w:rPr>
          <w:rFonts w:ascii="宋体" w:hAnsi="宋体" w:eastAsia="宋体" w:cs="宋体"/>
          <w:strike/>
          <w:color w:val="000000" w:themeColor="text1"/>
          <w:sz w:val="31"/>
          <w:szCs w:val="31"/>
          <w14:textOutline w14:w="5791" w14:cap="sq" w14:cmpd="sng" w14:algn="ctr">
            <w14:solidFill>
              <w14:srgbClr w14:val="000000"/>
            </w14:solidFill>
            <w14:prstDash w14:val="solid"/>
            <w14:bevel/>
          </w14:textOutline>
          <w14:textFill>
            <w14:solidFill>
              <w14:schemeClr w14:val="tx1"/>
            </w14:solidFill>
          </w14:textFill>
        </w:rPr>
        <w:t>经评审的最低投标价法</w:t>
      </w:r>
    </w:p>
    <w:p>
      <w:pPr>
        <w:spacing w:line="247" w:lineRule="auto"/>
        <w:jc w:val="both"/>
        <w:rPr>
          <w:strike/>
          <w:color w:val="000000" w:themeColor="text1"/>
          <w14:textFill>
            <w14:solidFill>
              <w14:schemeClr w14:val="tx1"/>
            </w14:solidFill>
          </w14:textFill>
        </w:rPr>
      </w:pPr>
    </w:p>
    <w:p>
      <w:pPr>
        <w:spacing w:line="248" w:lineRule="auto"/>
        <w:jc w:val="both"/>
        <w:rPr>
          <w:strike/>
          <w:color w:val="000000" w:themeColor="text1"/>
          <w14:textFill>
            <w14:solidFill>
              <w14:schemeClr w14:val="tx1"/>
            </w14:solidFill>
          </w14:textFill>
        </w:rPr>
      </w:pPr>
    </w:p>
    <w:p>
      <w:pPr>
        <w:spacing w:before="75" w:line="353" w:lineRule="auto"/>
        <w:ind w:left="2" w:right="63" w:firstLine="479"/>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根据《中华人民共和国招标投标法》、《中华人民共和国招标投标法实施条例》、《浙江省招标投标条例》、《工程建设项目施工招标投标办法》、《评标委员会和评标办法暂行规定》、《浙江省综合性评标专家库管理办法实施细则》等有关规定，制定本办法。</w:t>
      </w:r>
    </w:p>
    <w:p>
      <w:pPr>
        <w:spacing w:line="394" w:lineRule="exact"/>
        <w:ind w:left="485"/>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position w:val="2"/>
          <w:sz w:val="23"/>
          <w:szCs w:val="23"/>
          <w14:textOutline w14:w="4356" w14:cap="sq" w14:cmpd="sng" w14:algn="ctr">
            <w14:solidFill>
              <w14:srgbClr w14:val="000000"/>
            </w14:solidFill>
            <w14:prstDash w14:val="solid"/>
            <w14:bevel/>
          </w14:textOutline>
          <w14:textFill>
            <w14:solidFill>
              <w14:schemeClr w14:val="tx1"/>
            </w14:solidFill>
          </w14:textFill>
        </w:rPr>
        <w:t>一、评标原则</w:t>
      </w:r>
    </w:p>
    <w:p>
      <w:pPr>
        <w:spacing w:before="44" w:line="228" w:lineRule="auto"/>
        <w:ind w:left="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评标应遵循公平、公正、科学、择优的原则。</w:t>
      </w:r>
    </w:p>
    <w:p>
      <w:pPr>
        <w:spacing w:before="157" w:line="315" w:lineRule="exact"/>
        <w:ind w:left="485"/>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position w:val="1"/>
          <w:sz w:val="23"/>
          <w:szCs w:val="23"/>
          <w14:textOutline w14:w="4356" w14:cap="sq" w14:cmpd="sng" w14:algn="ctr">
            <w14:solidFill>
              <w14:srgbClr w14:val="000000"/>
            </w14:solidFill>
            <w14:prstDash w14:val="solid"/>
            <w14:bevel/>
          </w14:textOutline>
          <w14:textFill>
            <w14:solidFill>
              <w14:schemeClr w14:val="tx1"/>
            </w14:solidFill>
          </w14:textFill>
        </w:rPr>
        <w:t>二、评标组织</w:t>
      </w:r>
    </w:p>
    <w:p>
      <w:pPr>
        <w:spacing w:before="125" w:line="353" w:lineRule="auto"/>
        <w:ind w:left="3" w:firstLine="477"/>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评标工作由招标人依法组建的评标委员会负责。评标委员会的组建见投标人须知前附表，成员为不少于5人的单数。</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spacing w:before="1" w:line="352" w:lineRule="auto"/>
        <w:ind w:left="2" w:right="104" w:firstLine="478"/>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评标委员会应当按照招标文件确定的评标标准和方法，客观、公正对投标文件进行评审和比较，招标文件没有规定的评标标准和方法不得作为评标的依据。</w:t>
      </w:r>
    </w:p>
    <w:p>
      <w:pPr>
        <w:spacing w:before="1" w:line="353" w:lineRule="auto"/>
        <w:ind w:left="2" w:right="65" w:firstLine="478"/>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评标委员会对投标文件作出的评审结论，应当符合有关法律、法规、规章和招标文件的规定。</w:t>
      </w:r>
    </w:p>
    <w:p>
      <w:pPr>
        <w:spacing w:line="420" w:lineRule="exact"/>
        <w:ind w:firstLine="460" w:firstLineChars="20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position w:val="1"/>
          <w:sz w:val="23"/>
          <w:szCs w:val="23"/>
          <w14:textOutline w14:w="4356" w14:cap="sq" w14:cmpd="sng" w14:algn="ctr">
            <w14:solidFill>
              <w14:srgbClr w14:val="000000"/>
            </w14:solidFill>
            <w14:prstDash w14:val="solid"/>
            <w14:bevel/>
          </w14:textOutline>
          <w14:textFill>
            <w14:solidFill>
              <w14:schemeClr w14:val="tx1"/>
            </w14:solidFill>
          </w14:textFill>
        </w:rPr>
        <w:t>三、评标程序</w:t>
      </w:r>
    </w:p>
    <w:p>
      <w:pPr>
        <w:spacing w:line="420" w:lineRule="exact"/>
        <w:ind w:firstLine="476"/>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1.熟悉招标文件和评标办法；</w:t>
      </w:r>
    </w:p>
    <w:p>
      <w:pPr>
        <w:spacing w:line="420" w:lineRule="exact"/>
        <w:ind w:firstLine="476"/>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2.投标文件的符合性评审；</w:t>
      </w:r>
    </w:p>
    <w:p>
      <w:pPr>
        <w:spacing w:line="420" w:lineRule="exact"/>
        <w:ind w:firstLine="476"/>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3.投标文件的技术标评审；</w:t>
      </w:r>
    </w:p>
    <w:p>
      <w:pPr>
        <w:spacing w:line="420" w:lineRule="exact"/>
        <w:ind w:firstLine="476"/>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4.投标文件的商务标评审；</w:t>
      </w:r>
    </w:p>
    <w:p>
      <w:pPr>
        <w:spacing w:line="420" w:lineRule="exact"/>
        <w:ind w:firstLine="476"/>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5.必要时对投标文件中的问题进行询标，包括拟作出否决投标决定前对相关投标人进行询问核实；</w:t>
      </w:r>
    </w:p>
    <w:p>
      <w:pPr>
        <w:spacing w:line="420" w:lineRule="exact"/>
        <w:ind w:firstLine="476"/>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6.当否决投标后，剩余投标人少于3个时，评标委员会应对投标是否具有竞争性进行认定。认为明显缺乏竞争的，可以否决全部投标，否则，应继续进行评审；</w:t>
      </w:r>
    </w:p>
    <w:p>
      <w:pPr>
        <w:spacing w:line="420" w:lineRule="exact"/>
        <w:ind w:firstLine="476"/>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7.对投标文件进行排序，推荐中标候选人；</w:t>
      </w:r>
    </w:p>
    <w:p>
      <w:pPr>
        <w:spacing w:line="420" w:lineRule="exact"/>
        <w:ind w:firstLine="476"/>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8.完成评标报告。</w:t>
      </w:r>
    </w:p>
    <w:p>
      <w:pPr>
        <w:spacing w:line="420" w:lineRule="exact"/>
        <w:ind w:firstLine="462" w:firstLineChars="200"/>
        <w:jc w:val="both"/>
        <w:rPr>
          <w:rFonts w:ascii="宋体" w:hAnsi="宋体" w:eastAsia="宋体" w:cs="宋体"/>
          <w:b/>
          <w:bCs/>
          <w:strike/>
          <w:color w:val="000000" w:themeColor="text1"/>
          <w:position w:val="1"/>
          <w:sz w:val="23"/>
          <w:szCs w:val="23"/>
          <w14:textOutline w14:w="4356" w14:cap="sq" w14:cmpd="sng" w14:algn="ctr">
            <w14:solidFill>
              <w14:srgbClr w14:val="000000"/>
            </w14:solidFill>
            <w14:prstDash w14:val="solid"/>
            <w14:bevel/>
          </w14:textOutline>
          <w14:textFill>
            <w14:solidFill>
              <w14:schemeClr w14:val="tx1"/>
            </w14:solidFill>
          </w14:textFill>
        </w:rPr>
      </w:pPr>
      <w:r>
        <w:rPr>
          <w:rFonts w:ascii="宋体" w:hAnsi="宋体" w:eastAsia="宋体" w:cs="宋体"/>
          <w:b/>
          <w:bCs/>
          <w:strike/>
          <w:color w:val="000000" w:themeColor="text1"/>
          <w:position w:val="1"/>
          <w:sz w:val="23"/>
          <w:szCs w:val="23"/>
          <w14:textOutline w14:w="4356" w14:cap="sq" w14:cmpd="sng" w14:algn="ctr">
            <w14:solidFill>
              <w14:srgbClr w14:val="000000"/>
            </w14:solidFill>
            <w14:prstDash w14:val="solid"/>
            <w14:bevel/>
          </w14:textOutline>
          <w14:textFill>
            <w14:solidFill>
              <w14:schemeClr w14:val="tx1"/>
            </w14:solidFill>
          </w14:textFill>
        </w:rPr>
        <w:t>四、评审细则</w:t>
      </w:r>
    </w:p>
    <w:p>
      <w:pPr>
        <w:spacing w:line="420" w:lineRule="exact"/>
        <w:ind w:firstLine="462" w:firstLineChars="200"/>
        <w:jc w:val="both"/>
        <w:rPr>
          <w:rFonts w:ascii="宋体" w:hAnsi="宋体" w:eastAsia="宋体" w:cs="宋体"/>
          <w:b/>
          <w:bCs/>
          <w:strike/>
          <w:color w:val="000000" w:themeColor="text1"/>
          <w:position w:val="1"/>
          <w:sz w:val="23"/>
          <w:szCs w:val="23"/>
          <w14:textOutline w14:w="4356" w14:cap="sq" w14:cmpd="sng" w14:algn="ctr">
            <w14:solidFill>
              <w14:srgbClr w14:val="000000"/>
            </w14:solidFill>
            <w14:prstDash w14:val="solid"/>
            <w14:bevel/>
          </w14:textOutline>
          <w14:textFill>
            <w14:solidFill>
              <w14:schemeClr w14:val="tx1"/>
            </w14:solidFill>
          </w14:textFill>
        </w:rPr>
      </w:pPr>
      <w:r>
        <w:rPr>
          <w:rFonts w:ascii="宋体" w:hAnsi="宋体" w:eastAsia="宋体" w:cs="宋体"/>
          <w:b/>
          <w:bCs/>
          <w:strike/>
          <w:color w:val="000000" w:themeColor="text1"/>
          <w:position w:val="1"/>
          <w:sz w:val="23"/>
          <w:szCs w:val="23"/>
          <w14:textOutline w14:w="4356" w14:cap="sq" w14:cmpd="sng" w14:algn="ctr">
            <w14:solidFill>
              <w14:srgbClr w14:val="000000"/>
            </w14:solidFill>
            <w14:prstDash w14:val="solid"/>
            <w14:bevel/>
          </w14:textOutline>
          <w14:textFill>
            <w14:solidFill>
              <w14:schemeClr w14:val="tx1"/>
            </w14:solidFill>
          </w14:textFill>
        </w:rPr>
        <w:t>(一)投标文件的符合性评审</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评标委员会首先对投标报价最低的投标文件进行符合性评审。当最低投标报价有多份投标文件时，最低投标报价的所有投标文件均进入符合性评审(以下程序中出现类似情况时照此进行)。</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如评标委员会发现投标文件存在招标文件投标人须知前附表10.1“否决投标的情形”第二款(一)符合性内容之一的，经询问核实并认定后，该投标文件符合性审查不通过应予以否决。</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当出现否决投标时，评标委员会按上述办法对投标报价由低到高的顺序依次评审下一个投标文件，直至通过符合性审查进入下一轮评审。</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(二)投标文件的技术标评审</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评标委员会应对通过符合性评审的投标文件进行技术标评审。</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如评标委员会发现投标文件存在招标文件投标人须知前附表10.1“否决投标的情形”第二款(二)技术标内容之一的，经询问核实并认定后，该投标文件技术标评审不通过应予以否决。</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当出现否决投标时，评标委员会按上述办法对投标报价由低到高的顺序依次评审下一个投标文件，直至通过符合性评审、技术标评审，进入下一轮评审。</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(三)投标文件的商务标评审</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评标委员会应对通过符合性评审及技术标评审的投标文件进行商务标评审。评标委员会应对商务报价的范围、数量、单价、费用组成和总价等进行全面审阅和对比分析，找出报价差异的原因及存在的问题。</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报价评审应以报价口径范围一致的评标价为依据。评标价应在最终报价的基础上，按照招标文件约定的因素和方法进行计算。</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如评标委员会发现投标文件存在招标文件投标人须知前附表10.1“否决投标的情形”第二款(三)商务标内容之一的，经询问核实并认定后，该投标文件商务标审查不合格应予以否决。</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当出现否决投标时，评标委员会按上述办法对投标报价由低到高的顺序依次评审下一个投标文件，直至通过符合性评审、技术标评审、商务标评审为止。</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五、询标</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(一)投标文件中有含义不明确、投标报价可能低于成本价、对同类问题表达不一致或者有明显文字和计算错误的内容，评标委员会认为需要投标人作出必要澄清、说明的，应当组织询标。</w:t>
      </w:r>
    </w:p>
    <w:p>
      <w:pPr>
        <w:spacing w:before="1" w:line="353" w:lineRule="auto"/>
        <w:ind w:right="104"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二)凡是评标委员会拟做出否决投标认定的，应组织相关投标人询问核实。未进行询问核实程序的，不得做出否决投标的认定，投标人放弃询问核实机会的除外。投标人应及时答复，在规定的时限内投标人不参加核实或不予答复的，视为放弃接受询问核实的机会。</w:t>
      </w:r>
    </w:p>
    <w:p>
      <w:pPr>
        <w:spacing w:line="353" w:lineRule="auto"/>
        <w:ind w:left="4" w:right="104" w:firstLine="488"/>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(三)询标问题及投标人的澄清、说明应当采用书面形式，并不得超出投标文件的范围或者改变投标文件的实质性内容。</w:t>
      </w:r>
    </w:p>
    <w:p>
      <w:pPr>
        <w:spacing w:before="1" w:line="353" w:lineRule="auto"/>
        <w:ind w:left="21" w:right="104" w:firstLine="471"/>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(四)评标委员会不得暗示或者诱导投标人作出澄清、说明，不得接受投标人主动提出的澄清、说明。</w:t>
      </w:r>
    </w:p>
    <w:p>
      <w:pPr>
        <w:spacing w:before="1" w:line="352" w:lineRule="auto"/>
        <w:ind w:left="4" w:firstLine="488"/>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(五)投标人不得通过补充、修改或撤销投标文件中的内容使其成为实质性响应的投标，投标人在投标截止时间以后不得提交任何资料作为评标依据。</w:t>
      </w:r>
    </w:p>
    <w:p>
      <w:pPr>
        <w:spacing w:line="232" w:lineRule="auto"/>
        <w:ind w:left="483"/>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六、推荐中标候选人</w:t>
      </w:r>
    </w:p>
    <w:p>
      <w:pPr>
        <w:spacing w:before="151" w:line="353" w:lineRule="auto"/>
        <w:ind w:left="1" w:right="63" w:firstLine="479"/>
        <w:jc w:val="both"/>
        <w:rPr>
          <w:rFonts w:ascii="宋体" w:hAnsi="宋体" w:eastAsia="宋体" w:cs="宋体"/>
          <w:strike/>
          <w:color w:val="000000" w:themeColor="text1"/>
          <w:sz w:val="23"/>
          <w:szCs w:val="23"/>
          <w14:textFill>
            <w14:solidFill>
              <w14:schemeClr w14:val="tx1"/>
            </w14:solidFill>
          </w14:textFill>
        </w:rPr>
      </w:pPr>
      <w:r>
        <w:rPr>
          <w:rFonts w:hint="eastAsia" w:ascii="宋体" w:hAnsi="宋体" w:eastAsia="宋体" w:cs="宋体"/>
          <w:strike/>
          <w:color w:val="000000" w:themeColor="text1"/>
          <w:sz w:val="23"/>
          <w:szCs w:val="23"/>
          <w14:textFill>
            <w14:solidFill>
              <w14:schemeClr w14:val="tx1"/>
            </w14:solidFill>
          </w14:textFill>
        </w:rPr>
        <w:t>评标委员会对通过商务评审的投标人按投标报价从低到高进行排序，并按照排序推荐中标候选人。</w:t>
      </w:r>
      <w:r>
        <w:rPr>
          <w:rFonts w:ascii="宋体" w:hAnsi="宋体" w:eastAsia="宋体" w:cs="宋体"/>
          <w:strike/>
          <w:color w:val="000000" w:themeColor="text1"/>
          <w:sz w:val="23"/>
          <w:szCs w:val="23"/>
          <w14:textFill>
            <w14:solidFill>
              <w14:schemeClr w14:val="tx1"/>
            </w14:solidFill>
          </w14:textFill>
        </w:rPr>
        <w:t>当出现有多个投标人通过上述评审时，由评标委员会通过□抽签(或□记名投票表决)方式推荐名中标候选人。</w:t>
      </w:r>
    </w:p>
    <w:p>
      <w:pPr>
        <w:spacing w:line="239" w:lineRule="auto"/>
        <w:ind w:left="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七、完成评标报告</w:t>
      </w:r>
    </w:p>
    <w:p>
      <w:pPr>
        <w:spacing w:before="144" w:line="353" w:lineRule="auto"/>
        <w:ind w:right="65" w:firstLine="493"/>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spacing w:line="439" w:lineRule="exact"/>
        <w:ind w:left="493"/>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position w:val="15"/>
          <w:sz w:val="23"/>
          <w:szCs w:val="23"/>
          <w14:textFill>
            <w14:solidFill>
              <w14:schemeClr w14:val="tx1"/>
            </w14:solidFill>
          </w14:textFill>
        </w:rPr>
        <w:t>(二)评标报告应包括以下内容：</w:t>
      </w:r>
    </w:p>
    <w:p>
      <w:pPr>
        <w:spacing w:line="311" w:lineRule="exact"/>
        <w:ind w:left="499"/>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position w:val="1"/>
          <w:sz w:val="23"/>
          <w:szCs w:val="23"/>
          <w14:textFill>
            <w14:solidFill>
              <w14:schemeClr w14:val="tx1"/>
            </w14:solidFill>
          </w14:textFill>
        </w:rPr>
        <w:t>1.开标记录；</w:t>
      </w:r>
    </w:p>
    <w:p>
      <w:pPr>
        <w:spacing w:before="130" w:line="311" w:lineRule="exact"/>
        <w:ind w:left="484"/>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position w:val="1"/>
          <w:sz w:val="23"/>
          <w:szCs w:val="23"/>
          <w14:textFill>
            <w14:solidFill>
              <w14:schemeClr w14:val="tx1"/>
            </w14:solidFill>
          </w14:textFill>
        </w:rPr>
        <w:t>2.评标内容、过程和结果；</w:t>
      </w:r>
    </w:p>
    <w:p>
      <w:pPr>
        <w:spacing w:before="129" w:line="309" w:lineRule="exact"/>
        <w:ind w:left="486"/>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position w:val="1"/>
          <w:sz w:val="23"/>
          <w:szCs w:val="23"/>
          <w14:textFill>
            <w14:solidFill>
              <w14:schemeClr w14:val="tx1"/>
            </w14:solidFill>
          </w14:textFill>
        </w:rPr>
        <w:t>3.询标澄清纪要；</w:t>
      </w:r>
    </w:p>
    <w:p>
      <w:pPr>
        <w:spacing w:before="130" w:line="311" w:lineRule="exact"/>
        <w:ind w:left="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position w:val="1"/>
          <w:sz w:val="23"/>
          <w:szCs w:val="23"/>
          <w14:textFill>
            <w14:solidFill>
              <w14:schemeClr w14:val="tx1"/>
            </w14:solidFill>
          </w14:textFill>
        </w:rPr>
        <w:t>4.否决投标情况说明及依据；</w:t>
      </w:r>
    </w:p>
    <w:p>
      <w:pPr>
        <w:spacing w:before="130" w:line="440" w:lineRule="exact"/>
        <w:ind w:left="486"/>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position w:val="15"/>
          <w:sz w:val="23"/>
          <w:szCs w:val="23"/>
          <w14:textFill>
            <w14:solidFill>
              <w14:schemeClr w14:val="tx1"/>
            </w14:solidFill>
          </w14:textFill>
        </w:rPr>
        <w:t>5.推荐中标候选人；</w:t>
      </w:r>
    </w:p>
    <w:p>
      <w:pPr>
        <w:spacing w:line="212" w:lineRule="auto"/>
        <w:ind w:left="483"/>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6.中标候选人投标业绩</w:t>
      </w:r>
      <w:r>
        <w:rPr>
          <w:rFonts w:ascii="宋体" w:hAnsi="宋体" w:eastAsia="宋体" w:cs="宋体"/>
          <w:strike/>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(招标文件对投标资格有业绩要求的)</w:t>
      </w:r>
      <w:r>
        <w:rPr>
          <w:rFonts w:ascii="宋体" w:hAnsi="宋体" w:eastAsia="宋体" w:cs="宋体"/>
          <w:strike/>
          <w:color w:val="000000" w:themeColor="text1"/>
          <w:sz w:val="23"/>
          <w:szCs w:val="23"/>
          <w14:textFill>
            <w14:solidFill>
              <w14:schemeClr w14:val="tx1"/>
            </w14:solidFill>
          </w14:textFill>
        </w:rPr>
        <w:t>；</w:t>
      </w:r>
    </w:p>
    <w:p>
      <w:pPr>
        <w:spacing w:before="152" w:line="309" w:lineRule="exact"/>
        <w:ind w:left="48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strike/>
          <w:color w:val="000000" w:themeColor="text1"/>
          <w:position w:val="1"/>
          <w:sz w:val="23"/>
          <w:szCs w:val="23"/>
          <w14:textFill>
            <w14:solidFill>
              <w14:schemeClr w14:val="tx1"/>
            </w14:solidFill>
          </w14:textFill>
        </w:rPr>
        <w:t>7.其他建议。</w:t>
      </w:r>
    </w:p>
    <w:p>
      <w:pPr>
        <w:jc w:val="both"/>
        <w:rPr>
          <w:color w:val="000000" w:themeColor="text1"/>
          <w14:textFill>
            <w14:solidFill>
              <w14:schemeClr w14:val="tx1"/>
            </w14:solidFill>
          </w14:textFill>
        </w:rPr>
        <w:sectPr>
          <w:footerReference r:id="rId13" w:type="default"/>
          <w:pgSz w:w="11907" w:h="16840"/>
          <w:pgMar w:top="1418" w:right="1559" w:bottom="1418" w:left="1474" w:header="0" w:footer="723" w:gutter="0"/>
          <w:cols w:space="720" w:num="1"/>
        </w:sectPr>
      </w:pPr>
    </w:p>
    <w:p>
      <w:pPr>
        <w:spacing w:before="64" w:line="224" w:lineRule="auto"/>
        <w:jc w:val="center"/>
        <w:rPr>
          <w:rFonts w:ascii="宋体" w:hAnsi="宋体" w:eastAsia="宋体" w:cs="宋体"/>
          <w:color w:val="000000" w:themeColor="text1"/>
          <w:sz w:val="31"/>
          <w:szCs w:val="31"/>
          <w14:textFill>
            <w14:solidFill>
              <w14:schemeClr w14:val="tx1"/>
            </w14:solidFill>
          </w14:textFill>
        </w:rPr>
      </w:pPr>
      <w:r>
        <w:rPr>
          <w:rFonts w:ascii="宋体" w:hAnsi="宋体" w:eastAsia="宋体" w:cs="宋体"/>
          <w:color w:val="000000" w:themeColor="text1"/>
          <w:sz w:val="31"/>
          <w:szCs w:val="31"/>
          <w14:textOutline w14:w="5791" w14:cap="sq" w14:cmpd="sng" w14:algn="ctr">
            <w14:solidFill>
              <w14:srgbClr w14:val="000000"/>
            </w14:solidFill>
            <w14:prstDash w14:val="solid"/>
            <w14:bevel/>
          </w14:textOutline>
          <w14:textFill>
            <w14:solidFill>
              <w14:schemeClr w14:val="tx1"/>
            </w14:solidFill>
          </w14:textFill>
        </w:rPr>
        <w:t>综合评估法</w:t>
      </w:r>
    </w:p>
    <w:p>
      <w:pPr>
        <w:spacing w:line="247" w:lineRule="auto"/>
        <w:jc w:val="both"/>
        <w:rPr>
          <w:color w:val="000000" w:themeColor="text1"/>
          <w14:textFill>
            <w14:solidFill>
              <w14:schemeClr w14:val="tx1"/>
            </w14:solidFill>
          </w14:textFill>
        </w:rPr>
      </w:pPr>
    </w:p>
    <w:p>
      <w:pPr>
        <w:spacing w:line="248" w:lineRule="auto"/>
        <w:jc w:val="both"/>
        <w:rPr>
          <w:color w:val="000000" w:themeColor="text1"/>
          <w14:textFill>
            <w14:solidFill>
              <w14:schemeClr w14:val="tx1"/>
            </w14:solidFill>
          </w14:textFill>
        </w:rPr>
      </w:pPr>
    </w:p>
    <w:p>
      <w:pPr>
        <w:spacing w:before="75" w:line="353" w:lineRule="auto"/>
        <w:ind w:right="65" w:firstLine="48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根据《中华人民共和国招标投标法》、《中华人民共和国招标投标法实施条例》、《浙江省招标投标条例》、《评标委员会和评标办法暂行规定》、《浙江省综合性评标专家库管理办法实施细则》等有关规定，制定本办法。</w:t>
      </w:r>
    </w:p>
    <w:p>
      <w:pPr>
        <w:spacing w:line="394" w:lineRule="exact"/>
        <w:ind w:left="48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2"/>
          <w:sz w:val="23"/>
          <w:szCs w:val="23"/>
          <w14:textOutline w14:w="4356" w14:cap="sq" w14:cmpd="sng" w14:algn="ctr">
            <w14:solidFill>
              <w14:srgbClr w14:val="000000"/>
            </w14:solidFill>
            <w14:prstDash w14:val="solid"/>
            <w14:bevel/>
          </w14:textOutline>
          <w14:textFill>
            <w14:solidFill>
              <w14:schemeClr w14:val="tx1"/>
            </w14:solidFill>
          </w14:textFill>
        </w:rPr>
        <w:t>一、评标原则</w:t>
      </w:r>
    </w:p>
    <w:p>
      <w:pPr>
        <w:spacing w:before="44" w:line="228" w:lineRule="auto"/>
        <w:ind w:left="48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评标应遵循公平、公正、科学、择优的原则。</w:t>
      </w:r>
    </w:p>
    <w:p>
      <w:pPr>
        <w:spacing w:before="157" w:line="315" w:lineRule="exact"/>
        <w:ind w:left="48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
          <w:sz w:val="23"/>
          <w:szCs w:val="23"/>
          <w14:textOutline w14:w="4356" w14:cap="sq" w14:cmpd="sng" w14:algn="ctr">
            <w14:solidFill>
              <w14:srgbClr w14:val="000000"/>
            </w14:solidFill>
            <w14:prstDash w14:val="solid"/>
            <w14:bevel/>
          </w14:textOutline>
          <w14:textFill>
            <w14:solidFill>
              <w14:schemeClr w14:val="tx1"/>
            </w14:solidFill>
          </w14:textFill>
        </w:rPr>
        <w:t>二、评标组织</w:t>
      </w:r>
    </w:p>
    <w:p>
      <w:pPr>
        <w:spacing w:before="125" w:line="353" w:lineRule="auto"/>
        <w:ind w:left="3" w:firstLine="47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评标工作由招标人依法组建的评标委员会负责。评标委员会的组建见投标人须知前附表，成员为不少于5人的单数。</w:t>
      </w:r>
    </w:p>
    <w:p>
      <w:pPr>
        <w:spacing w:before="1" w:line="353" w:lineRule="auto"/>
        <w:ind w:right="65" w:firstLine="48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spacing w:before="1" w:line="352" w:lineRule="auto"/>
        <w:ind w:left="2" w:right="65" w:firstLine="478"/>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评标委员会应当按照招标文件确定的评标标准和方法，客观、公正对投标文件进行评审和比较，招标文件没有规定的评标标准和方法不得作为评标的依据。</w:t>
      </w:r>
    </w:p>
    <w:p>
      <w:pPr>
        <w:spacing w:before="1" w:line="353" w:lineRule="auto"/>
        <w:ind w:left="2" w:right="65" w:firstLine="478"/>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评标委员会对投标文件作出的评审结论，应当符合有关法律、法规、规章和招标文件的规定。</w:t>
      </w:r>
    </w:p>
    <w:p>
      <w:pPr>
        <w:spacing w:line="306" w:lineRule="exact"/>
        <w:ind w:left="48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
          <w:sz w:val="23"/>
          <w:szCs w:val="23"/>
          <w14:textOutline w14:w="4356" w14:cap="sq" w14:cmpd="sng" w14:algn="ctr">
            <w14:solidFill>
              <w14:srgbClr w14:val="000000"/>
            </w14:solidFill>
            <w14:prstDash w14:val="solid"/>
            <w14:bevel/>
          </w14:textOutline>
          <w14:textFill>
            <w14:solidFill>
              <w14:schemeClr w14:val="tx1"/>
            </w14:solidFill>
          </w14:textFill>
        </w:rPr>
        <w:t>三、评标程序和内容</w:t>
      </w:r>
    </w:p>
    <w:p>
      <w:pPr>
        <w:spacing w:before="134" w:line="441" w:lineRule="exact"/>
        <w:ind w:left="499"/>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5"/>
          <w:sz w:val="23"/>
          <w:szCs w:val="23"/>
          <w14:textFill>
            <w14:solidFill>
              <w14:schemeClr w14:val="tx1"/>
            </w14:solidFill>
          </w14:textFill>
        </w:rPr>
        <w:t>1.熟悉招标文件和评标办法；</w:t>
      </w:r>
    </w:p>
    <w:p>
      <w:pPr>
        <w:spacing w:line="311" w:lineRule="exact"/>
        <w:ind w:left="484"/>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
          <w:sz w:val="23"/>
          <w:szCs w:val="23"/>
          <w14:textFill>
            <w14:solidFill>
              <w14:schemeClr w14:val="tx1"/>
            </w14:solidFill>
          </w14:textFill>
        </w:rPr>
        <w:t>2.投标文件的符合性评审；</w:t>
      </w:r>
    </w:p>
    <w:p>
      <w:pPr>
        <w:spacing w:before="128" w:line="310" w:lineRule="exact"/>
        <w:ind w:left="486"/>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
          <w:sz w:val="23"/>
          <w:szCs w:val="23"/>
          <w14:textFill>
            <w14:solidFill>
              <w14:schemeClr w14:val="tx1"/>
            </w14:solidFill>
          </w14:textFill>
        </w:rPr>
        <w:t>3.投标文件的资信、业绩评审；</w:t>
      </w:r>
    </w:p>
    <w:p>
      <w:pPr>
        <w:spacing w:before="130" w:line="311" w:lineRule="exact"/>
        <w:ind w:left="48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
          <w:sz w:val="23"/>
          <w:szCs w:val="23"/>
          <w14:textFill>
            <w14:solidFill>
              <w14:schemeClr w14:val="tx1"/>
            </w14:solidFill>
          </w14:textFill>
        </w:rPr>
        <w:t>4.投标文件的技术标评审；</w:t>
      </w:r>
    </w:p>
    <w:p>
      <w:pPr>
        <w:spacing w:before="130" w:line="310" w:lineRule="exact"/>
        <w:ind w:left="486"/>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
          <w:sz w:val="23"/>
          <w:szCs w:val="23"/>
          <w14:textFill>
            <w14:solidFill>
              <w14:schemeClr w14:val="tx1"/>
            </w14:solidFill>
          </w14:textFill>
        </w:rPr>
        <w:t>5.投标文件的商务标评审；</w:t>
      </w:r>
    </w:p>
    <w:p>
      <w:pPr>
        <w:spacing w:before="131" w:line="353" w:lineRule="auto"/>
        <w:ind w:left="21" w:right="63" w:firstLine="462"/>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6.必要时对投标文件中的问题进行询标，包括拟作出否决投标决定前对相关投标人进行的询问核实；</w:t>
      </w:r>
    </w:p>
    <w:p>
      <w:pPr>
        <w:spacing w:line="439" w:lineRule="exact"/>
        <w:ind w:left="48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5"/>
          <w:sz w:val="23"/>
          <w:szCs w:val="23"/>
          <w14:textFill>
            <w14:solidFill>
              <w14:schemeClr w14:val="tx1"/>
            </w14:solidFill>
          </w14:textFill>
        </w:rPr>
        <w:t>7.根据评标办法和标准对投标文件进行综合评分、排序；</w:t>
      </w:r>
    </w:p>
    <w:p>
      <w:pPr>
        <w:spacing w:line="309" w:lineRule="exact"/>
        <w:ind w:left="482"/>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
          <w:sz w:val="23"/>
          <w:szCs w:val="23"/>
          <w14:textFill>
            <w14:solidFill>
              <w14:schemeClr w14:val="tx1"/>
            </w14:solidFill>
          </w14:textFill>
        </w:rPr>
        <w:t>8.完成评标报告，推荐中标候选人。</w:t>
      </w:r>
    </w:p>
    <w:p>
      <w:pPr>
        <w:spacing w:before="130" w:line="231" w:lineRule="auto"/>
        <w:ind w:left="504"/>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四、评审细则</w:t>
      </w:r>
    </w:p>
    <w:p>
      <w:pPr>
        <w:spacing w:before="154" w:line="228" w:lineRule="auto"/>
        <w:ind w:left="493"/>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(一)投标文件的符合性评审</w:t>
      </w:r>
    </w:p>
    <w:p>
      <w:pPr>
        <w:spacing w:line="420" w:lineRule="exact"/>
        <w:ind w:firstLine="49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1.评标委员会应依照招标文件的要求和规定，首先对投标人的投标资格和投标文件进行符合性评审。</w:t>
      </w:r>
    </w:p>
    <w:p>
      <w:pPr>
        <w:spacing w:line="420" w:lineRule="exact"/>
        <w:ind w:firstLine="48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如评标委员会发现投标文件存在招标文件投标人须知前附表10.1“否决投标的情形”第二款(一)符合性内容、(二)技术标内容、(三)商务标内容之一的，经询问核实并认定后，即可判定该投标文件符合性评审不通过应予以否决，不再进入后续的综合评分程序。</w:t>
      </w:r>
    </w:p>
    <w:p>
      <w:pPr>
        <w:spacing w:line="420" w:lineRule="exact"/>
        <w:ind w:firstLine="575" w:firstLineChars="25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
          <w:sz w:val="23"/>
          <w:szCs w:val="23"/>
          <w14:textFill>
            <w14:solidFill>
              <w14:schemeClr w14:val="tx1"/>
            </w14:solidFill>
          </w14:textFill>
        </w:rPr>
        <w:t>2.询标</w:t>
      </w:r>
    </w:p>
    <w:p>
      <w:pPr>
        <w:spacing w:line="420" w:lineRule="exact"/>
        <w:ind w:firstLine="489"/>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(1)投标文件中有含义不明确的内容、明显文字或计算错误，评标委员会认为需要投标人作出必要澄清、说明的，应当组织询标。</w:t>
      </w:r>
    </w:p>
    <w:p>
      <w:pPr>
        <w:spacing w:line="420" w:lineRule="exact"/>
        <w:ind w:firstLine="492"/>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pPr>
        <w:spacing w:line="420" w:lineRule="exact"/>
        <w:ind w:firstLine="49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(3)询标问题及投标人的澄清、说明应当采用书面形式，并不得超出投标文件的范围或者改变投标文件的实质性内容。</w:t>
      </w:r>
    </w:p>
    <w:p>
      <w:pPr>
        <w:spacing w:line="420" w:lineRule="exact"/>
        <w:ind w:firstLine="49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(4)评标委员会不得暗示或者诱导投标人作出澄清、说明，不得接受投标人主动提出的澄清、说明。</w:t>
      </w:r>
    </w:p>
    <w:p>
      <w:pPr>
        <w:spacing w:line="420" w:lineRule="exact"/>
        <w:ind w:firstLine="488"/>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(5)投标人不得通过补充、修改或撤销投标文件中的内容使其成为实质性响应的投标，投标人在投标截止时间以后不得提交任何资料作为评标依据。</w:t>
      </w:r>
    </w:p>
    <w:p>
      <w:pPr>
        <w:spacing w:line="420" w:lineRule="exact"/>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(二)资信、业绩评审</w:t>
      </w:r>
    </w:p>
    <w:p>
      <w:pPr>
        <w:spacing w:line="420" w:lineRule="exact"/>
        <w:ind w:firstLine="49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由评标委员会全体成员根据投标人提供的相关证明材料进行集体认定。</w:t>
      </w:r>
    </w:p>
    <w:p>
      <w:pPr>
        <w:spacing w:line="420" w:lineRule="exact"/>
        <w:ind w:firstLine="491"/>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业绩评分(0—3分)</w:t>
      </w:r>
    </w:p>
    <w:p>
      <w:pPr>
        <w:spacing w:line="420" w:lineRule="exact"/>
        <w:ind w:firstLine="519"/>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自</w:t>
      </w:r>
      <w:r>
        <w:rPr>
          <w:rFonts w:ascii="宋体" w:hAnsi="宋体" w:eastAsia="宋体" w:cs="宋体"/>
          <w:strike/>
          <w:color w:val="000000" w:themeColor="text1"/>
          <w:sz w:val="23"/>
          <w:szCs w:val="23"/>
          <w:u w:val="single"/>
          <w14:textFill>
            <w14:solidFill>
              <w14:schemeClr w14:val="tx1"/>
            </w14:solidFill>
          </w14:textFill>
        </w:rPr>
        <w:t xml:space="preserve">    </w:t>
      </w:r>
      <w:r>
        <w:rPr>
          <w:rFonts w:ascii="宋体" w:hAnsi="宋体" w:eastAsia="宋体" w:cs="宋体"/>
          <w:strike/>
          <w:color w:val="000000" w:themeColor="text1"/>
          <w:sz w:val="23"/>
          <w:szCs w:val="23"/>
          <w14:textFill>
            <w14:solidFill>
              <w14:schemeClr w14:val="tx1"/>
            </w14:solidFill>
          </w14:textFill>
        </w:rPr>
        <w:t>年</w:t>
      </w:r>
      <w:r>
        <w:rPr>
          <w:rFonts w:ascii="宋体" w:hAnsi="宋体" w:eastAsia="宋体" w:cs="宋体"/>
          <w:strike/>
          <w:color w:val="000000" w:themeColor="text1"/>
          <w:sz w:val="23"/>
          <w:szCs w:val="23"/>
          <w:u w:val="single"/>
          <w14:textFill>
            <w14:solidFill>
              <w14:schemeClr w14:val="tx1"/>
            </w14:solidFill>
          </w14:textFill>
        </w:rPr>
        <w:t xml:space="preserve">    </w:t>
      </w:r>
      <w:r>
        <w:rPr>
          <w:rFonts w:ascii="宋体" w:hAnsi="宋体" w:eastAsia="宋体" w:cs="宋体"/>
          <w:strike/>
          <w:color w:val="000000" w:themeColor="text1"/>
          <w:sz w:val="23"/>
          <w:szCs w:val="23"/>
          <w14:textFill>
            <w14:solidFill>
              <w14:schemeClr w14:val="tx1"/>
            </w14:solidFill>
          </w14:textFill>
        </w:rPr>
        <w:t>月</w:t>
      </w:r>
      <w:r>
        <w:rPr>
          <w:rFonts w:ascii="宋体" w:hAnsi="宋体" w:eastAsia="宋体" w:cs="宋体"/>
          <w:strike/>
          <w:color w:val="000000" w:themeColor="text1"/>
          <w:sz w:val="23"/>
          <w:szCs w:val="23"/>
          <w:u w:val="single"/>
          <w14:textFill>
            <w14:solidFill>
              <w14:schemeClr w14:val="tx1"/>
            </w14:solidFill>
          </w14:textFill>
        </w:rPr>
        <w:t xml:space="preserve">    </w:t>
      </w:r>
      <w:r>
        <w:rPr>
          <w:rFonts w:ascii="宋体" w:hAnsi="宋体" w:eastAsia="宋体" w:cs="宋体"/>
          <w:strike/>
          <w:color w:val="000000" w:themeColor="text1"/>
          <w:sz w:val="23"/>
          <w:szCs w:val="23"/>
          <w14:textFill>
            <w14:solidFill>
              <w14:schemeClr w14:val="tx1"/>
            </w14:solidFill>
          </w14:textFill>
        </w:rPr>
        <w:t>日以来(以</w:t>
      </w:r>
      <w:r>
        <w:rPr>
          <w:rFonts w:ascii="宋体" w:hAnsi="宋体" w:eastAsia="宋体" w:cs="宋体"/>
          <w:strike/>
          <w:color w:val="000000" w:themeColor="text1"/>
          <w:sz w:val="23"/>
          <w:szCs w:val="23"/>
          <w:u w:val="single"/>
          <w14:textFill>
            <w14:solidFill>
              <w14:schemeClr w14:val="tx1"/>
            </w14:solidFill>
          </w14:textFill>
        </w:rPr>
        <w:t xml:space="preserve">    </w:t>
      </w:r>
      <w:r>
        <w:rPr>
          <w:rFonts w:ascii="宋体" w:hAnsi="宋体" w:eastAsia="宋体" w:cs="宋体"/>
          <w:strike/>
          <w:color w:val="000000" w:themeColor="text1"/>
          <w:sz w:val="23"/>
          <w:szCs w:val="23"/>
          <w14:textFill>
            <w14:solidFill>
              <w14:schemeClr w14:val="tx1"/>
            </w14:solidFill>
          </w14:textFill>
        </w:rPr>
        <w:t>日期为准)具有的</w:t>
      </w:r>
      <w:r>
        <w:rPr>
          <w:rFonts w:ascii="宋体" w:hAnsi="宋体" w:eastAsia="宋体" w:cs="宋体"/>
          <w:strike/>
          <w:color w:val="000000" w:themeColor="text1"/>
          <w:sz w:val="23"/>
          <w:szCs w:val="23"/>
          <w:u w:val="single"/>
          <w14:textFill>
            <w14:solidFill>
              <w14:schemeClr w14:val="tx1"/>
            </w14:solidFill>
          </w14:textFill>
        </w:rPr>
        <w:t xml:space="preserve">    </w:t>
      </w:r>
      <w:r>
        <w:rPr>
          <w:rFonts w:ascii="宋体" w:hAnsi="宋体" w:eastAsia="宋体" w:cs="宋体"/>
          <w:strike/>
          <w:color w:val="000000" w:themeColor="text1"/>
          <w:sz w:val="23"/>
          <w:szCs w:val="23"/>
          <w14:textFill>
            <w14:solidFill>
              <w14:schemeClr w14:val="tx1"/>
            </w14:solidFill>
          </w14:textFill>
        </w:rPr>
        <w:t>业绩，每个得</w:t>
      </w:r>
      <w:r>
        <w:rPr>
          <w:rFonts w:ascii="宋体" w:hAnsi="宋体" w:eastAsia="宋体" w:cs="宋体"/>
          <w:strike/>
          <w:color w:val="000000" w:themeColor="text1"/>
          <w:sz w:val="23"/>
          <w:szCs w:val="23"/>
          <w:u w:val="single"/>
          <w14:textFill>
            <w14:solidFill>
              <w14:schemeClr w14:val="tx1"/>
            </w14:solidFill>
          </w14:textFill>
        </w:rPr>
        <w:t xml:space="preserve">    </w:t>
      </w:r>
      <w:r>
        <w:rPr>
          <w:rFonts w:ascii="宋体" w:hAnsi="宋体" w:eastAsia="宋体" w:cs="宋体"/>
          <w:strike/>
          <w:color w:val="000000" w:themeColor="text1"/>
          <w:sz w:val="23"/>
          <w:szCs w:val="23"/>
          <w14:textFill>
            <w14:solidFill>
              <w14:schemeClr w14:val="tx1"/>
            </w14:solidFill>
          </w14:textFill>
        </w:rPr>
        <w:t>分，最高得3分。</w:t>
      </w:r>
    </w:p>
    <w:p>
      <w:pPr>
        <w:spacing w:line="420" w:lineRule="exact"/>
        <w:ind w:firstLine="488"/>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注：以上业绩证明材料应提供合同复制件。投标资格证明中的业绩</w:t>
      </w:r>
      <w:r>
        <w:rPr>
          <w:rFonts w:ascii="宋体" w:hAnsi="宋体" w:eastAsia="宋体" w:cs="宋体"/>
          <w:strike/>
          <w:color w:val="000000" w:themeColor="text1"/>
          <w:sz w:val="23"/>
          <w:szCs w:val="23"/>
          <w:u w:val="single"/>
          <w14:textFill>
            <w14:solidFill>
              <w14:schemeClr w14:val="tx1"/>
            </w14:solidFill>
          </w14:textFill>
        </w:rPr>
        <w:t>可以(或不可以)</w:t>
      </w:r>
      <w:r>
        <w:rPr>
          <w:rFonts w:ascii="宋体" w:hAnsi="宋体" w:eastAsia="宋体" w:cs="宋体"/>
          <w:strike/>
          <w:color w:val="000000" w:themeColor="text1"/>
          <w:sz w:val="23"/>
          <w:szCs w:val="23"/>
          <w14:textFill>
            <w14:solidFill>
              <w14:schemeClr w14:val="tx1"/>
            </w14:solidFill>
          </w14:textFill>
        </w:rPr>
        <w:t>作为本项计分业绩。</w:t>
      </w:r>
    </w:p>
    <w:p>
      <w:pPr>
        <w:spacing w:line="228" w:lineRule="auto"/>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(三)投标文件的技术标评审</w:t>
      </w:r>
    </w:p>
    <w:p>
      <w:pPr>
        <w:spacing w:line="420" w:lineRule="exact"/>
        <w:ind w:firstLine="49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1.由评标委员会全体成员对投标文件的采用记名方式各自评分。如发现某个单项的评分超出了规定的分值范围的，则该张评分表无效。此项评分为：从评标专家的有效评分中扣除一个最高总分和一个最低总分后的算术平均值(保留小数2位)。</w:t>
      </w:r>
    </w:p>
    <w:p>
      <w:pPr>
        <w:spacing w:line="420" w:lineRule="exact"/>
        <w:ind w:firstLine="49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2.技术评分(60分)：</w:t>
      </w:r>
    </w:p>
    <w:p>
      <w:pPr>
        <w:spacing w:line="420" w:lineRule="exact"/>
        <w:ind w:firstLine="48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技术评审项目包括：</w:t>
      </w:r>
    </w:p>
    <w:p>
      <w:pPr>
        <w:spacing w:line="420" w:lineRule="exact"/>
        <w:ind w:firstLine="48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招标人可根据招标项目的特点设置相应的评审内容和标准，原则上技术含量高的货物，技术评分权重大。可自选评审内容并要求细化，每一打分项分值区间不宜超过3分：</w:t>
      </w:r>
    </w:p>
    <w:p>
      <w:pPr>
        <w:spacing w:line="420" w:lineRule="exact"/>
        <w:ind w:firstLine="425" w:firstLineChars="185"/>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□加工能力、制造水平</w:t>
      </w:r>
    </w:p>
    <w:p>
      <w:pPr>
        <w:spacing w:line="420" w:lineRule="exact"/>
        <w:ind w:firstLine="425" w:firstLineChars="185"/>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□投标货物技术指标的符合性、优越性</w:t>
      </w:r>
    </w:p>
    <w:p>
      <w:pPr>
        <w:spacing w:line="420" w:lineRule="exact"/>
        <w:ind w:firstLine="425" w:firstLineChars="185"/>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□主要制作材料选用的比较</w:t>
      </w:r>
    </w:p>
    <w:p>
      <w:pPr>
        <w:spacing w:line="420" w:lineRule="exact"/>
        <w:ind w:firstLine="425" w:firstLineChars="185"/>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□辅助制作材料及配件选用的比较</w:t>
      </w:r>
    </w:p>
    <w:p>
      <w:pPr>
        <w:spacing w:line="420" w:lineRule="exact"/>
        <w:ind w:firstLine="425" w:firstLineChars="185"/>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□组织实施方案：投标人组织实施方案的科学性、合理性、规范性和可操作性，包括货物供货、验货、组装就位、关键步骤的思路和要点以及组织机构、工作时间进度表、工作程序和步骤等内容。</w:t>
      </w:r>
    </w:p>
    <w:p>
      <w:pPr>
        <w:spacing w:line="420" w:lineRule="exact"/>
        <w:ind w:firstLine="425" w:firstLineChars="185"/>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□投标人是否具有较强的本地化服务能力、售后服务承诺、提供的售后服务方案的可行性、完整性以及服务承诺落实的保障措施，质保期内外的后续技术支持和维护能力情况等。</w:t>
      </w:r>
    </w:p>
    <w:p>
      <w:pPr>
        <w:spacing w:line="420" w:lineRule="exact"/>
        <w:ind w:firstLine="425" w:firstLineChars="185"/>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□投标人提供的样品质量比较</w:t>
      </w:r>
    </w:p>
    <w:p>
      <w:pPr>
        <w:spacing w:line="420" w:lineRule="exact"/>
        <w:ind w:firstLine="425" w:firstLineChars="185"/>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□其它</w:t>
      </w:r>
    </w:p>
    <w:tbl>
      <w:tblPr>
        <w:tblStyle w:val="27"/>
        <w:tblW w:w="87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
        <w:gridCol w:w="702"/>
        <w:gridCol w:w="5096"/>
        <w:gridCol w:w="712"/>
        <w:gridCol w:w="871"/>
        <w:gridCol w:w="14"/>
        <w:gridCol w:w="8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blHeader/>
          <w:jc w:val="center"/>
        </w:trPr>
        <w:tc>
          <w:tcPr>
            <w:tcW w:w="116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仿宋" w:eastAsia="仿宋_GB2312"/>
                <w:b/>
                <w:bCs/>
              </w:rPr>
            </w:pPr>
            <w:r>
              <w:rPr>
                <w:rFonts w:hint="eastAsia" w:ascii="仿宋_GB2312" w:hAnsi="仿宋" w:eastAsia="仿宋_GB2312"/>
                <w:b/>
                <w:bCs/>
              </w:rPr>
              <w:t>分项</w:t>
            </w:r>
          </w:p>
        </w:tc>
        <w:tc>
          <w:tcPr>
            <w:tcW w:w="5096" w:type="dxa"/>
            <w:vMerge w:val="restart"/>
            <w:tcBorders>
              <w:top w:val="single" w:color="auto" w:sz="4" w:space="0"/>
              <w:left w:val="single" w:color="auto" w:sz="4" w:space="0"/>
              <w:right w:val="single" w:color="auto" w:sz="4" w:space="0"/>
            </w:tcBorders>
            <w:vAlign w:val="center"/>
          </w:tcPr>
          <w:p>
            <w:pPr>
              <w:spacing w:line="240" w:lineRule="exact"/>
              <w:jc w:val="center"/>
              <w:rPr>
                <w:rFonts w:ascii="仿宋_GB2312" w:hAnsi="仿宋" w:eastAsia="仿宋_GB2312"/>
                <w:b/>
                <w:bCs/>
              </w:rPr>
            </w:pPr>
            <w:r>
              <w:rPr>
                <w:rFonts w:hint="eastAsia" w:ascii="仿宋_GB2312" w:hAnsi="仿宋" w:eastAsia="仿宋_GB2312"/>
                <w:b/>
                <w:bCs/>
              </w:rPr>
              <w:t xml:space="preserve">子项及评审标准    </w:t>
            </w:r>
          </w:p>
        </w:tc>
        <w:tc>
          <w:tcPr>
            <w:tcW w:w="2469"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仿宋" w:eastAsia="仿宋_GB2312"/>
                <w:b/>
              </w:rPr>
            </w:pPr>
            <w:r>
              <w:rPr>
                <w:rFonts w:hint="eastAsia" w:ascii="仿宋_GB2312" w:hAnsi="仿宋" w:eastAsia="仿宋_GB2312"/>
                <w:b/>
              </w:rPr>
              <w:t>评审得分标准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blHeader/>
          <w:jc w:val="center"/>
        </w:trPr>
        <w:tc>
          <w:tcPr>
            <w:tcW w:w="461"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仿宋" w:eastAsia="仿宋_GB2312"/>
                <w:b/>
                <w:bCs/>
              </w:rPr>
            </w:pPr>
            <w:r>
              <w:rPr>
                <w:rFonts w:hint="eastAsia" w:ascii="仿宋_GB2312" w:hAnsi="仿宋" w:eastAsia="仿宋_GB2312"/>
                <w:b/>
                <w:bCs/>
              </w:rPr>
              <w:t>目录</w:t>
            </w:r>
          </w:p>
        </w:tc>
        <w:tc>
          <w:tcPr>
            <w:tcW w:w="70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仿宋" w:eastAsia="仿宋_GB2312"/>
                <w:b/>
                <w:bCs/>
              </w:rPr>
            </w:pPr>
            <w:r>
              <w:rPr>
                <w:rFonts w:hint="eastAsia" w:ascii="仿宋_GB2312" w:hAnsi="仿宋" w:eastAsia="仿宋_GB2312"/>
                <w:b/>
                <w:bCs/>
              </w:rPr>
              <w:t>名称</w:t>
            </w:r>
          </w:p>
        </w:tc>
        <w:tc>
          <w:tcPr>
            <w:tcW w:w="5096" w:type="dxa"/>
            <w:vMerge w:val="continue"/>
            <w:tcBorders>
              <w:left w:val="single" w:color="auto" w:sz="4" w:space="0"/>
              <w:bottom w:val="single" w:color="auto" w:sz="4" w:space="0"/>
              <w:right w:val="single" w:color="auto" w:sz="4" w:space="0"/>
            </w:tcBorders>
            <w:vAlign w:val="center"/>
          </w:tcPr>
          <w:p>
            <w:pPr>
              <w:spacing w:line="240" w:lineRule="exact"/>
              <w:jc w:val="center"/>
              <w:rPr>
                <w:rFonts w:ascii="仿宋_GB2312" w:hAnsi="仿宋" w:eastAsia="仿宋_GB2312"/>
                <w:b/>
                <w:bCs/>
              </w:rPr>
            </w:pPr>
          </w:p>
        </w:tc>
        <w:tc>
          <w:tcPr>
            <w:tcW w:w="71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仿宋" w:eastAsia="仿宋_GB2312"/>
                <w:b/>
              </w:rPr>
            </w:pPr>
            <w:r>
              <w:rPr>
                <w:rFonts w:hint="eastAsia" w:ascii="仿宋_GB2312" w:hAnsi="仿宋" w:eastAsia="仿宋_GB2312"/>
                <w:b/>
              </w:rPr>
              <w:t>优</w:t>
            </w:r>
          </w:p>
        </w:tc>
        <w:tc>
          <w:tcPr>
            <w:tcW w:w="871"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仿宋" w:eastAsia="仿宋_GB2312"/>
                <w:b/>
              </w:rPr>
            </w:pPr>
            <w:r>
              <w:rPr>
                <w:rFonts w:hint="eastAsia" w:ascii="仿宋_GB2312" w:hAnsi="仿宋" w:eastAsia="仿宋_GB2312"/>
                <w:b/>
              </w:rPr>
              <w:t>良</w:t>
            </w:r>
          </w:p>
        </w:tc>
        <w:tc>
          <w:tcPr>
            <w:tcW w:w="88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仿宋" w:eastAsia="仿宋_GB2312"/>
                <w:b/>
              </w:rPr>
            </w:pPr>
            <w:r>
              <w:rPr>
                <w:rFonts w:hint="eastAsia" w:ascii="仿宋_GB2312" w:hAnsi="仿宋" w:eastAsia="仿宋_GB2312"/>
                <w:b/>
              </w:rPr>
              <w:t>一般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jc w:val="center"/>
        </w:trPr>
        <w:tc>
          <w:tcPr>
            <w:tcW w:w="461" w:type="dxa"/>
            <w:vMerge w:val="restart"/>
            <w:tcBorders>
              <w:top w:val="single" w:color="auto" w:sz="4" w:space="0"/>
              <w:left w:val="single" w:color="auto" w:sz="4" w:space="0"/>
              <w:right w:val="single" w:color="auto" w:sz="4" w:space="0"/>
            </w:tcBorders>
            <w:vAlign w:val="center"/>
          </w:tcPr>
          <w:p>
            <w:pPr>
              <w:spacing w:line="240" w:lineRule="exact"/>
              <w:jc w:val="center"/>
              <w:rPr>
                <w:rFonts w:ascii="仿宋_GB2312" w:hAnsi="仿宋" w:eastAsia="仿宋_GB2312"/>
              </w:rPr>
            </w:pPr>
            <w:r>
              <w:rPr>
                <w:rFonts w:hint="eastAsia" w:ascii="仿宋_GB2312" w:hAnsi="仿宋" w:eastAsia="仿宋_GB2312"/>
              </w:rPr>
              <w:t>1</w:t>
            </w:r>
          </w:p>
        </w:tc>
        <w:tc>
          <w:tcPr>
            <w:tcW w:w="702" w:type="dxa"/>
            <w:vMerge w:val="restart"/>
            <w:tcBorders>
              <w:top w:val="single" w:color="auto" w:sz="4" w:space="0"/>
              <w:left w:val="single" w:color="auto" w:sz="4" w:space="0"/>
              <w:right w:val="single" w:color="auto" w:sz="4" w:space="0"/>
            </w:tcBorders>
            <w:textDirection w:val="tbRlV"/>
            <w:vAlign w:val="center"/>
          </w:tcPr>
          <w:p>
            <w:pPr>
              <w:spacing w:line="240" w:lineRule="exact"/>
              <w:ind w:left="113" w:right="113"/>
              <w:jc w:val="center"/>
              <w:rPr>
                <w:rFonts w:ascii="仿宋_GB2312" w:hAnsi="仿宋" w:eastAsia="仿宋_GB2312"/>
              </w:rPr>
            </w:pPr>
            <w:r>
              <w:rPr>
                <w:rFonts w:hint="eastAsia" w:ascii="仿宋_GB2312" w:hAnsi="仿宋" w:eastAsia="仿宋_GB2312"/>
              </w:rPr>
              <w:t>企业实力</w:t>
            </w: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1.1#投标人的安装单位认证情况：</w:t>
            </w:r>
          </w:p>
          <w:p>
            <w:pPr>
              <w:spacing w:line="240" w:lineRule="exact"/>
              <w:rPr>
                <w:rFonts w:ascii="仿宋_GB2312" w:hAnsi="仿宋" w:eastAsia="仿宋_GB2312"/>
                <w:sz w:val="18"/>
                <w:szCs w:val="18"/>
              </w:rPr>
            </w:pPr>
            <w:r>
              <w:rPr>
                <w:rFonts w:hint="eastAsia" w:ascii="仿宋_GB2312" w:hAnsi="仿宋" w:eastAsia="仿宋_GB2312"/>
                <w:sz w:val="18"/>
                <w:szCs w:val="18"/>
              </w:rPr>
              <w:t>具有质量管理体系认证证书的得1分；</w:t>
            </w:r>
          </w:p>
          <w:p>
            <w:pPr>
              <w:spacing w:line="240" w:lineRule="exact"/>
              <w:rPr>
                <w:rFonts w:ascii="仿宋_GB2312" w:hAnsi="仿宋" w:eastAsia="仿宋_GB2312"/>
                <w:sz w:val="18"/>
                <w:szCs w:val="18"/>
              </w:rPr>
            </w:pPr>
            <w:r>
              <w:rPr>
                <w:rFonts w:hint="eastAsia" w:ascii="仿宋_GB2312" w:hAnsi="仿宋" w:eastAsia="仿宋_GB2312"/>
                <w:sz w:val="18"/>
                <w:szCs w:val="18"/>
              </w:rPr>
              <w:t>具有环境管理体系认证证书的得1分；</w:t>
            </w:r>
          </w:p>
          <w:p>
            <w:pPr>
              <w:spacing w:line="240" w:lineRule="exact"/>
              <w:rPr>
                <w:rFonts w:ascii="仿宋_GB2312" w:hAnsi="仿宋" w:eastAsia="仿宋_GB2312"/>
                <w:sz w:val="18"/>
                <w:szCs w:val="18"/>
              </w:rPr>
            </w:pPr>
            <w:r>
              <w:rPr>
                <w:rFonts w:hint="eastAsia" w:ascii="仿宋_GB2312" w:hAnsi="仿宋" w:eastAsia="仿宋_GB2312"/>
                <w:sz w:val="18"/>
                <w:szCs w:val="18"/>
              </w:rPr>
              <w:t>具有职业健康安全管理体系认证证书的得1分。</w:t>
            </w:r>
          </w:p>
          <w:p>
            <w:pPr>
              <w:spacing w:line="240" w:lineRule="exact"/>
              <w:rPr>
                <w:rFonts w:ascii="仿宋_GB2312" w:hAnsi="仿宋" w:eastAsia="仿宋_GB2312"/>
                <w:sz w:val="18"/>
                <w:szCs w:val="18"/>
              </w:rPr>
            </w:pPr>
            <w:r>
              <w:rPr>
                <w:rFonts w:hint="eastAsia" w:ascii="仿宋_GB2312" w:hAnsi="仿宋" w:eastAsia="仿宋_GB2312"/>
                <w:sz w:val="18"/>
                <w:szCs w:val="18"/>
              </w:rPr>
              <w:t>投标文件中提供安装单位的认证证书复印件，不在有效期内的不得分。</w:t>
            </w:r>
          </w:p>
          <w:p>
            <w:pPr>
              <w:spacing w:line="240" w:lineRule="exact"/>
              <w:rPr>
                <w:rFonts w:ascii="仿宋_GB2312" w:hAnsi="仿宋" w:eastAsia="仿宋_GB2312"/>
                <w:sz w:val="18"/>
                <w:szCs w:val="18"/>
              </w:rPr>
            </w:pPr>
            <w:r>
              <w:rPr>
                <w:rFonts w:hint="eastAsia" w:ascii="仿宋_GB2312" w:hAnsi="仿宋" w:eastAsia="仿宋_GB2312"/>
                <w:sz w:val="18"/>
                <w:szCs w:val="18"/>
              </w:rPr>
              <w:t>联合体投标的，复印件须加盖联合体牵头人公章。投标人为投标品牌制造商或投标品牌经销商的，只需盖投标人公章。</w:t>
            </w:r>
          </w:p>
        </w:tc>
        <w:tc>
          <w:tcPr>
            <w:tcW w:w="2469" w:type="dxa"/>
            <w:gridSpan w:val="4"/>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9"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1.2投标人业绩情况：</w:t>
            </w:r>
          </w:p>
          <w:p>
            <w:pPr>
              <w:spacing w:line="240" w:lineRule="exact"/>
              <w:rPr>
                <w:rFonts w:ascii="仿宋_GB2312" w:hAnsi="仿宋" w:eastAsia="仿宋_GB2312"/>
                <w:sz w:val="18"/>
                <w:szCs w:val="18"/>
              </w:rPr>
            </w:pPr>
            <w:r>
              <w:rPr>
                <w:rFonts w:hint="eastAsia" w:ascii="仿宋_GB2312" w:hAnsi="仿宋" w:eastAsia="仿宋_GB2312"/>
                <w:sz w:val="18"/>
                <w:szCs w:val="18"/>
              </w:rPr>
              <w:t>投标人所投电梯品牌生产制造商（或经销商）自2020年1月1日以来，具有单个合同金额在900万元及以上的医院电梯项目业绩的，每具有一个满足条件的业绩得2分，最高得6分。投标文件中提供合同复印件，时间以合同签订时间为准，金额以合同中载明金额为准。</w:t>
            </w:r>
          </w:p>
          <w:p>
            <w:pPr>
              <w:spacing w:line="240" w:lineRule="exact"/>
              <w:rPr>
                <w:rFonts w:ascii="仿宋_GB2312" w:hAnsi="仿宋" w:eastAsia="仿宋_GB2312"/>
                <w:sz w:val="18"/>
                <w:szCs w:val="18"/>
              </w:rPr>
            </w:pPr>
            <w:r>
              <w:rPr>
                <w:rFonts w:hint="eastAsia" w:ascii="仿宋_GB2312" w:hAnsi="仿宋" w:eastAsia="仿宋_GB2312"/>
                <w:sz w:val="18"/>
                <w:szCs w:val="18"/>
              </w:rPr>
              <w:t>联合体投标的，复印件须加盖联合体牵头人公章。投标人为投标品牌制造商或投标品牌经销商的，只需盖投标人公章。</w:t>
            </w:r>
          </w:p>
          <w:p>
            <w:pPr>
              <w:spacing w:line="240" w:lineRule="exact"/>
              <w:rPr>
                <w:rFonts w:ascii="仿宋_GB2312" w:hAnsi="仿宋" w:eastAsia="仿宋_GB2312"/>
                <w:sz w:val="18"/>
                <w:szCs w:val="18"/>
              </w:rPr>
            </w:pPr>
            <w:r>
              <w:rPr>
                <w:rFonts w:hint="eastAsia" w:ascii="仿宋_GB2312" w:hAnsi="仿宋" w:eastAsia="仿宋_GB2312"/>
                <w:sz w:val="18"/>
                <w:szCs w:val="18"/>
              </w:rPr>
              <w:t>注：若投标人按招标公告中“投标资格条件、要求”提供的业绩同时符合本条得分条件，则该业绩亦可按本条规则得分。</w:t>
            </w:r>
          </w:p>
        </w:tc>
        <w:tc>
          <w:tcPr>
            <w:tcW w:w="2469" w:type="dxa"/>
            <w:gridSpan w:val="4"/>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bCs/>
              </w:rPr>
            </w:pPr>
          </w:p>
        </w:tc>
        <w:tc>
          <w:tcPr>
            <w:tcW w:w="702"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1.3安装单位的电梯安装许可：</w:t>
            </w:r>
          </w:p>
          <w:p>
            <w:pPr>
              <w:spacing w:line="240" w:lineRule="exact"/>
              <w:rPr>
                <w:rFonts w:ascii="仿宋_GB2312" w:hAnsi="仿宋" w:eastAsia="仿宋_GB2312"/>
                <w:sz w:val="18"/>
                <w:szCs w:val="18"/>
              </w:rPr>
            </w:pPr>
            <w:r>
              <w:rPr>
                <w:rFonts w:hint="eastAsia" w:ascii="仿宋_GB2312" w:hAnsi="仿宋" w:eastAsia="仿宋_GB2312"/>
                <w:sz w:val="18"/>
                <w:szCs w:val="18"/>
                <w:u w:val="single"/>
              </w:rPr>
              <w:t>《中华人民共和国特种设备生产许可证》【许可项目涵盖：电梯安装（含修理）；许可子项目涵盖：曳引驱动乘客电梯（含消防员电梯）、自动扶梯与自动人行道】或【许可项目涵盖：电梯制造（含安装、修理、改造）；许可子项目涵盖：曳引驱动乘客电梯（含消防员电梯）、自动扶梯与自动人行道】</w:t>
            </w:r>
            <w:r>
              <w:rPr>
                <w:rFonts w:hint="eastAsia" w:ascii="仿宋_GB2312" w:hAnsi="仿宋" w:eastAsia="仿宋_GB2312"/>
                <w:sz w:val="18"/>
                <w:szCs w:val="18"/>
              </w:rPr>
              <w:t>：</w:t>
            </w:r>
          </w:p>
          <w:p>
            <w:pPr>
              <w:spacing w:line="240" w:lineRule="exact"/>
              <w:rPr>
                <w:rFonts w:ascii="仿宋_GB2312" w:hAnsi="仿宋" w:eastAsia="仿宋_GB2312"/>
                <w:sz w:val="18"/>
                <w:szCs w:val="18"/>
              </w:rPr>
            </w:pPr>
            <w:r>
              <w:rPr>
                <w:rFonts w:hint="eastAsia" w:ascii="仿宋_GB2312" w:hAnsi="仿宋" w:eastAsia="仿宋_GB2312"/>
                <w:sz w:val="18"/>
                <w:szCs w:val="18"/>
              </w:rPr>
              <w:t>曳引驱动乘客电梯（含消防员电梯）额定速度＞6.0m/s（A1级）得2分；曳引驱动乘客电梯（含消防员电梯）2.5m/s＜额定速度≤6.0m/s（A2级）得1分；曳引驱动乘客电梯（含消防员电梯）额定速度≤2.5m/s（B级）得0分。</w:t>
            </w:r>
          </w:p>
          <w:p>
            <w:pPr>
              <w:spacing w:line="240" w:lineRule="exact"/>
              <w:rPr>
                <w:rFonts w:ascii="仿宋_GB2312" w:hAnsi="仿宋" w:eastAsia="仿宋_GB2312"/>
                <w:sz w:val="18"/>
                <w:szCs w:val="18"/>
              </w:rPr>
            </w:pPr>
            <w:r>
              <w:rPr>
                <w:rFonts w:hint="eastAsia" w:ascii="仿宋_GB2312" w:hAnsi="仿宋" w:eastAsia="仿宋_GB2312"/>
                <w:sz w:val="18"/>
                <w:szCs w:val="18"/>
              </w:rPr>
              <w:t>投标文件中提供安装单位的许可证复印件及相关证明资料，不在有效期内的不得分。</w:t>
            </w:r>
          </w:p>
          <w:p>
            <w:pPr>
              <w:spacing w:line="240" w:lineRule="exact"/>
              <w:rPr>
                <w:rFonts w:ascii="仿宋_GB2312" w:hAnsi="仿宋" w:eastAsia="仿宋_GB2312"/>
                <w:sz w:val="18"/>
                <w:szCs w:val="18"/>
              </w:rPr>
            </w:pPr>
            <w:r>
              <w:rPr>
                <w:rFonts w:hint="eastAsia" w:ascii="仿宋_GB2312" w:hAnsi="仿宋" w:eastAsia="仿宋_GB2312"/>
                <w:sz w:val="18"/>
                <w:szCs w:val="18"/>
              </w:rPr>
              <w:t>联合体投标的，复印件须加盖联合体牵头人公章。投标人为投标品牌制造商或投标品牌经销商的，只需盖投标人公章。</w:t>
            </w:r>
          </w:p>
        </w:tc>
        <w:tc>
          <w:tcPr>
            <w:tcW w:w="2469" w:type="dxa"/>
            <w:gridSpan w:val="4"/>
            <w:tcBorders>
              <w:top w:val="single" w:color="auto" w:sz="4" w:space="0"/>
              <w:left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1" w:type="dxa"/>
            <w:vMerge w:val="restart"/>
            <w:tcBorders>
              <w:top w:val="single" w:color="auto" w:sz="4" w:space="0"/>
              <w:left w:val="single" w:color="auto" w:sz="4" w:space="0"/>
              <w:right w:val="single" w:color="auto" w:sz="4" w:space="0"/>
            </w:tcBorders>
            <w:vAlign w:val="center"/>
          </w:tcPr>
          <w:p>
            <w:pPr>
              <w:spacing w:line="240" w:lineRule="exact"/>
              <w:jc w:val="center"/>
              <w:rPr>
                <w:rFonts w:ascii="仿宋_GB2312" w:hAnsi="仿宋" w:eastAsia="仿宋_GB2312"/>
              </w:rPr>
            </w:pPr>
            <w:r>
              <w:rPr>
                <w:rFonts w:hint="eastAsia" w:ascii="仿宋_GB2312" w:hAnsi="仿宋" w:eastAsia="仿宋_GB2312"/>
              </w:rPr>
              <w:t>2</w:t>
            </w:r>
          </w:p>
        </w:tc>
        <w:tc>
          <w:tcPr>
            <w:tcW w:w="702" w:type="dxa"/>
            <w:vMerge w:val="restart"/>
            <w:tcBorders>
              <w:top w:val="single" w:color="auto" w:sz="4" w:space="0"/>
              <w:left w:val="single" w:color="auto" w:sz="4" w:space="0"/>
              <w:right w:val="single" w:color="auto" w:sz="4" w:space="0"/>
            </w:tcBorders>
            <w:textDirection w:val="tbRlV"/>
            <w:vAlign w:val="center"/>
          </w:tcPr>
          <w:p>
            <w:pPr>
              <w:spacing w:line="240" w:lineRule="exact"/>
              <w:ind w:left="113" w:right="113"/>
              <w:jc w:val="center"/>
              <w:rPr>
                <w:rFonts w:ascii="仿宋_GB2312" w:hAnsi="仿宋" w:eastAsia="仿宋_GB2312"/>
              </w:rPr>
            </w:pPr>
            <w:r>
              <w:rPr>
                <w:rFonts w:hint="eastAsia" w:ascii="仿宋_GB2312" w:hAnsi="仿宋" w:eastAsia="仿宋_GB2312"/>
              </w:rPr>
              <w:t>总体评价</w:t>
            </w:r>
          </w:p>
          <w:p>
            <w:pPr>
              <w:spacing w:line="240" w:lineRule="exact"/>
              <w:ind w:left="113" w:right="113"/>
              <w:jc w:val="center"/>
              <w:rPr>
                <w:rFonts w:ascii="仿宋_GB2312" w:hAnsi="仿宋" w:eastAsia="仿宋_GB2312"/>
              </w:rPr>
            </w:pPr>
            <w:r>
              <w:rPr>
                <w:rFonts w:hint="eastAsia" w:ascii="仿宋_GB2312" w:hAnsi="仿宋" w:eastAsia="仿宋_GB2312"/>
              </w:rPr>
              <w:t>投标产品</w:t>
            </w: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2.1产品信誉（0.5-2分）</w:t>
            </w:r>
          </w:p>
          <w:p>
            <w:pPr>
              <w:spacing w:line="240" w:lineRule="exact"/>
              <w:rPr>
                <w:rFonts w:ascii="仿宋_GB2312" w:hAnsi="仿宋" w:eastAsia="仿宋_GB2312"/>
                <w:sz w:val="18"/>
                <w:szCs w:val="18"/>
              </w:rPr>
            </w:pPr>
            <w:r>
              <w:rPr>
                <w:rFonts w:hint="eastAsia" w:ascii="仿宋_GB2312" w:hAnsi="仿宋" w:eastAsia="仿宋_GB2312"/>
                <w:sz w:val="18"/>
                <w:szCs w:val="18"/>
              </w:rPr>
              <w:t>根据投标产品的品牌知名度、市场占有率等情况，进行综合评价。</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2-1.5</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1.4-1</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0.9-0.5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2.2投标电梯：（0.5-2分）</w:t>
            </w:r>
          </w:p>
          <w:p>
            <w:pPr>
              <w:spacing w:line="240" w:lineRule="exact"/>
              <w:rPr>
                <w:rFonts w:ascii="仿宋_GB2312" w:hAnsi="仿宋" w:eastAsia="仿宋_GB2312"/>
                <w:sz w:val="18"/>
                <w:szCs w:val="18"/>
              </w:rPr>
            </w:pPr>
            <w:r>
              <w:rPr>
                <w:rFonts w:hint="eastAsia" w:ascii="仿宋_GB2312" w:hAnsi="仿宋" w:eastAsia="仿宋_GB2312"/>
                <w:sz w:val="18"/>
                <w:szCs w:val="18"/>
              </w:rPr>
              <w:t>根据投标电梯型号，对投标产品的节能性、安全可靠性、在品牌系列型号中的先进性，进行综合评价。</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2-1.5</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1.4-1</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0.9-0.5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461" w:type="dxa"/>
            <w:vMerge w:val="restart"/>
            <w:tcBorders>
              <w:top w:val="single" w:color="auto" w:sz="4" w:space="0"/>
              <w:left w:val="single" w:color="auto" w:sz="4" w:space="0"/>
              <w:right w:val="single" w:color="auto" w:sz="4" w:space="0"/>
            </w:tcBorders>
            <w:vAlign w:val="center"/>
          </w:tcPr>
          <w:p>
            <w:pPr>
              <w:spacing w:line="240" w:lineRule="exact"/>
              <w:jc w:val="center"/>
              <w:rPr>
                <w:rFonts w:ascii="仿宋_GB2312" w:hAnsi="仿宋" w:eastAsia="仿宋_GB2312"/>
              </w:rPr>
            </w:pPr>
            <w:r>
              <w:rPr>
                <w:rFonts w:hint="eastAsia" w:ascii="仿宋_GB2312" w:hAnsi="仿宋" w:eastAsia="仿宋_GB2312"/>
              </w:rPr>
              <w:t>3</w:t>
            </w:r>
          </w:p>
        </w:tc>
        <w:tc>
          <w:tcPr>
            <w:tcW w:w="702" w:type="dxa"/>
            <w:vMerge w:val="restart"/>
            <w:tcBorders>
              <w:top w:val="single" w:color="auto" w:sz="4" w:space="0"/>
              <w:left w:val="single" w:color="auto" w:sz="4" w:space="0"/>
              <w:right w:val="single" w:color="auto" w:sz="4" w:space="0"/>
            </w:tcBorders>
            <w:textDirection w:val="tbLrV"/>
            <w:vAlign w:val="center"/>
          </w:tcPr>
          <w:p>
            <w:pPr>
              <w:spacing w:line="240" w:lineRule="exact"/>
              <w:ind w:left="113" w:right="113"/>
              <w:jc w:val="center"/>
              <w:rPr>
                <w:rFonts w:ascii="仿宋_GB2312" w:hAnsi="仿宋" w:eastAsia="仿宋_GB2312"/>
              </w:rPr>
            </w:pPr>
            <w:r>
              <w:rPr>
                <w:rFonts w:hint="eastAsia" w:ascii="仿宋_GB2312" w:hAnsi="仿宋" w:eastAsia="仿宋_GB2312"/>
              </w:rPr>
              <w:t>主要部件情况</w:t>
            </w: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3.1#控制柜的先进性（1-5分）：</w:t>
            </w:r>
          </w:p>
          <w:p>
            <w:pPr>
              <w:spacing w:line="240" w:lineRule="exact"/>
              <w:rPr>
                <w:rFonts w:ascii="仿宋_GB2312" w:hAnsi="仿宋" w:eastAsia="仿宋_GB2312"/>
                <w:sz w:val="18"/>
                <w:szCs w:val="18"/>
              </w:rPr>
            </w:pPr>
            <w:r>
              <w:rPr>
                <w:rFonts w:hint="eastAsia" w:ascii="仿宋_GB2312" w:hAnsi="仿宋" w:eastAsia="仿宋_GB2312"/>
                <w:sz w:val="18"/>
                <w:szCs w:val="18"/>
              </w:rPr>
              <w:t>控制柜整柜为原品牌原厂制造、性能优越的为优；其余视情确定评审档次。结合部件的先进性,在相应的档次范围内确定具体分值。</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5-4</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3.9-2</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461"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3.2#曳引机的先进性（1-5分）：</w:t>
            </w:r>
          </w:p>
          <w:p>
            <w:pPr>
              <w:spacing w:line="240" w:lineRule="exact"/>
              <w:rPr>
                <w:rFonts w:ascii="仿宋_GB2312" w:hAnsi="仿宋" w:eastAsia="仿宋_GB2312"/>
                <w:sz w:val="18"/>
                <w:szCs w:val="18"/>
              </w:rPr>
            </w:pPr>
            <w:r>
              <w:rPr>
                <w:rFonts w:hint="eastAsia" w:ascii="仿宋_GB2312" w:hAnsi="仿宋" w:eastAsia="仿宋_GB2312"/>
                <w:sz w:val="18"/>
                <w:szCs w:val="18"/>
              </w:rPr>
              <w:t>曳引机为原品牌原厂制造、性能优越的为优；其余视情确定评审档次。结合部件的先进性,在相应的档次范围内确定具体分值。</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5-4</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3.9-2</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461"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3.3#门机先进性（1-5分）：</w:t>
            </w:r>
          </w:p>
          <w:p>
            <w:pPr>
              <w:spacing w:line="240" w:lineRule="exact"/>
              <w:rPr>
                <w:rFonts w:ascii="仿宋_GB2312" w:hAnsi="仿宋" w:eastAsia="仿宋_GB2312"/>
                <w:sz w:val="18"/>
                <w:szCs w:val="18"/>
              </w:rPr>
            </w:pPr>
            <w:r>
              <w:rPr>
                <w:rFonts w:hint="eastAsia" w:ascii="仿宋_GB2312" w:hAnsi="仿宋" w:eastAsia="仿宋_GB2312"/>
                <w:sz w:val="18"/>
                <w:szCs w:val="18"/>
              </w:rPr>
              <w:t>门机整机为原品牌原厂制造、性能优越的为优；其余视情确定评审档次。结合部件的先进性,在相应的档次范围内确定具体分值。</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5-4</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3.9-2</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461"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3.4#开门保护系统的先进性</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3</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2</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461"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3.5#</w:t>
            </w:r>
            <w:r>
              <w:rPr>
                <w:rFonts w:hint="eastAsia" w:ascii="仿宋_GB2312" w:hAnsi="仿宋" w:eastAsia="仿宋_GB2312"/>
                <w:bCs/>
                <w:sz w:val="18"/>
                <w:szCs w:val="18"/>
              </w:rPr>
              <w:t>根据轿厢的平面尺寸、高度、装潢方案、通风、照明、显示屏、操作盘的选型等因素综合评价</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2</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1.5</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61"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3.6#主要部件来源及备品备件情况</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2</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1.5</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61"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3.7自动扶梯梯级的先进性</w:t>
            </w:r>
          </w:p>
          <w:p>
            <w:pPr>
              <w:spacing w:line="240" w:lineRule="exact"/>
              <w:rPr>
                <w:rFonts w:ascii="仿宋_GB2312" w:hAnsi="仿宋" w:eastAsia="仿宋_GB2312"/>
                <w:sz w:val="18"/>
                <w:szCs w:val="18"/>
              </w:rPr>
            </w:pPr>
            <w:r>
              <w:rPr>
                <w:rFonts w:hint="eastAsia" w:ascii="仿宋_GB2312" w:hAnsi="仿宋" w:eastAsia="仿宋_GB2312"/>
                <w:sz w:val="18"/>
                <w:szCs w:val="18"/>
              </w:rPr>
              <w:t>采用整体黑色铝合金材质并满足2000万次动态负载测试；梯级链片表面处理需发黑处理，同时满足240h盐雾试验，无任何锈蚀；扶手带抗拉破断荷载需大于等于25KN。</w:t>
            </w:r>
          </w:p>
          <w:p>
            <w:pPr>
              <w:spacing w:line="240" w:lineRule="exact"/>
              <w:rPr>
                <w:rFonts w:ascii="仿宋_GB2312" w:hAnsi="仿宋" w:eastAsia="仿宋_GB2312"/>
                <w:sz w:val="18"/>
                <w:szCs w:val="18"/>
              </w:rPr>
            </w:pPr>
            <w:r>
              <w:rPr>
                <w:rFonts w:hint="eastAsia" w:ascii="仿宋_GB2312" w:hAnsi="仿宋" w:eastAsia="仿宋_GB2312"/>
                <w:sz w:val="18"/>
                <w:szCs w:val="18"/>
              </w:rPr>
              <w:t>投标文件中提供满足以上要求的梯型的检测报告复印件。</w:t>
            </w:r>
          </w:p>
          <w:p>
            <w:pPr>
              <w:spacing w:line="240" w:lineRule="exact"/>
              <w:rPr>
                <w:rFonts w:ascii="仿宋_GB2312" w:hAnsi="仿宋" w:eastAsia="仿宋_GB2312"/>
                <w:sz w:val="18"/>
                <w:szCs w:val="18"/>
              </w:rPr>
            </w:pPr>
            <w:r>
              <w:rPr>
                <w:rFonts w:hint="eastAsia" w:ascii="仿宋_GB2312" w:hAnsi="仿宋" w:eastAsia="仿宋_GB2312"/>
                <w:sz w:val="18"/>
                <w:szCs w:val="18"/>
              </w:rPr>
              <w:t>联合体投标的，复印件须加盖联合体牵头人公章。投标人为投标品牌制造商或投标品牌经销商的，只需盖投标人公章。</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3</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2</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restart"/>
            <w:tcBorders>
              <w:top w:val="single" w:color="auto" w:sz="4" w:space="0"/>
              <w:left w:val="single" w:color="auto" w:sz="4" w:space="0"/>
              <w:right w:val="single" w:color="auto" w:sz="4" w:space="0"/>
            </w:tcBorders>
            <w:vAlign w:val="center"/>
          </w:tcPr>
          <w:p>
            <w:pPr>
              <w:spacing w:line="240" w:lineRule="exact"/>
              <w:jc w:val="center"/>
              <w:rPr>
                <w:rFonts w:ascii="仿宋_GB2312" w:hAnsi="仿宋" w:eastAsia="仿宋_GB2312"/>
              </w:rPr>
            </w:pPr>
            <w:r>
              <w:rPr>
                <w:rFonts w:hint="eastAsia" w:ascii="仿宋_GB2312" w:hAnsi="仿宋" w:eastAsia="仿宋_GB2312"/>
              </w:rPr>
              <w:t>4</w:t>
            </w:r>
          </w:p>
          <w:p>
            <w:pPr>
              <w:spacing w:line="240" w:lineRule="exact"/>
              <w:jc w:val="center"/>
              <w:rPr>
                <w:rFonts w:ascii="仿宋_GB2312" w:hAnsi="仿宋" w:eastAsia="仿宋_GB2312"/>
              </w:rPr>
            </w:pPr>
          </w:p>
        </w:tc>
        <w:tc>
          <w:tcPr>
            <w:tcW w:w="702" w:type="dxa"/>
            <w:vMerge w:val="restart"/>
            <w:tcBorders>
              <w:top w:val="single" w:color="auto" w:sz="4" w:space="0"/>
              <w:left w:val="single" w:color="auto" w:sz="4" w:space="0"/>
              <w:right w:val="single" w:color="auto" w:sz="4" w:space="0"/>
            </w:tcBorders>
            <w:textDirection w:val="tbRlV"/>
            <w:vAlign w:val="center"/>
          </w:tcPr>
          <w:p>
            <w:pPr>
              <w:spacing w:line="240" w:lineRule="exact"/>
              <w:ind w:left="113" w:right="113"/>
              <w:jc w:val="center"/>
              <w:rPr>
                <w:rFonts w:ascii="仿宋_GB2312" w:hAnsi="仿宋" w:eastAsia="仿宋_GB2312"/>
              </w:rPr>
            </w:pPr>
            <w:r>
              <w:rPr>
                <w:rFonts w:hint="eastAsia" w:ascii="仿宋_GB2312" w:hAnsi="仿宋" w:eastAsia="仿宋_GB2312"/>
              </w:rPr>
              <w:t>主要技术指标</w:t>
            </w: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4.1根据投标电梯正偏离的偏离程度综合评价，无偏离的为一般。</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2</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rPr>
            </w:pPr>
          </w:p>
        </w:tc>
        <w:tc>
          <w:tcPr>
            <w:tcW w:w="702" w:type="dxa"/>
            <w:vMerge w:val="continue"/>
            <w:tcBorders>
              <w:left w:val="single" w:color="auto" w:sz="4" w:space="0"/>
              <w:right w:val="single" w:color="auto" w:sz="4" w:space="0"/>
            </w:tcBorders>
            <w:textDirection w:val="tbRlV"/>
            <w:vAlign w:val="center"/>
          </w:tcPr>
          <w:p>
            <w:pPr>
              <w:spacing w:line="240" w:lineRule="exact"/>
              <w:ind w:left="113" w:right="113"/>
              <w:jc w:val="center"/>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4.2根据每运行一年故障次数或每起制动运行60000次故障次数及相应保证措施，进行综合评价。</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0.5</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rPr>
            </w:pPr>
          </w:p>
        </w:tc>
        <w:tc>
          <w:tcPr>
            <w:tcW w:w="702" w:type="dxa"/>
            <w:vMerge w:val="continue"/>
            <w:tcBorders>
              <w:left w:val="single" w:color="auto" w:sz="4" w:space="0"/>
              <w:right w:val="single" w:color="auto" w:sz="4" w:space="0"/>
            </w:tcBorders>
            <w:textDirection w:val="tbRlV"/>
            <w:vAlign w:val="center"/>
          </w:tcPr>
          <w:p>
            <w:pPr>
              <w:spacing w:line="240" w:lineRule="exact"/>
              <w:ind w:left="113" w:right="113"/>
              <w:jc w:val="center"/>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仿宋_GB2312" w:hAnsi="仿宋" w:eastAsia="仿宋_GB2312"/>
                <w:sz w:val="18"/>
                <w:szCs w:val="18"/>
              </w:rPr>
            </w:pPr>
            <w:r>
              <w:rPr>
                <w:rFonts w:hint="eastAsia" w:ascii="仿宋_GB2312" w:hAnsi="仿宋" w:eastAsia="仿宋_GB2312"/>
                <w:sz w:val="18"/>
                <w:szCs w:val="18"/>
              </w:rPr>
              <w:t>4.3机房噪声指标</w:t>
            </w:r>
          </w:p>
          <w:p>
            <w:pPr>
              <w:spacing w:line="240" w:lineRule="exact"/>
              <w:rPr>
                <w:rFonts w:hint="eastAsia" w:ascii="仿宋_GB2312" w:hAnsi="仿宋" w:eastAsia="仿宋_GB2312"/>
                <w:sz w:val="18"/>
                <w:szCs w:val="18"/>
                <w:lang w:eastAsia="zh-CN"/>
              </w:rPr>
            </w:pPr>
            <w:r>
              <w:rPr>
                <w:rFonts w:hint="eastAsia" w:ascii="仿宋_GB2312" w:hAnsi="仿宋" w:eastAsia="仿宋_GB2312"/>
                <w:sz w:val="18"/>
                <w:szCs w:val="18"/>
                <w:lang w:eastAsia="zh-CN"/>
              </w:rPr>
              <w:t>投标文件中提供</w:t>
            </w:r>
            <w:r>
              <w:rPr>
                <w:rFonts w:hint="eastAsia" w:ascii="仿宋_GB2312" w:hAnsi="仿宋" w:eastAsia="仿宋_GB2312"/>
                <w:sz w:val="18"/>
                <w:szCs w:val="18"/>
                <w:lang w:val="en-US" w:eastAsia="zh-CN"/>
              </w:rPr>
              <w:t>相关证明资料</w:t>
            </w:r>
            <w:r>
              <w:rPr>
                <w:rFonts w:hint="eastAsia" w:ascii="仿宋_GB2312" w:hAnsi="仿宋" w:eastAsia="仿宋_GB2312"/>
                <w:sz w:val="18"/>
                <w:szCs w:val="18"/>
                <w:lang w:eastAsia="zh-CN"/>
              </w:rPr>
              <w:t>复印件。</w:t>
            </w:r>
          </w:p>
          <w:p>
            <w:pPr>
              <w:spacing w:line="240" w:lineRule="exact"/>
              <w:rPr>
                <w:rFonts w:hint="eastAsia" w:ascii="仿宋_GB2312" w:hAnsi="仿宋" w:eastAsia="仿宋_GB2312"/>
                <w:sz w:val="18"/>
                <w:szCs w:val="18"/>
                <w:lang w:eastAsia="zh-CN"/>
              </w:rPr>
            </w:pPr>
            <w:r>
              <w:rPr>
                <w:rFonts w:hint="eastAsia" w:ascii="仿宋_GB2312" w:hAnsi="仿宋" w:eastAsia="仿宋_GB2312"/>
                <w:sz w:val="18"/>
                <w:szCs w:val="18"/>
                <w:lang w:eastAsia="zh-CN"/>
              </w:rPr>
              <w:t>联合体投标的，复印件须加盖联合体牵头人公章。投标人为投标品牌制造商或投标品牌经销商的，只需盖投标人公章。</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0.5</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rPr>
            </w:pPr>
          </w:p>
        </w:tc>
        <w:tc>
          <w:tcPr>
            <w:tcW w:w="702" w:type="dxa"/>
            <w:vMerge w:val="continue"/>
            <w:tcBorders>
              <w:left w:val="single" w:color="auto" w:sz="4" w:space="0"/>
              <w:right w:val="single" w:color="auto" w:sz="4" w:space="0"/>
            </w:tcBorders>
            <w:textDirection w:val="tbRlV"/>
            <w:vAlign w:val="center"/>
          </w:tcPr>
          <w:p>
            <w:pPr>
              <w:spacing w:line="240" w:lineRule="exact"/>
              <w:ind w:left="113" w:right="113"/>
              <w:jc w:val="center"/>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仿宋_GB2312" w:hAnsi="仿宋" w:eastAsia="仿宋_GB2312"/>
                <w:sz w:val="18"/>
                <w:szCs w:val="18"/>
              </w:rPr>
            </w:pPr>
            <w:r>
              <w:rPr>
                <w:rFonts w:hint="eastAsia" w:ascii="仿宋_GB2312" w:hAnsi="仿宋" w:eastAsia="仿宋_GB2312"/>
                <w:sz w:val="18"/>
                <w:szCs w:val="18"/>
              </w:rPr>
              <w:t>4.4运行中轿厢内噪声指标</w:t>
            </w:r>
          </w:p>
          <w:p>
            <w:pPr>
              <w:spacing w:line="240" w:lineRule="exact"/>
              <w:rPr>
                <w:rFonts w:hint="eastAsia" w:ascii="仿宋_GB2312" w:hAnsi="仿宋" w:eastAsia="仿宋_GB2312"/>
                <w:sz w:val="18"/>
                <w:szCs w:val="18"/>
                <w:lang w:eastAsia="zh-CN"/>
              </w:rPr>
            </w:pPr>
            <w:r>
              <w:rPr>
                <w:rFonts w:hint="eastAsia" w:ascii="仿宋_GB2312" w:hAnsi="仿宋" w:eastAsia="仿宋_GB2312"/>
                <w:sz w:val="18"/>
                <w:szCs w:val="18"/>
                <w:lang w:eastAsia="zh-CN"/>
              </w:rPr>
              <w:t>投标文件中提供</w:t>
            </w:r>
            <w:r>
              <w:rPr>
                <w:rFonts w:hint="eastAsia" w:ascii="仿宋_GB2312" w:hAnsi="仿宋" w:eastAsia="仿宋_GB2312"/>
                <w:sz w:val="18"/>
                <w:szCs w:val="18"/>
                <w:lang w:val="en-US" w:eastAsia="zh-CN"/>
              </w:rPr>
              <w:t>相关证明资料</w:t>
            </w:r>
            <w:r>
              <w:rPr>
                <w:rFonts w:hint="eastAsia" w:ascii="仿宋_GB2312" w:hAnsi="仿宋" w:eastAsia="仿宋_GB2312"/>
                <w:sz w:val="18"/>
                <w:szCs w:val="18"/>
                <w:lang w:eastAsia="zh-CN"/>
              </w:rPr>
              <w:t>复印件。</w:t>
            </w:r>
          </w:p>
          <w:p>
            <w:pPr>
              <w:spacing w:line="240" w:lineRule="exact"/>
              <w:rPr>
                <w:rFonts w:hint="eastAsia" w:ascii="仿宋_GB2312" w:hAnsi="仿宋" w:eastAsia="仿宋_GB2312"/>
                <w:sz w:val="18"/>
                <w:szCs w:val="18"/>
                <w:lang w:eastAsia="zh-CN"/>
              </w:rPr>
            </w:pPr>
            <w:r>
              <w:rPr>
                <w:rFonts w:hint="eastAsia" w:ascii="仿宋_GB2312" w:hAnsi="仿宋" w:eastAsia="仿宋_GB2312"/>
                <w:sz w:val="18"/>
                <w:szCs w:val="18"/>
                <w:lang w:eastAsia="zh-CN"/>
              </w:rPr>
              <w:t>联合体投标的，复印件须加盖联合体牵头人公章。投标人为投标品牌制造商或投标品牌经销商的，只需盖投标人公章。</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0.5</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ind w:left="113" w:right="113"/>
              <w:jc w:val="center"/>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仿宋_GB2312" w:hAnsi="仿宋" w:eastAsia="仿宋_GB2312"/>
                <w:sz w:val="18"/>
                <w:szCs w:val="18"/>
              </w:rPr>
            </w:pPr>
            <w:r>
              <w:rPr>
                <w:rFonts w:hint="eastAsia" w:ascii="仿宋_GB2312" w:hAnsi="仿宋" w:eastAsia="仿宋_GB2312"/>
                <w:sz w:val="18"/>
                <w:szCs w:val="18"/>
              </w:rPr>
              <w:t>4.5开关门过程噪声指标</w:t>
            </w:r>
          </w:p>
          <w:p>
            <w:pPr>
              <w:spacing w:line="240" w:lineRule="exact"/>
              <w:rPr>
                <w:rFonts w:hint="eastAsia" w:ascii="仿宋_GB2312" w:hAnsi="仿宋" w:eastAsia="仿宋_GB2312"/>
                <w:sz w:val="18"/>
                <w:szCs w:val="18"/>
                <w:lang w:eastAsia="zh-CN"/>
              </w:rPr>
            </w:pPr>
            <w:r>
              <w:rPr>
                <w:rFonts w:hint="eastAsia" w:ascii="仿宋_GB2312" w:hAnsi="仿宋" w:eastAsia="仿宋_GB2312"/>
                <w:sz w:val="18"/>
                <w:szCs w:val="18"/>
                <w:lang w:eastAsia="zh-CN"/>
              </w:rPr>
              <w:t>投标文件中提供</w:t>
            </w:r>
            <w:r>
              <w:rPr>
                <w:rFonts w:hint="eastAsia" w:ascii="仿宋_GB2312" w:hAnsi="仿宋" w:eastAsia="仿宋_GB2312"/>
                <w:sz w:val="18"/>
                <w:szCs w:val="18"/>
                <w:lang w:val="en-US" w:eastAsia="zh-CN"/>
              </w:rPr>
              <w:t>相关证明资料</w:t>
            </w:r>
            <w:r>
              <w:rPr>
                <w:rFonts w:hint="eastAsia" w:ascii="仿宋_GB2312" w:hAnsi="仿宋" w:eastAsia="仿宋_GB2312"/>
                <w:sz w:val="18"/>
                <w:szCs w:val="18"/>
                <w:lang w:eastAsia="zh-CN"/>
              </w:rPr>
              <w:t>复印件。</w:t>
            </w:r>
          </w:p>
          <w:p>
            <w:pPr>
              <w:spacing w:line="240" w:lineRule="exact"/>
              <w:rPr>
                <w:rFonts w:hint="eastAsia" w:ascii="仿宋_GB2312" w:hAnsi="仿宋" w:eastAsia="仿宋_GB2312"/>
                <w:sz w:val="18"/>
                <w:szCs w:val="18"/>
                <w:lang w:eastAsia="zh-CN"/>
              </w:rPr>
            </w:pPr>
            <w:r>
              <w:rPr>
                <w:rFonts w:hint="eastAsia" w:ascii="仿宋_GB2312" w:hAnsi="仿宋" w:eastAsia="仿宋_GB2312"/>
                <w:sz w:val="18"/>
                <w:szCs w:val="18"/>
                <w:lang w:eastAsia="zh-CN"/>
              </w:rPr>
              <w:t>联合体投标的，复印件须加盖联合体牵头人公章。投标人为投标品牌制造商或投标品牌经销商的，只需盖投标人公章。</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0.5</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ind w:left="113" w:right="113"/>
              <w:jc w:val="center"/>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仿宋_GB2312" w:hAnsi="仿宋" w:eastAsia="仿宋_GB2312"/>
                <w:sz w:val="18"/>
                <w:szCs w:val="18"/>
              </w:rPr>
            </w:pPr>
            <w:r>
              <w:rPr>
                <w:rFonts w:hint="eastAsia" w:ascii="仿宋_GB2312" w:hAnsi="仿宋" w:eastAsia="仿宋_GB2312"/>
                <w:sz w:val="18"/>
                <w:szCs w:val="18"/>
              </w:rPr>
              <w:t>4.6平层精度</w:t>
            </w:r>
          </w:p>
          <w:p>
            <w:pPr>
              <w:spacing w:line="240" w:lineRule="exact"/>
              <w:rPr>
                <w:rFonts w:hint="eastAsia" w:ascii="仿宋_GB2312" w:hAnsi="仿宋" w:eastAsia="仿宋_GB2312"/>
                <w:sz w:val="18"/>
                <w:szCs w:val="18"/>
                <w:lang w:eastAsia="zh-CN"/>
              </w:rPr>
            </w:pPr>
            <w:r>
              <w:rPr>
                <w:rFonts w:hint="eastAsia" w:ascii="仿宋_GB2312" w:hAnsi="仿宋" w:eastAsia="仿宋_GB2312"/>
                <w:sz w:val="18"/>
                <w:szCs w:val="18"/>
                <w:lang w:eastAsia="zh-CN"/>
              </w:rPr>
              <w:t>投标文件中提供</w:t>
            </w:r>
            <w:r>
              <w:rPr>
                <w:rFonts w:hint="eastAsia" w:ascii="仿宋_GB2312" w:hAnsi="仿宋" w:eastAsia="仿宋_GB2312"/>
                <w:sz w:val="18"/>
                <w:szCs w:val="18"/>
                <w:lang w:val="en-US" w:eastAsia="zh-CN"/>
              </w:rPr>
              <w:t>相关证明资料</w:t>
            </w:r>
            <w:r>
              <w:rPr>
                <w:rFonts w:hint="eastAsia" w:ascii="仿宋_GB2312" w:hAnsi="仿宋" w:eastAsia="仿宋_GB2312"/>
                <w:sz w:val="18"/>
                <w:szCs w:val="18"/>
                <w:lang w:eastAsia="zh-CN"/>
              </w:rPr>
              <w:t>复印件。</w:t>
            </w:r>
          </w:p>
          <w:p>
            <w:pPr>
              <w:spacing w:line="240" w:lineRule="exact"/>
              <w:rPr>
                <w:rFonts w:hint="eastAsia" w:ascii="仿宋_GB2312" w:hAnsi="仿宋" w:eastAsia="仿宋_GB2312"/>
                <w:sz w:val="18"/>
                <w:szCs w:val="18"/>
                <w:lang w:eastAsia="zh-CN"/>
              </w:rPr>
            </w:pPr>
            <w:r>
              <w:rPr>
                <w:rFonts w:hint="eastAsia" w:ascii="仿宋_GB2312" w:hAnsi="仿宋" w:eastAsia="仿宋_GB2312"/>
                <w:sz w:val="18"/>
                <w:szCs w:val="18"/>
                <w:lang w:eastAsia="zh-CN"/>
              </w:rPr>
              <w:t>联合体投标的，复印件须加盖联合体牵头人公章。投标人为投标品牌制造商或投标品牌经销商的，只需盖投标人公章。</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0.5</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ind w:left="113" w:right="113"/>
              <w:jc w:val="center"/>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4.7运行速度情况</w:t>
            </w:r>
          </w:p>
          <w:p>
            <w:pPr>
              <w:spacing w:line="240" w:lineRule="exact"/>
              <w:rPr>
                <w:rFonts w:ascii="仿宋_GB2312" w:hAnsi="仿宋" w:eastAsia="仿宋_GB2312"/>
                <w:sz w:val="18"/>
                <w:szCs w:val="18"/>
              </w:rPr>
            </w:pPr>
            <w:r>
              <w:rPr>
                <w:rFonts w:hint="eastAsia" w:ascii="仿宋_GB2312" w:hAnsi="仿宋" w:eastAsia="仿宋_GB2312"/>
                <w:sz w:val="18"/>
                <w:szCs w:val="18"/>
              </w:rPr>
              <w:t>包括垂直电梯和自动扶梯的运行速度情况，根据运行速度情况进行比较打分，运行速度达到本项目要求的为一般。投标文件中提供具有资质的第三方检测机构出具的检测报告复印件。</w:t>
            </w:r>
          </w:p>
          <w:p>
            <w:pPr>
              <w:spacing w:line="240" w:lineRule="exact"/>
              <w:rPr>
                <w:rFonts w:ascii="仿宋_GB2312" w:hAnsi="仿宋" w:eastAsia="仿宋_GB2312"/>
                <w:sz w:val="18"/>
                <w:szCs w:val="18"/>
              </w:rPr>
            </w:pPr>
            <w:r>
              <w:rPr>
                <w:rFonts w:hint="eastAsia" w:ascii="仿宋_GB2312" w:hAnsi="仿宋" w:eastAsia="仿宋_GB2312"/>
                <w:sz w:val="18"/>
                <w:szCs w:val="18"/>
              </w:rPr>
              <w:t>联合体投标的，复印件须加盖联合体牵头人公章。投标人为投标品牌制造商或投标品牌经销商的，只需盖投标人公章。</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0.5</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ind w:left="113" w:right="113"/>
              <w:jc w:val="center"/>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4.8水平振动加速度</w:t>
            </w:r>
          </w:p>
          <w:p>
            <w:pPr>
              <w:spacing w:line="240" w:lineRule="exact"/>
              <w:rPr>
                <w:rFonts w:ascii="仿宋_GB2312" w:hAnsi="仿宋" w:eastAsia="仿宋_GB2312"/>
                <w:sz w:val="18"/>
                <w:szCs w:val="18"/>
              </w:rPr>
            </w:pPr>
            <w:r>
              <w:rPr>
                <w:rFonts w:hint="eastAsia" w:ascii="仿宋_GB2312" w:hAnsi="仿宋" w:eastAsia="仿宋_GB2312"/>
                <w:sz w:val="18"/>
                <w:szCs w:val="18"/>
              </w:rPr>
              <w:t>包括垂直电梯和自动扶梯的水平振动加速度，根据水平振动加速度情况进行比较打分，水平振动加速度达到本项目要求的为一般。投标文件中提供具有资质的第三方检测机构出具的检测报告复印件。</w:t>
            </w:r>
          </w:p>
          <w:p>
            <w:pPr>
              <w:spacing w:line="240" w:lineRule="exact"/>
              <w:rPr>
                <w:rFonts w:ascii="仿宋_GB2312" w:hAnsi="仿宋" w:eastAsia="仿宋_GB2312"/>
                <w:sz w:val="18"/>
                <w:szCs w:val="18"/>
              </w:rPr>
            </w:pPr>
            <w:r>
              <w:rPr>
                <w:rFonts w:hint="eastAsia" w:ascii="仿宋_GB2312" w:hAnsi="仿宋" w:eastAsia="仿宋_GB2312"/>
                <w:sz w:val="18"/>
                <w:szCs w:val="18"/>
              </w:rPr>
              <w:t>联合体投标的，复印件须加盖联合体牵头人公章。投标人为投标品牌制造商或投标品牌经销商的，只需盖投标人公章。</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0.5</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ind w:left="113" w:right="113"/>
              <w:jc w:val="center"/>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4.9垂直振动加速度</w:t>
            </w:r>
          </w:p>
          <w:p>
            <w:pPr>
              <w:spacing w:line="240" w:lineRule="exact"/>
              <w:rPr>
                <w:rFonts w:ascii="仿宋_GB2312" w:hAnsi="仿宋" w:eastAsia="仿宋_GB2312"/>
                <w:sz w:val="18"/>
                <w:szCs w:val="18"/>
              </w:rPr>
            </w:pPr>
            <w:r>
              <w:rPr>
                <w:rFonts w:hint="eastAsia" w:ascii="仿宋_GB2312" w:hAnsi="仿宋" w:eastAsia="仿宋_GB2312"/>
                <w:sz w:val="18"/>
                <w:szCs w:val="18"/>
              </w:rPr>
              <w:t>包括垂直电梯和自动扶梯的垂直振动加速度，根据垂直振动加速度情况进行比较打分，垂直振动加速度达到本项目要求的为一般。投标文件中提供具有资质的第三方检测机构出具的检测报告复印件。</w:t>
            </w:r>
          </w:p>
          <w:p>
            <w:pPr>
              <w:spacing w:line="240" w:lineRule="exact"/>
              <w:rPr>
                <w:rFonts w:ascii="仿宋_GB2312" w:hAnsi="仿宋" w:eastAsia="仿宋_GB2312"/>
                <w:sz w:val="18"/>
                <w:szCs w:val="18"/>
              </w:rPr>
            </w:pPr>
            <w:r>
              <w:rPr>
                <w:rFonts w:hint="eastAsia" w:ascii="仿宋_GB2312" w:hAnsi="仿宋" w:eastAsia="仿宋_GB2312"/>
                <w:sz w:val="18"/>
                <w:szCs w:val="18"/>
              </w:rPr>
              <w:t>联合体投标的，复印件须加盖联合体牵头人公章。投标人为投标品牌制造商或投标品牌经销商的，只需盖投标人公章。</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0.5</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 w:hRule="atLeast"/>
          <w:jc w:val="center"/>
        </w:trPr>
        <w:tc>
          <w:tcPr>
            <w:tcW w:w="461" w:type="dxa"/>
            <w:vMerge w:val="restart"/>
            <w:tcBorders>
              <w:top w:val="single" w:color="auto" w:sz="4" w:space="0"/>
              <w:left w:val="single" w:color="auto" w:sz="4" w:space="0"/>
              <w:right w:val="single" w:color="auto" w:sz="4" w:space="0"/>
            </w:tcBorders>
            <w:vAlign w:val="center"/>
          </w:tcPr>
          <w:p>
            <w:pPr>
              <w:spacing w:line="240" w:lineRule="exact"/>
              <w:jc w:val="center"/>
              <w:rPr>
                <w:rFonts w:ascii="仿宋_GB2312" w:hAnsi="仿宋" w:eastAsia="仿宋_GB2312"/>
                <w:bCs/>
              </w:rPr>
            </w:pPr>
            <w:r>
              <w:rPr>
                <w:rFonts w:hint="eastAsia" w:ascii="仿宋_GB2312" w:hAnsi="仿宋" w:eastAsia="仿宋_GB2312"/>
                <w:bCs/>
              </w:rPr>
              <w:t>5</w:t>
            </w:r>
          </w:p>
        </w:tc>
        <w:tc>
          <w:tcPr>
            <w:tcW w:w="702" w:type="dxa"/>
            <w:vMerge w:val="restart"/>
            <w:tcBorders>
              <w:top w:val="single" w:color="auto" w:sz="4" w:space="0"/>
              <w:left w:val="single" w:color="auto" w:sz="4" w:space="0"/>
              <w:right w:val="single" w:color="auto" w:sz="4" w:space="0"/>
            </w:tcBorders>
            <w:textDirection w:val="tbRlV"/>
            <w:vAlign w:val="center"/>
          </w:tcPr>
          <w:p>
            <w:pPr>
              <w:spacing w:line="240" w:lineRule="exact"/>
              <w:ind w:left="113" w:right="113"/>
              <w:rPr>
                <w:rFonts w:ascii="仿宋_GB2312" w:hAnsi="仿宋" w:eastAsia="仿宋_GB2312"/>
              </w:rPr>
            </w:pPr>
            <w:r>
              <w:rPr>
                <w:rFonts w:hint="eastAsia" w:ascii="仿宋_GB2312" w:hAnsi="仿宋" w:eastAsia="仿宋_GB2312"/>
              </w:rPr>
              <w:t>安装</w:t>
            </w:r>
          </w:p>
          <w:p>
            <w:pPr>
              <w:spacing w:line="240" w:lineRule="exact"/>
              <w:ind w:left="113" w:right="113"/>
              <w:rPr>
                <w:rFonts w:ascii="仿宋_GB2312" w:hAnsi="仿宋" w:eastAsia="仿宋_GB2312"/>
              </w:rPr>
            </w:pPr>
            <w:r>
              <w:rPr>
                <w:rFonts w:hint="eastAsia" w:ascii="仿宋_GB2312" w:hAnsi="仿宋" w:eastAsia="仿宋_GB2312"/>
              </w:rPr>
              <w:t>施工</w:t>
            </w:r>
          </w:p>
        </w:tc>
        <w:tc>
          <w:tcPr>
            <w:tcW w:w="5096" w:type="dxa"/>
            <w:tcBorders>
              <w:top w:val="single" w:color="auto" w:sz="4" w:space="0"/>
              <w:left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5.1#施工方案：根据施工质量、进度、安全生产和文明施工保证措施，进行综合评价。</w:t>
            </w:r>
          </w:p>
        </w:tc>
        <w:tc>
          <w:tcPr>
            <w:tcW w:w="712" w:type="dxa"/>
            <w:tcBorders>
              <w:top w:val="single" w:color="auto" w:sz="4" w:space="0"/>
              <w:left w:val="single" w:color="auto" w:sz="4" w:space="0"/>
              <w:bottom w:val="single" w:color="auto" w:sz="4" w:space="0"/>
              <w:right w:val="single" w:color="auto" w:sz="4" w:space="0"/>
            </w:tcBorders>
            <w:vAlign w:val="bottom"/>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2</w:t>
            </w:r>
          </w:p>
        </w:tc>
        <w:tc>
          <w:tcPr>
            <w:tcW w:w="885" w:type="dxa"/>
            <w:gridSpan w:val="2"/>
            <w:tcBorders>
              <w:top w:val="single" w:color="auto" w:sz="4" w:space="0"/>
              <w:left w:val="single" w:color="auto" w:sz="4" w:space="0"/>
              <w:bottom w:val="single" w:color="auto" w:sz="4" w:space="0"/>
              <w:right w:val="single" w:color="auto" w:sz="4" w:space="0"/>
            </w:tcBorders>
            <w:vAlign w:val="bottom"/>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72" w:type="dxa"/>
            <w:tcBorders>
              <w:top w:val="single" w:color="auto" w:sz="4" w:space="0"/>
              <w:left w:val="single" w:color="auto" w:sz="4" w:space="0"/>
              <w:bottom w:val="single" w:color="auto" w:sz="4" w:space="0"/>
              <w:right w:val="single" w:color="auto" w:sz="4" w:space="0"/>
            </w:tcBorders>
            <w:vAlign w:val="bottom"/>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bCs/>
              </w:rPr>
            </w:pPr>
          </w:p>
        </w:tc>
        <w:tc>
          <w:tcPr>
            <w:tcW w:w="702" w:type="dxa"/>
            <w:vMerge w:val="continue"/>
            <w:tcBorders>
              <w:left w:val="single" w:color="auto" w:sz="4" w:space="0"/>
              <w:right w:val="single" w:color="auto" w:sz="4" w:space="0"/>
            </w:tcBorders>
            <w:textDirection w:val="tbRlV"/>
            <w:vAlign w:val="center"/>
          </w:tcPr>
          <w:p>
            <w:pPr>
              <w:spacing w:line="240" w:lineRule="exact"/>
              <w:ind w:left="113" w:right="113"/>
              <w:jc w:val="center"/>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5.2与总包单位和其他分包单位的配合措施</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0.5</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461" w:type="dxa"/>
            <w:vMerge w:val="restart"/>
            <w:tcBorders>
              <w:top w:val="single" w:color="auto" w:sz="4" w:space="0"/>
              <w:left w:val="single" w:color="auto" w:sz="4" w:space="0"/>
              <w:right w:val="single" w:color="auto" w:sz="4" w:space="0"/>
            </w:tcBorders>
            <w:vAlign w:val="center"/>
          </w:tcPr>
          <w:p>
            <w:pPr>
              <w:spacing w:line="240" w:lineRule="exact"/>
              <w:jc w:val="center"/>
              <w:rPr>
                <w:rFonts w:ascii="仿宋_GB2312" w:hAnsi="仿宋" w:eastAsia="仿宋_GB2312"/>
                <w:bCs/>
              </w:rPr>
            </w:pPr>
            <w:r>
              <w:rPr>
                <w:rFonts w:hint="eastAsia" w:ascii="仿宋_GB2312" w:hAnsi="仿宋" w:eastAsia="仿宋_GB2312"/>
                <w:bCs/>
              </w:rPr>
              <w:t>6</w:t>
            </w:r>
          </w:p>
        </w:tc>
        <w:tc>
          <w:tcPr>
            <w:tcW w:w="702" w:type="dxa"/>
            <w:vMerge w:val="restart"/>
            <w:tcBorders>
              <w:top w:val="single" w:color="auto" w:sz="4" w:space="0"/>
              <w:left w:val="single" w:color="auto" w:sz="4" w:space="0"/>
              <w:right w:val="single" w:color="auto" w:sz="4" w:space="0"/>
            </w:tcBorders>
            <w:textDirection w:val="tbRlV"/>
            <w:vAlign w:val="center"/>
          </w:tcPr>
          <w:p>
            <w:pPr>
              <w:spacing w:line="240" w:lineRule="exact"/>
              <w:ind w:left="113" w:right="113"/>
              <w:jc w:val="center"/>
              <w:rPr>
                <w:rFonts w:ascii="仿宋_GB2312" w:hAnsi="仿宋" w:eastAsia="仿宋_GB2312"/>
              </w:rPr>
            </w:pPr>
            <w:r>
              <w:rPr>
                <w:rFonts w:hint="eastAsia" w:ascii="仿宋_GB2312" w:hAnsi="仿宋" w:eastAsia="仿宋_GB2312"/>
              </w:rPr>
              <w:t>售后及服务</w:t>
            </w: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6.1#维保单位人员规模</w:t>
            </w:r>
          </w:p>
          <w:p>
            <w:pPr>
              <w:spacing w:line="240" w:lineRule="exact"/>
              <w:rPr>
                <w:rFonts w:hint="default" w:ascii="仿宋_GB2312" w:hAnsi="仿宋" w:eastAsia="仿宋_GB2312"/>
                <w:spacing w:val="-12"/>
                <w:sz w:val="18"/>
                <w:szCs w:val="18"/>
                <w:highlight w:val="none"/>
                <w:lang w:val="en-US" w:eastAsia="zh-CN"/>
              </w:rPr>
            </w:pPr>
            <w:r>
              <w:rPr>
                <w:rFonts w:hint="eastAsia" w:ascii="仿宋_GB2312" w:hAnsi="仿宋" w:eastAsia="仿宋_GB2312"/>
                <w:spacing w:val="-12"/>
                <w:sz w:val="18"/>
                <w:szCs w:val="18"/>
                <w:highlight w:val="none"/>
              </w:rPr>
              <w:t>维保单位应为投标电梯品牌授权的维保单位（投标电梯品牌有多个的，应同时具备），按投标人的维保单位在职职工数量进行评价。在职职工数量以社保机构出具的维保单位上年度缴纳养老保险人员证明为准，人员数量多的相应评审得分高。</w:t>
            </w:r>
            <w:r>
              <w:rPr>
                <w:rFonts w:hint="eastAsia" w:ascii="仿宋_GB2312" w:hAnsi="仿宋" w:eastAsia="仿宋_GB2312"/>
                <w:sz w:val="18"/>
                <w:szCs w:val="18"/>
                <w:highlight w:val="none"/>
              </w:rPr>
              <w:t>投标文件中提供授权文件复印件。</w:t>
            </w:r>
            <w:r>
              <w:rPr>
                <w:rFonts w:hint="eastAsia" w:ascii="仿宋_GB2312" w:hAnsi="仿宋" w:eastAsia="仿宋_GB2312"/>
                <w:spacing w:val="-12"/>
                <w:sz w:val="18"/>
                <w:szCs w:val="18"/>
                <w:highlight w:val="none"/>
              </w:rPr>
              <w:t>维保单位</w:t>
            </w:r>
            <w:r>
              <w:rPr>
                <w:rFonts w:hint="eastAsia" w:ascii="仿宋_GB2312" w:hAnsi="仿宋" w:eastAsia="仿宋_GB2312"/>
                <w:spacing w:val="-12"/>
                <w:sz w:val="18"/>
                <w:szCs w:val="18"/>
                <w:highlight w:val="none"/>
                <w:lang w:val="en-US" w:eastAsia="zh-CN"/>
              </w:rPr>
              <w:t>不是</w:t>
            </w:r>
            <w:r>
              <w:rPr>
                <w:rFonts w:hint="eastAsia" w:ascii="仿宋_GB2312" w:hAnsi="仿宋" w:eastAsia="仿宋_GB2312"/>
                <w:spacing w:val="-12"/>
                <w:sz w:val="18"/>
                <w:szCs w:val="18"/>
                <w:highlight w:val="none"/>
              </w:rPr>
              <w:t>投标电梯品牌授权的维保单位</w:t>
            </w:r>
            <w:r>
              <w:rPr>
                <w:rFonts w:hint="eastAsia" w:ascii="仿宋_GB2312" w:hAnsi="仿宋" w:eastAsia="仿宋_GB2312"/>
                <w:spacing w:val="-12"/>
                <w:sz w:val="18"/>
                <w:szCs w:val="18"/>
                <w:highlight w:val="none"/>
                <w:lang w:val="en-US" w:eastAsia="zh-CN"/>
              </w:rPr>
              <w:t>的，本项得0.5分。</w:t>
            </w:r>
          </w:p>
          <w:p>
            <w:pPr>
              <w:spacing w:line="240" w:lineRule="exact"/>
              <w:rPr>
                <w:rFonts w:ascii="仿宋_GB2312" w:hAnsi="仿宋" w:eastAsia="仿宋_GB2312"/>
                <w:sz w:val="18"/>
                <w:szCs w:val="18"/>
              </w:rPr>
            </w:pPr>
            <w:r>
              <w:rPr>
                <w:rFonts w:hint="eastAsia" w:ascii="仿宋_GB2312" w:hAnsi="仿宋" w:eastAsia="仿宋_GB2312"/>
                <w:sz w:val="18"/>
                <w:szCs w:val="18"/>
              </w:rPr>
              <w:t>联合体投标的，复印件须加盖联合体牵头人公章。投标人为投标品牌制造商或投标品牌经销商的，只需盖投标人公章。</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2</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bCs/>
              </w:rPr>
            </w:pPr>
          </w:p>
        </w:tc>
        <w:tc>
          <w:tcPr>
            <w:tcW w:w="702" w:type="dxa"/>
            <w:vMerge w:val="continue"/>
            <w:tcBorders>
              <w:top w:val="single" w:color="auto" w:sz="4" w:space="0"/>
              <w:left w:val="single" w:color="auto" w:sz="4" w:space="0"/>
              <w:right w:val="single" w:color="auto" w:sz="4" w:space="0"/>
            </w:tcBorders>
            <w:textDirection w:val="tbRlV"/>
            <w:vAlign w:val="center"/>
          </w:tcPr>
          <w:p>
            <w:pPr>
              <w:spacing w:line="240" w:lineRule="exact"/>
              <w:ind w:left="113" w:right="113"/>
              <w:jc w:val="center"/>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 xml:space="preserve">6.2#培训计划：根据培训时间、地点、费用、目标 ，进行综合评价。 </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85"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0.5</w:t>
            </w:r>
          </w:p>
        </w:tc>
        <w:tc>
          <w:tcPr>
            <w:tcW w:w="87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6.3#产品质量保证期限：</w:t>
            </w:r>
          </w:p>
          <w:p>
            <w:pPr>
              <w:spacing w:line="240" w:lineRule="exact"/>
              <w:rPr>
                <w:rFonts w:ascii="仿宋_GB2312" w:hAnsi="仿宋" w:eastAsia="仿宋_GB2312"/>
                <w:sz w:val="18"/>
                <w:szCs w:val="18"/>
              </w:rPr>
            </w:pPr>
            <w:r>
              <w:rPr>
                <w:rFonts w:hint="eastAsia" w:ascii="仿宋_GB2312" w:hAnsi="仿宋" w:eastAsia="仿宋_GB2312"/>
                <w:sz w:val="18"/>
                <w:szCs w:val="18"/>
              </w:rPr>
              <w:t>质量保证期等于24个月的不得分，每增加12个月得1分，本项最高2分。</w:t>
            </w:r>
          </w:p>
        </w:tc>
        <w:tc>
          <w:tcPr>
            <w:tcW w:w="71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仿宋" w:eastAsia="仿宋_GB2312"/>
                <w:sz w:val="18"/>
                <w:szCs w:val="18"/>
              </w:rPr>
            </w:pPr>
            <w:r>
              <w:rPr>
                <w:rFonts w:hint="eastAsia" w:ascii="仿宋_GB2312" w:hAnsi="仿宋" w:eastAsia="仿宋_GB2312"/>
                <w:sz w:val="18"/>
                <w:szCs w:val="18"/>
              </w:rPr>
              <w:t>2</w:t>
            </w:r>
          </w:p>
        </w:tc>
        <w:tc>
          <w:tcPr>
            <w:tcW w:w="871"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8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仿宋" w:eastAsia="仿宋_GB2312"/>
                <w:sz w:val="18"/>
                <w:szCs w:val="18"/>
              </w:rPr>
            </w:pPr>
            <w:r>
              <w:rPr>
                <w:rFonts w:hint="eastAsia" w:ascii="仿宋_GB2312" w:hAnsi="仿宋" w:eastAsia="仿宋_GB2312"/>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461" w:type="dxa"/>
            <w:vMerge w:val="continue"/>
            <w:tcBorders>
              <w:left w:val="single" w:color="auto" w:sz="4" w:space="0"/>
              <w:right w:val="single" w:color="auto" w:sz="4" w:space="0"/>
            </w:tcBorders>
            <w:vAlign w:val="center"/>
          </w:tcPr>
          <w:p>
            <w:pPr>
              <w:spacing w:line="240" w:lineRule="exact"/>
              <w:jc w:val="center"/>
              <w:rPr>
                <w:rFonts w:ascii="仿宋_GB2312" w:hAnsi="仿宋" w:eastAsia="仿宋_GB2312"/>
              </w:rPr>
            </w:pPr>
          </w:p>
        </w:tc>
        <w:tc>
          <w:tcPr>
            <w:tcW w:w="702" w:type="dxa"/>
            <w:vMerge w:val="continue"/>
            <w:tcBorders>
              <w:left w:val="single" w:color="auto" w:sz="4" w:space="0"/>
              <w:right w:val="single" w:color="auto" w:sz="4" w:space="0"/>
            </w:tcBorders>
            <w:vAlign w:val="center"/>
          </w:tcPr>
          <w:p>
            <w:pPr>
              <w:spacing w:line="240" w:lineRule="exact"/>
              <w:rPr>
                <w:rFonts w:ascii="仿宋_GB2312" w:hAnsi="仿宋" w:eastAsia="仿宋_GB2312"/>
              </w:rPr>
            </w:pPr>
          </w:p>
        </w:tc>
        <w:tc>
          <w:tcPr>
            <w:tcW w:w="5096"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仿宋" w:eastAsia="仿宋_GB2312"/>
                <w:sz w:val="18"/>
                <w:szCs w:val="18"/>
              </w:rPr>
            </w:pPr>
            <w:r>
              <w:rPr>
                <w:rFonts w:hint="eastAsia" w:ascii="仿宋_GB2312" w:hAnsi="仿宋" w:eastAsia="仿宋_GB2312"/>
                <w:sz w:val="18"/>
                <w:szCs w:val="18"/>
              </w:rPr>
              <w:t>6.4售后服务承诺：</w:t>
            </w:r>
          </w:p>
          <w:p>
            <w:pPr>
              <w:spacing w:line="240" w:lineRule="exact"/>
              <w:rPr>
                <w:rFonts w:ascii="仿宋_GB2312" w:hAnsi="仿宋" w:eastAsia="仿宋_GB2312"/>
                <w:sz w:val="18"/>
                <w:szCs w:val="18"/>
              </w:rPr>
            </w:pPr>
            <w:r>
              <w:rPr>
                <w:rFonts w:hint="eastAsia" w:ascii="仿宋_GB2312" w:hAnsi="仿宋" w:eastAsia="仿宋_GB2312"/>
                <w:sz w:val="18"/>
                <w:szCs w:val="18"/>
              </w:rPr>
              <w:t>根据投标人提供的售后服务方案、维护人员配备和售后服务机构设置等情况，提供详细、完善的售后服务的承诺情况，售后服务承诺的可行性、完整性以及保障措施，产品质量保证期内外的故障响应、修复时间及后续技术支持和维护能力情况等进行比较打分。</w:t>
            </w:r>
          </w:p>
        </w:tc>
        <w:tc>
          <w:tcPr>
            <w:tcW w:w="712"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2</w:t>
            </w:r>
          </w:p>
        </w:tc>
        <w:tc>
          <w:tcPr>
            <w:tcW w:w="871" w:type="dxa"/>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1</w:t>
            </w:r>
          </w:p>
        </w:tc>
        <w:tc>
          <w:tcPr>
            <w:tcW w:w="886" w:type="dxa"/>
            <w:gridSpan w:val="2"/>
            <w:tcBorders>
              <w:top w:val="single" w:color="auto" w:sz="4" w:space="0"/>
              <w:left w:val="single" w:color="auto" w:sz="4" w:space="0"/>
              <w:bottom w:val="single" w:color="auto" w:sz="4" w:space="0"/>
              <w:right w:val="single" w:color="auto" w:sz="4" w:space="0"/>
            </w:tcBorders>
            <w:vAlign w:val="center"/>
          </w:tcPr>
          <w:p>
            <w:pPr>
              <w:spacing w:after="120" w:line="240" w:lineRule="exact"/>
              <w:jc w:val="center"/>
              <w:rPr>
                <w:rFonts w:ascii="仿宋_GB2312" w:hAnsi="仿宋" w:eastAsia="仿宋_GB2312"/>
                <w:sz w:val="18"/>
                <w:szCs w:val="18"/>
              </w:rPr>
            </w:pPr>
            <w:r>
              <w:rPr>
                <w:rFonts w:hint="eastAsia" w:ascii="仿宋_GB2312" w:hAnsi="仿宋" w:eastAsia="仿宋_GB2312"/>
                <w:sz w:val="18"/>
                <w:szCs w:val="18"/>
              </w:rPr>
              <w:t>0.5</w:t>
            </w:r>
          </w:p>
        </w:tc>
      </w:tr>
    </w:tbl>
    <w:p>
      <w:pPr>
        <w:spacing w:line="420" w:lineRule="exact"/>
        <w:ind w:firstLine="388" w:firstLineChars="185"/>
        <w:jc w:val="both"/>
        <w:rPr>
          <w:rFonts w:ascii="宋体" w:hAnsi="宋体" w:eastAsia="宋体" w:cs="宋体"/>
          <w:strike/>
          <w:color w:val="000000" w:themeColor="text1"/>
          <w:sz w:val="23"/>
          <w:szCs w:val="23"/>
          <w14:textFill>
            <w14:solidFill>
              <w14:schemeClr w14:val="tx1"/>
            </w14:solidFill>
          </w14:textFill>
        </w:rPr>
      </w:pPr>
      <w:r>
        <w:rPr>
          <w:rFonts w:hint="eastAsia"/>
        </w:rPr>
        <w:t>注：评分细则中所有佐证材料在投标文件中均需提供复印件并加盖公章，承诺函（书）格式自拟。</w:t>
      </w:r>
    </w:p>
    <w:p>
      <w:pPr>
        <w:spacing w:line="420" w:lineRule="exact"/>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(四)投标文件的商务标评审</w:t>
      </w:r>
    </w:p>
    <w:p>
      <w:pPr>
        <w:spacing w:line="420" w:lineRule="exact"/>
        <w:ind w:firstLine="49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1.由评标委员会全体成员对投标文件的报价进行评审。评标专家应对报价的范围、数量、单价、费用组成和总价等进行全面审阅和对比分析，找出报价差异的原因及存在的问题。</w:t>
      </w:r>
    </w:p>
    <w:p>
      <w:pPr>
        <w:spacing w:line="420" w:lineRule="exact"/>
        <w:ind w:firstLine="483"/>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2.报价评审应以报价口径范围一致的投标评标价为依据。投标评标价应在最终报价的基础上，按照招标文件约定的因素和方法进行计算。</w:t>
      </w:r>
    </w:p>
    <w:p>
      <w:pPr>
        <w:spacing w:line="420" w:lineRule="exact"/>
        <w:ind w:firstLine="483"/>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3.评标基准价由评标委员会依据下述方法计算，除计算差错外，确认后的评标基准价在本次招标期间保持不变。</w:t>
      </w:r>
    </w:p>
    <w:p>
      <w:pPr>
        <w:spacing w:line="420" w:lineRule="exact"/>
        <w:ind w:firstLine="460" w:firstLineChars="20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计算差错，仅限于以下两种情况：(1)纯算术性四则运算差错；(2)未按约定的计算方法，多计或者少计投标人报价的。由于评标差错，导致否决投标错误，重新评标纠正等其他情况，不属于计算差错。</w:t>
      </w:r>
    </w:p>
    <w:p>
      <w:pPr>
        <w:spacing w:line="420" w:lineRule="exact"/>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4.报价评分(</w:t>
      </w:r>
      <w:r>
        <w:rPr>
          <w:rFonts w:hint="eastAsia" w:ascii="宋体" w:hAnsi="宋体" w:eastAsia="宋体" w:cs="宋体"/>
          <w:color w:val="000000" w:themeColor="text1"/>
          <w:sz w:val="23"/>
          <w:szCs w:val="23"/>
          <w14:textFill>
            <w14:solidFill>
              <w14:schemeClr w14:val="tx1"/>
            </w14:solidFill>
          </w14:textFill>
        </w:rPr>
        <w:t>40</w:t>
      </w:r>
      <w:r>
        <w:rPr>
          <w:rFonts w:ascii="宋体" w:hAnsi="宋体" w:eastAsia="宋体" w:cs="宋体"/>
          <w:color w:val="000000" w:themeColor="text1"/>
          <w:sz w:val="23"/>
          <w:szCs w:val="23"/>
          <w14:textFill>
            <w14:solidFill>
              <w14:schemeClr w14:val="tx1"/>
            </w14:solidFill>
          </w14:textFill>
        </w:rPr>
        <w:t>分)</w:t>
      </w:r>
    </w:p>
    <w:p>
      <w:pPr>
        <w:spacing w:before="117" w:line="227" w:lineRule="auto"/>
        <w:ind w:left="516"/>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□平均价法（方法一）</w:t>
      </w:r>
    </w:p>
    <w:p>
      <w:pPr>
        <w:spacing w:before="156" w:line="229" w:lineRule="auto"/>
        <w:ind w:left="503"/>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(1)评分范围：通过符合性审查的所有投标文件进入评分范围。</w:t>
      </w:r>
    </w:p>
    <w:p>
      <w:pPr>
        <w:spacing w:before="154" w:line="227" w:lineRule="auto"/>
        <w:ind w:left="503"/>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(2)评标基准价：进入评分范围的投标评标价的算术平均值为评标基准价(其中，</w:t>
      </w:r>
    </w:p>
    <w:p>
      <w:pPr>
        <w:spacing w:line="420" w:lineRule="exact"/>
        <w:ind w:firstLine="483"/>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投标评标价在5个至7个时，去除一个最高价和一个最低价；投标评标价在8个及以上时，去除一个最高、次高价和一个最低、次低价)。</w:t>
      </w:r>
    </w:p>
    <w:p>
      <w:pPr>
        <w:spacing w:line="420" w:lineRule="exact"/>
        <w:ind w:firstLine="483"/>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(3)根据投标文件的投标评标价与评标基准价对比，计算投标人的商务报价的得分值。</w:t>
      </w:r>
    </w:p>
    <w:p>
      <w:pPr>
        <w:spacing w:before="132" w:line="229" w:lineRule="auto"/>
        <w:ind w:left="18"/>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即：</w:t>
      </w:r>
    </w:p>
    <w:p>
      <w:pPr>
        <w:spacing w:before="156" w:line="439" w:lineRule="exact"/>
        <w:ind w:left="481"/>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position w:val="15"/>
          <w:sz w:val="23"/>
          <w:szCs w:val="23"/>
          <w14:textFill>
            <w14:solidFill>
              <w14:schemeClr w14:val="tx1"/>
            </w14:solidFill>
          </w14:textFill>
        </w:rPr>
        <w:t>a.投标评标价等于评标基准价时，得满分(67</w:t>
      </w:r>
      <w:r>
        <w:rPr>
          <w:rFonts w:ascii="微软雅黑" w:hAnsi="微软雅黑" w:eastAsia="微软雅黑" w:cs="微软雅黑"/>
          <w:strike/>
          <w:color w:val="000000" w:themeColor="text1"/>
          <w:position w:val="15"/>
          <w:sz w:val="23"/>
          <w:szCs w:val="23"/>
          <w14:textFill>
            <w14:solidFill>
              <w14:schemeClr w14:val="tx1"/>
            </w14:solidFill>
          </w14:textFill>
        </w:rPr>
        <w:t>~</w:t>
      </w:r>
      <w:r>
        <w:rPr>
          <w:rFonts w:ascii="宋体" w:hAnsi="宋体" w:eastAsia="宋体" w:cs="宋体"/>
          <w:strike/>
          <w:color w:val="000000" w:themeColor="text1"/>
          <w:position w:val="15"/>
          <w:sz w:val="23"/>
          <w:szCs w:val="23"/>
          <w14:textFill>
            <w14:solidFill>
              <w14:schemeClr w14:val="tx1"/>
            </w14:solidFill>
          </w14:textFill>
        </w:rPr>
        <w:t>37分)；</w:t>
      </w:r>
    </w:p>
    <w:p>
      <w:pPr>
        <w:spacing w:line="228" w:lineRule="auto"/>
        <w:ind w:left="477"/>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b.投标评标价每低于评标基准价1个百分点，扣0.5分；</w:t>
      </w:r>
    </w:p>
    <w:p>
      <w:pPr>
        <w:spacing w:before="155" w:line="228" w:lineRule="auto"/>
        <w:ind w:left="485"/>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c.投标评标价每高于评标基准价1个百分点，扣1分。</w:t>
      </w:r>
    </w:p>
    <w:p>
      <w:pPr>
        <w:spacing w:before="158" w:line="353" w:lineRule="auto"/>
        <w:ind w:left="11" w:right="119" w:firstLine="460" w:firstLineChars="20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以上报价得分不足一个百分点时，使用直线插入法计算，保留小数2位。投标文件的商务标评分不足10分的，计为10分。</w:t>
      </w:r>
    </w:p>
    <w:p>
      <w:pPr>
        <w:spacing w:line="228" w:lineRule="auto"/>
        <w:ind w:left="505"/>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□二次平均法（方法二）</w:t>
      </w:r>
    </w:p>
    <w:p>
      <w:pPr>
        <w:spacing w:before="157" w:line="229" w:lineRule="auto"/>
        <w:ind w:left="492"/>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(1)评分范围：通过符合性审查的所有投标文件进入评分范围。</w:t>
      </w:r>
    </w:p>
    <w:p>
      <w:pPr>
        <w:spacing w:line="420" w:lineRule="exact"/>
        <w:ind w:firstLine="460" w:firstLineChars="20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(2)报价平均值：进入评分范围的投标评标价的算术平均值为报价平均值(其中，投标评标价在5个至7个时，去除一个最高价和一个最低价；投标评标价在8个及以上时，去除一个最高、次高价和一个最低、次低价)。</w:t>
      </w:r>
    </w:p>
    <w:p>
      <w:pPr>
        <w:spacing w:line="420" w:lineRule="exact"/>
        <w:ind w:firstLine="492"/>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(3)评标基准价：报价平均值与进入评分范围的投标评标价中的次低投标评标价(不足4个的与最低投标评标价)的算术平均值为评标基准价。</w:t>
      </w:r>
    </w:p>
    <w:p>
      <w:pPr>
        <w:spacing w:line="420" w:lineRule="exact"/>
        <w:ind w:firstLine="473"/>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(4)根据投标文件的投标评标价与评标基准价对比，计算投标人的商务报价的得分值。即：</w:t>
      </w:r>
    </w:p>
    <w:p>
      <w:pPr>
        <w:spacing w:line="442" w:lineRule="exact"/>
        <w:ind w:left="481"/>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position w:val="15"/>
          <w:sz w:val="23"/>
          <w:szCs w:val="23"/>
          <w14:textFill>
            <w14:solidFill>
              <w14:schemeClr w14:val="tx1"/>
            </w14:solidFill>
          </w14:textFill>
        </w:rPr>
        <w:t>a.投标评标价等于评标基准价时，得满分(67</w:t>
      </w:r>
      <w:r>
        <w:rPr>
          <w:rFonts w:ascii="微软雅黑" w:hAnsi="微软雅黑" w:eastAsia="微软雅黑" w:cs="微软雅黑"/>
          <w:strike/>
          <w:color w:val="000000" w:themeColor="text1"/>
          <w:position w:val="15"/>
          <w:sz w:val="23"/>
          <w:szCs w:val="23"/>
          <w14:textFill>
            <w14:solidFill>
              <w14:schemeClr w14:val="tx1"/>
            </w14:solidFill>
          </w14:textFill>
        </w:rPr>
        <w:t>~</w:t>
      </w:r>
      <w:r>
        <w:rPr>
          <w:rFonts w:ascii="宋体" w:hAnsi="宋体" w:eastAsia="宋体" w:cs="宋体"/>
          <w:strike/>
          <w:color w:val="000000" w:themeColor="text1"/>
          <w:position w:val="15"/>
          <w:sz w:val="23"/>
          <w:szCs w:val="23"/>
          <w14:textFill>
            <w14:solidFill>
              <w14:schemeClr w14:val="tx1"/>
            </w14:solidFill>
          </w14:textFill>
        </w:rPr>
        <w:t>37分)；</w:t>
      </w:r>
    </w:p>
    <w:p>
      <w:pPr>
        <w:spacing w:line="228" w:lineRule="auto"/>
        <w:ind w:left="477"/>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b.投标评标价每低于评标基准价1个百分点，扣0.5分；</w:t>
      </w:r>
    </w:p>
    <w:p>
      <w:pPr>
        <w:spacing w:before="155" w:line="228" w:lineRule="auto"/>
        <w:ind w:left="485"/>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c.投标评标价每高于评标基准价1个百分点，扣1分。</w:t>
      </w:r>
    </w:p>
    <w:p>
      <w:pPr>
        <w:spacing w:before="158" w:line="353" w:lineRule="auto"/>
        <w:ind w:left="11" w:right="119" w:firstLine="460" w:firstLineChars="200"/>
        <w:jc w:val="both"/>
        <w:rPr>
          <w:rFonts w:ascii="宋体" w:hAnsi="宋体" w:eastAsia="宋体" w:cs="宋体"/>
          <w:strike/>
          <w:color w:val="000000" w:themeColor="text1"/>
          <w:sz w:val="23"/>
          <w:szCs w:val="23"/>
          <w14:textFill>
            <w14:solidFill>
              <w14:schemeClr w14:val="tx1"/>
            </w14:solidFill>
          </w14:textFill>
        </w:rPr>
      </w:pPr>
      <w:r>
        <w:rPr>
          <w:rFonts w:ascii="宋体" w:hAnsi="宋体" w:eastAsia="宋体" w:cs="宋体"/>
          <w:strike/>
          <w:color w:val="000000" w:themeColor="text1"/>
          <w:sz w:val="23"/>
          <w:szCs w:val="23"/>
          <w14:textFill>
            <w14:solidFill>
              <w14:schemeClr w14:val="tx1"/>
            </w14:solidFill>
          </w14:textFill>
        </w:rPr>
        <w:t>以上报价得分不足一个百分点时，使用直线插入法计算，保留小数2位。投标文件的商务标评分不足10分的，计为10分。</w:t>
      </w:r>
    </w:p>
    <w:p>
      <w:pPr>
        <w:spacing w:line="226" w:lineRule="auto"/>
        <w:ind w:left="505"/>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w:t>
      </w: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平均价下浮法（方法三）</w:t>
      </w:r>
    </w:p>
    <w:p>
      <w:pPr>
        <w:spacing w:line="420" w:lineRule="exact"/>
        <w:ind w:firstLine="492"/>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(1)评分范围：通过符合性审查的所有投标文件进入评分范围。</w:t>
      </w:r>
    </w:p>
    <w:p>
      <w:pPr>
        <w:spacing w:line="420" w:lineRule="exact"/>
        <w:ind w:firstLine="492"/>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(2)报价平均值：进入评分范围的所有投标人的评标价的算术平均值为报价平均值(其中，投标评标价在5个至7个时，去除一个最高价和一个最低价；投标评标价在8个及以上时，去除一个最高、次高价和一个最低、次低价)。</w:t>
      </w:r>
    </w:p>
    <w:p>
      <w:pPr>
        <w:spacing w:line="420" w:lineRule="exact"/>
        <w:ind w:firstLine="492"/>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(3)评标基准值：</w:t>
      </w:r>
    </w:p>
    <w:p>
      <w:pPr>
        <w:spacing w:line="420" w:lineRule="exact"/>
        <w:ind w:firstLine="492"/>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a.由招标人代表在开标</w:t>
      </w:r>
      <w:r>
        <w:rPr>
          <w:rFonts w:hint="eastAsia" w:ascii="宋体" w:hAnsi="宋体" w:eastAsia="宋体" w:cs="宋体"/>
          <w:color w:val="000000" w:themeColor="text1"/>
          <w:sz w:val="23"/>
          <w:szCs w:val="23"/>
          <w14:textFill>
            <w14:solidFill>
              <w14:schemeClr w14:val="tx1"/>
            </w14:solidFill>
          </w14:textFill>
        </w:rPr>
        <w:t>室</w:t>
      </w:r>
      <w:r>
        <w:rPr>
          <w:rFonts w:ascii="宋体" w:hAnsi="宋体" w:eastAsia="宋体" w:cs="宋体"/>
          <w:color w:val="000000" w:themeColor="text1"/>
          <w:sz w:val="23"/>
          <w:szCs w:val="23"/>
          <w14:textFill>
            <w14:solidFill>
              <w14:schemeClr w14:val="tx1"/>
            </w14:solidFill>
          </w14:textFill>
        </w:rPr>
        <w:t>从</w:t>
      </w:r>
      <w:r>
        <w:rPr>
          <w:rFonts w:hint="eastAsia" w:ascii="宋体" w:hAnsi="宋体" w:eastAsia="宋体" w:cs="宋体"/>
          <w:color w:val="000000" w:themeColor="text1"/>
          <w:sz w:val="23"/>
          <w:szCs w:val="23"/>
          <w:u w:val="single"/>
          <w14:textFill>
            <w14:solidFill>
              <w14:schemeClr w14:val="tx1"/>
            </w14:solidFill>
          </w14:textFill>
        </w:rPr>
        <w:t xml:space="preserve"> 2.0 </w:t>
      </w:r>
      <w:r>
        <w:rPr>
          <w:rFonts w:ascii="宋体" w:hAnsi="宋体" w:eastAsia="宋体" w:cs="宋体"/>
          <w:color w:val="000000" w:themeColor="text1"/>
          <w:sz w:val="23"/>
          <w:szCs w:val="23"/>
          <w14:textFill>
            <w14:solidFill>
              <w14:schemeClr w14:val="tx1"/>
            </w14:solidFill>
          </w14:textFill>
        </w:rPr>
        <w:t>%、</w:t>
      </w:r>
      <w:r>
        <w:rPr>
          <w:rFonts w:hint="eastAsia" w:ascii="宋体" w:hAnsi="宋体" w:eastAsia="宋体" w:cs="宋体"/>
          <w:color w:val="000000" w:themeColor="text1"/>
          <w:sz w:val="23"/>
          <w:szCs w:val="23"/>
          <w:u w:val="single"/>
          <w14:textFill>
            <w14:solidFill>
              <w14:schemeClr w14:val="tx1"/>
            </w14:solidFill>
          </w14:textFill>
        </w:rPr>
        <w:t xml:space="preserve"> 2.5 </w:t>
      </w:r>
      <w:r>
        <w:rPr>
          <w:rFonts w:ascii="宋体" w:hAnsi="宋体" w:eastAsia="宋体" w:cs="宋体"/>
          <w:color w:val="000000" w:themeColor="text1"/>
          <w:sz w:val="23"/>
          <w:szCs w:val="23"/>
          <w14:textFill>
            <w14:solidFill>
              <w14:schemeClr w14:val="tx1"/>
            </w14:solidFill>
          </w14:textFill>
        </w:rPr>
        <w:t>%、</w:t>
      </w:r>
      <w:r>
        <w:rPr>
          <w:rFonts w:hint="eastAsia" w:ascii="宋体" w:hAnsi="宋体" w:eastAsia="宋体" w:cs="宋体"/>
          <w:color w:val="000000" w:themeColor="text1"/>
          <w:sz w:val="23"/>
          <w:szCs w:val="23"/>
          <w:u w:val="single"/>
          <w14:textFill>
            <w14:solidFill>
              <w14:schemeClr w14:val="tx1"/>
            </w14:solidFill>
          </w14:textFill>
        </w:rPr>
        <w:t xml:space="preserve"> 3.0 </w:t>
      </w:r>
      <w:r>
        <w:rPr>
          <w:rFonts w:ascii="宋体" w:hAnsi="宋体" w:eastAsia="宋体" w:cs="宋体"/>
          <w:color w:val="000000" w:themeColor="text1"/>
          <w:sz w:val="23"/>
          <w:szCs w:val="23"/>
          <w14:textFill>
            <w14:solidFill>
              <w14:schemeClr w14:val="tx1"/>
            </w14:solidFill>
          </w14:textFill>
        </w:rPr>
        <w:t>%、</w:t>
      </w:r>
      <w:r>
        <w:rPr>
          <w:rFonts w:hint="eastAsia" w:ascii="宋体" w:hAnsi="宋体" w:eastAsia="宋体" w:cs="宋体"/>
          <w:color w:val="000000" w:themeColor="text1"/>
          <w:sz w:val="23"/>
          <w:szCs w:val="23"/>
          <w:u w:val="single"/>
          <w14:textFill>
            <w14:solidFill>
              <w14:schemeClr w14:val="tx1"/>
            </w14:solidFill>
          </w14:textFill>
        </w:rPr>
        <w:t xml:space="preserve"> 3.5 </w:t>
      </w:r>
      <w:r>
        <w:rPr>
          <w:rFonts w:ascii="宋体" w:hAnsi="宋体" w:eastAsia="宋体" w:cs="宋体"/>
          <w:color w:val="000000" w:themeColor="text1"/>
          <w:sz w:val="23"/>
          <w:szCs w:val="23"/>
          <w14:textFill>
            <w14:solidFill>
              <w14:schemeClr w14:val="tx1"/>
            </w14:solidFill>
          </w14:textFill>
        </w:rPr>
        <w:t>%、</w:t>
      </w:r>
      <w:r>
        <w:rPr>
          <w:rFonts w:hint="eastAsia" w:ascii="宋体" w:hAnsi="宋体" w:eastAsia="宋体" w:cs="宋体"/>
          <w:color w:val="000000" w:themeColor="text1"/>
          <w:sz w:val="23"/>
          <w:szCs w:val="23"/>
          <w:u w:val="single"/>
          <w14:textFill>
            <w14:solidFill>
              <w14:schemeClr w14:val="tx1"/>
            </w14:solidFill>
          </w14:textFill>
        </w:rPr>
        <w:t xml:space="preserve"> 4.0 </w:t>
      </w:r>
      <w:r>
        <w:rPr>
          <w:rFonts w:ascii="宋体" w:hAnsi="宋体" w:eastAsia="宋体" w:cs="宋体"/>
          <w:color w:val="000000" w:themeColor="text1"/>
          <w:sz w:val="23"/>
          <w:szCs w:val="23"/>
          <w14:textFill>
            <w14:solidFill>
              <w14:schemeClr w14:val="tx1"/>
            </w14:solidFill>
          </w14:textFill>
        </w:rPr>
        <w:t>%、</w:t>
      </w:r>
      <w:r>
        <w:rPr>
          <w:rFonts w:hint="eastAsia" w:ascii="宋体" w:hAnsi="宋体" w:eastAsia="宋体" w:cs="宋体"/>
          <w:color w:val="000000" w:themeColor="text1"/>
          <w:sz w:val="23"/>
          <w:szCs w:val="23"/>
          <w:u w:val="single"/>
          <w14:textFill>
            <w14:solidFill>
              <w14:schemeClr w14:val="tx1"/>
            </w14:solidFill>
          </w14:textFill>
        </w:rPr>
        <w:t xml:space="preserve"> 4.5 </w:t>
      </w:r>
      <w:r>
        <w:rPr>
          <w:rFonts w:ascii="宋体" w:hAnsi="宋体" w:eastAsia="宋体" w:cs="宋体"/>
          <w:color w:val="000000" w:themeColor="text1"/>
          <w:sz w:val="23"/>
          <w:szCs w:val="23"/>
          <w14:textFill>
            <w14:solidFill>
              <w14:schemeClr w14:val="tx1"/>
            </w14:solidFill>
          </w14:textFill>
        </w:rPr>
        <w:t>%、</w:t>
      </w:r>
      <w:r>
        <w:rPr>
          <w:rFonts w:hint="eastAsia" w:ascii="宋体" w:hAnsi="宋体" w:eastAsia="宋体" w:cs="宋体"/>
          <w:color w:val="000000" w:themeColor="text1"/>
          <w:sz w:val="23"/>
          <w:szCs w:val="23"/>
          <w:u w:val="single"/>
          <w14:textFill>
            <w14:solidFill>
              <w14:schemeClr w14:val="tx1"/>
            </w14:solidFill>
          </w14:textFill>
        </w:rPr>
        <w:t xml:space="preserve"> 5.0 </w:t>
      </w:r>
      <w:r>
        <w:rPr>
          <w:rFonts w:ascii="宋体" w:hAnsi="宋体" w:eastAsia="宋体" w:cs="宋体"/>
          <w:color w:val="000000" w:themeColor="text1"/>
          <w:sz w:val="23"/>
          <w:szCs w:val="23"/>
          <w14:textFill>
            <w14:solidFill>
              <w14:schemeClr w14:val="tx1"/>
            </w14:solidFill>
          </w14:textFill>
        </w:rPr>
        <w:t>%中随机抽取一个百分数，作为下浮值；</w:t>
      </w:r>
      <w:r>
        <w:rPr>
          <w:rStyle w:val="33"/>
          <w:rFonts w:hint="eastAsia" w:eastAsia="宋体"/>
        </w:rPr>
        <w:t>（招标人可在0%-10%范围内设定不少于5个数值，间距不少于3%，步长不低于0.5%）</w:t>
      </w:r>
    </w:p>
    <w:p>
      <w:pPr>
        <w:spacing w:line="420" w:lineRule="exact"/>
        <w:ind w:firstLine="492"/>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b.评标委员会按以下公式计算出评标基准价：</w:t>
      </w:r>
    </w:p>
    <w:p>
      <w:pPr>
        <w:spacing w:before="128" w:line="227" w:lineRule="auto"/>
        <w:ind w:left="48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评标基准价=报价平均值×(1-下浮值)</w:t>
      </w:r>
    </w:p>
    <w:p>
      <w:pPr>
        <w:spacing w:before="157" w:line="227" w:lineRule="auto"/>
        <w:ind w:left="492"/>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(4)根据投标文件的投标评标价与评标基准价对比，计算投标人的商务报价的得分</w:t>
      </w:r>
    </w:p>
    <w:p>
      <w:pPr>
        <w:spacing w:before="157" w:line="227" w:lineRule="auto"/>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值。</w:t>
      </w:r>
    </w:p>
    <w:p>
      <w:pPr>
        <w:spacing w:before="132" w:line="229" w:lineRule="auto"/>
        <w:ind w:left="19"/>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即：</w:t>
      </w:r>
    </w:p>
    <w:p>
      <w:pPr>
        <w:spacing w:before="156" w:line="439" w:lineRule="exact"/>
        <w:ind w:left="482"/>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5"/>
          <w:sz w:val="23"/>
          <w:szCs w:val="23"/>
          <w14:textFill>
            <w14:solidFill>
              <w14:schemeClr w14:val="tx1"/>
            </w14:solidFill>
          </w14:textFill>
        </w:rPr>
        <w:t>a.投标评标价等于评标基准价时，得满分(</w:t>
      </w:r>
      <w:r>
        <w:rPr>
          <w:rFonts w:hint="eastAsia" w:ascii="宋体" w:hAnsi="宋体" w:eastAsia="宋体" w:cs="宋体"/>
          <w:color w:val="000000" w:themeColor="text1"/>
          <w:position w:val="15"/>
          <w:sz w:val="23"/>
          <w:szCs w:val="23"/>
          <w14:textFill>
            <w14:solidFill>
              <w14:schemeClr w14:val="tx1"/>
            </w14:solidFill>
          </w14:textFill>
        </w:rPr>
        <w:t>40</w:t>
      </w:r>
      <w:r>
        <w:rPr>
          <w:rFonts w:ascii="宋体" w:hAnsi="宋体" w:eastAsia="宋体" w:cs="宋体"/>
          <w:color w:val="000000" w:themeColor="text1"/>
          <w:position w:val="15"/>
          <w:sz w:val="23"/>
          <w:szCs w:val="23"/>
          <w14:textFill>
            <w14:solidFill>
              <w14:schemeClr w14:val="tx1"/>
            </w14:solidFill>
          </w14:textFill>
        </w:rPr>
        <w:t>分)；</w:t>
      </w:r>
    </w:p>
    <w:p>
      <w:pPr>
        <w:spacing w:line="228" w:lineRule="auto"/>
        <w:ind w:left="478"/>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b.投标评标价每低于评标基准价1个百分点，扣0.5分；</w:t>
      </w:r>
    </w:p>
    <w:p>
      <w:pPr>
        <w:spacing w:before="155" w:line="228" w:lineRule="auto"/>
        <w:ind w:left="486"/>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c.投标评标价每高于评标基准价1个百分点，扣1分。</w:t>
      </w:r>
    </w:p>
    <w:p>
      <w:pPr>
        <w:spacing w:before="158" w:line="353" w:lineRule="auto"/>
        <w:ind w:left="11" w:right="79" w:firstLine="460" w:firstLineChars="20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以上报价得分不足一个百分点时，使用直线插入法计算，保留小数2位。投标文件的商务标评分不足10分的，计为10分。</w:t>
      </w:r>
    </w:p>
    <w:p>
      <w:pPr>
        <w:spacing w:line="228" w:lineRule="auto"/>
        <w:ind w:left="493"/>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(五)投标文件的综合评分：</w:t>
      </w:r>
      <w:r>
        <w:rPr>
          <w:rFonts w:ascii="宋体" w:hAnsi="宋体" w:eastAsia="宋体" w:cs="宋体"/>
          <w:color w:val="000000" w:themeColor="text1"/>
          <w:sz w:val="23"/>
          <w:szCs w:val="23"/>
          <w14:textFill>
            <w14:solidFill>
              <w14:schemeClr w14:val="tx1"/>
            </w14:solidFill>
          </w14:textFill>
        </w:rPr>
        <w:t>投标文件的资信业绩评分、技术评分、商务评分的总和。</w:t>
      </w:r>
    </w:p>
    <w:p>
      <w:pPr>
        <w:spacing w:before="157" w:line="229" w:lineRule="auto"/>
        <w:ind w:left="493"/>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(六)对投标人进行排序，推荐中标候选人</w:t>
      </w:r>
    </w:p>
    <w:p>
      <w:pPr>
        <w:spacing w:before="154" w:line="353" w:lineRule="auto"/>
        <w:ind w:right="65" w:firstLine="498"/>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000000" w:themeColor="text1"/>
          <w:sz w:val="23"/>
          <w:szCs w:val="23"/>
          <w14:textFill>
            <w14:solidFill>
              <w14:schemeClr w14:val="tx1"/>
            </w14:solidFill>
          </w14:textFill>
        </w:rPr>
        <w:t>☑</w:t>
      </w:r>
      <w:r>
        <w:rPr>
          <w:rFonts w:ascii="宋体" w:hAnsi="宋体" w:eastAsia="宋体" w:cs="宋体"/>
          <w:color w:val="000000" w:themeColor="text1"/>
          <w:sz w:val="23"/>
          <w:szCs w:val="23"/>
          <w14:textFill>
            <w14:solidFill>
              <w14:schemeClr w14:val="tx1"/>
            </w14:solidFill>
          </w14:textFill>
        </w:rPr>
        <w:t>抽签(或</w:t>
      </w:r>
      <w:r>
        <w:rPr>
          <w:rFonts w:hint="eastAsia" w:ascii="宋体" w:hAnsi="宋体" w:eastAsia="宋体" w:cs="宋体"/>
          <w:color w:val="000000" w:themeColor="text1"/>
          <w:sz w:val="23"/>
          <w:szCs w:val="23"/>
          <w14:textFill>
            <w14:solidFill>
              <w14:schemeClr w14:val="tx1"/>
            </w14:solidFill>
          </w14:textFill>
        </w:rPr>
        <w:t>□</w:t>
      </w:r>
      <w:r>
        <w:rPr>
          <w:rFonts w:ascii="宋体" w:hAnsi="宋体" w:eastAsia="宋体" w:cs="宋体"/>
          <w:color w:val="000000" w:themeColor="text1"/>
          <w:sz w:val="23"/>
          <w:szCs w:val="23"/>
          <w14:textFill>
            <w14:solidFill>
              <w14:schemeClr w14:val="tx1"/>
            </w14:solidFill>
          </w14:textFill>
        </w:rPr>
        <w:t>记名投票表决)方式排序。</w:t>
      </w:r>
    </w:p>
    <w:p>
      <w:pPr>
        <w:spacing w:before="1" w:line="228" w:lineRule="auto"/>
        <w:ind w:left="484"/>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2.评标委员会根据投标人须知前附表7.1规定，</w:t>
      </w:r>
      <w:r>
        <w:rPr>
          <w:rFonts w:ascii="宋体" w:hAnsi="宋体" w:eastAsia="宋体" w:cs="宋体"/>
          <w:strike/>
          <w:color w:val="000000" w:themeColor="text1"/>
          <w:sz w:val="23"/>
          <w:szCs w:val="23"/>
          <w14:textFill>
            <w14:solidFill>
              <w14:schemeClr w14:val="tx1"/>
            </w14:solidFill>
          </w14:textFill>
        </w:rPr>
        <w:t>确定中标人或</w:t>
      </w:r>
      <w:r>
        <w:rPr>
          <w:rFonts w:ascii="宋体" w:hAnsi="宋体" w:eastAsia="宋体" w:cs="宋体"/>
          <w:color w:val="000000" w:themeColor="text1"/>
          <w:sz w:val="23"/>
          <w:szCs w:val="23"/>
          <w14:textFill>
            <w14:solidFill>
              <w14:schemeClr w14:val="tx1"/>
            </w14:solidFill>
          </w14:textFill>
        </w:rPr>
        <w:t>推荐中标候选人。</w:t>
      </w:r>
    </w:p>
    <w:p>
      <w:pPr>
        <w:spacing w:before="154" w:line="238" w:lineRule="auto"/>
        <w:ind w:left="48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五、完成评标报告</w:t>
      </w:r>
    </w:p>
    <w:p>
      <w:pPr>
        <w:spacing w:before="154" w:line="353" w:lineRule="auto"/>
        <w:ind w:right="65" w:firstLine="498"/>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spacing w:before="1" w:line="226" w:lineRule="auto"/>
        <w:ind w:left="493"/>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(二)评标报告应包括以下内容：</w:t>
      </w:r>
    </w:p>
    <w:p>
      <w:pPr>
        <w:spacing w:before="157" w:line="441" w:lineRule="exact"/>
        <w:ind w:left="499"/>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5"/>
          <w:sz w:val="23"/>
          <w:szCs w:val="23"/>
          <w14:textFill>
            <w14:solidFill>
              <w14:schemeClr w14:val="tx1"/>
            </w14:solidFill>
          </w14:textFill>
        </w:rPr>
        <w:t>1.开标记录；</w:t>
      </w:r>
    </w:p>
    <w:p>
      <w:pPr>
        <w:spacing w:line="312" w:lineRule="exact"/>
        <w:ind w:left="484"/>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
          <w:sz w:val="23"/>
          <w:szCs w:val="23"/>
          <w14:textFill>
            <w14:solidFill>
              <w14:schemeClr w14:val="tx1"/>
            </w14:solidFill>
          </w14:textFill>
        </w:rPr>
        <w:t>2.评标内容、过程和结果；</w:t>
      </w:r>
    </w:p>
    <w:p>
      <w:pPr>
        <w:spacing w:before="128" w:line="309" w:lineRule="exact"/>
        <w:ind w:left="486"/>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
          <w:sz w:val="23"/>
          <w:szCs w:val="23"/>
          <w14:textFill>
            <w14:solidFill>
              <w14:schemeClr w14:val="tx1"/>
            </w14:solidFill>
          </w14:textFill>
        </w:rPr>
        <w:t>3.询标澄清纪要；</w:t>
      </w:r>
    </w:p>
    <w:p>
      <w:pPr>
        <w:spacing w:before="130" w:line="311" w:lineRule="exact"/>
        <w:ind w:left="48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
          <w:sz w:val="23"/>
          <w:szCs w:val="23"/>
          <w14:textFill>
            <w14:solidFill>
              <w14:schemeClr w14:val="tx1"/>
            </w14:solidFill>
          </w14:textFill>
        </w:rPr>
        <w:t>4.否决投标情况说明及依据；</w:t>
      </w:r>
    </w:p>
    <w:p>
      <w:pPr>
        <w:spacing w:before="130" w:line="310" w:lineRule="exact"/>
        <w:ind w:left="486"/>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
          <w:sz w:val="23"/>
          <w:szCs w:val="23"/>
          <w14:textFill>
            <w14:solidFill>
              <w14:schemeClr w14:val="tx1"/>
            </w14:solidFill>
          </w14:textFill>
        </w:rPr>
        <w:t>5.推荐中标候选人；</w:t>
      </w:r>
    </w:p>
    <w:p>
      <w:pPr>
        <w:spacing w:before="130" w:line="325" w:lineRule="auto"/>
        <w:ind w:left="10" w:firstLine="473"/>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6.中标候选人投标资格条件业绩和评分业绩(招标文件对投标资格或评分有业绩要求的)；</w:t>
      </w:r>
    </w:p>
    <w:p>
      <w:pPr>
        <w:spacing w:line="310" w:lineRule="exact"/>
        <w:ind w:left="48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position w:val="1"/>
          <w:sz w:val="23"/>
          <w:szCs w:val="23"/>
          <w14:textFill>
            <w14:solidFill>
              <w14:schemeClr w14:val="tx1"/>
            </w14:solidFill>
          </w14:textFill>
        </w:rPr>
        <w:t>7.其他建议。</w:t>
      </w:r>
    </w:p>
    <w:p>
      <w:pPr>
        <w:jc w:val="both"/>
        <w:rPr>
          <w:color w:val="000000" w:themeColor="text1"/>
          <w14:textFill>
            <w14:solidFill>
              <w14:schemeClr w14:val="tx1"/>
            </w14:solidFill>
          </w14:textFill>
        </w:rPr>
        <w:sectPr>
          <w:footerReference r:id="rId14" w:type="default"/>
          <w:pgSz w:w="11907" w:h="16840"/>
          <w:pgMar w:top="1418" w:right="1559" w:bottom="1418" w:left="1474" w:header="0" w:footer="723" w:gutter="0"/>
          <w:cols w:space="720" w:num="1"/>
        </w:sectPr>
      </w:pPr>
    </w:p>
    <w:p>
      <w:pPr>
        <w:spacing w:line="243" w:lineRule="auto"/>
        <w:jc w:val="both"/>
        <w:rPr>
          <w:color w:val="000000" w:themeColor="text1"/>
          <w14:textFill>
            <w14:solidFill>
              <w14:schemeClr w14:val="tx1"/>
            </w14:solidFill>
          </w14:textFill>
        </w:rPr>
      </w:pPr>
    </w:p>
    <w:p>
      <w:pPr>
        <w:spacing w:line="243" w:lineRule="auto"/>
        <w:jc w:val="both"/>
        <w:rPr>
          <w:color w:val="000000" w:themeColor="text1"/>
          <w14:textFill>
            <w14:solidFill>
              <w14:schemeClr w14:val="tx1"/>
            </w14:solidFill>
          </w14:textFill>
        </w:rPr>
      </w:pPr>
    </w:p>
    <w:p>
      <w:pPr>
        <w:spacing w:before="101" w:line="225" w:lineRule="auto"/>
        <w:jc w:val="center"/>
        <w:outlineLvl w:val="0"/>
        <w:rPr>
          <w:rFonts w:ascii="宋体" w:hAnsi="宋体" w:eastAsia="宋体" w:cs="宋体"/>
          <w:color w:val="000000" w:themeColor="text1"/>
          <w:sz w:val="31"/>
          <w:szCs w:val="31"/>
          <w14:textFill>
            <w14:solidFill>
              <w14:schemeClr w14:val="tx1"/>
            </w14:solidFill>
          </w14:textFill>
        </w:rPr>
      </w:pPr>
      <w:bookmarkStart w:id="44" w:name="_bookmark12"/>
      <w:bookmarkEnd w:id="44"/>
      <w:r>
        <w:rPr>
          <w:rFonts w:ascii="宋体" w:hAnsi="宋体" w:eastAsia="宋体" w:cs="宋体"/>
          <w:color w:val="000000" w:themeColor="text1"/>
          <w:sz w:val="31"/>
          <w:szCs w:val="31"/>
          <w14:textOutline w14:w="5791" w14:cap="sq" w14:cmpd="sng" w14:algn="ctr">
            <w14:solidFill>
              <w14:srgbClr w14:val="000000"/>
            </w14:solidFill>
            <w14:prstDash w14:val="solid"/>
            <w14:bevel/>
          </w14:textOutline>
          <w14:textFill>
            <w14:solidFill>
              <w14:schemeClr w14:val="tx1"/>
            </w14:solidFill>
          </w14:textFill>
        </w:rPr>
        <w:t>第四章合同条款及格式</w:t>
      </w:r>
    </w:p>
    <w:p>
      <w:pPr>
        <w:spacing w:line="360" w:lineRule="auto"/>
        <w:ind w:firstLine="462" w:firstLineChars="200"/>
        <w:jc w:val="both"/>
        <w:rPr>
          <w:rFonts w:ascii="宋体" w:hAnsi="宋体" w:eastAsia="宋体" w:cs="宋体"/>
          <w:b/>
          <w:bCs/>
          <w:color w:val="000000" w:themeColor="text1"/>
          <w:sz w:val="23"/>
          <w:szCs w:val="23"/>
          <w:lang w:bidi="ar"/>
          <w14:textFill>
            <w14:solidFill>
              <w14:schemeClr w14:val="tx1"/>
            </w14:solidFill>
          </w14:textFill>
        </w:rPr>
      </w:pPr>
    </w:p>
    <w:p>
      <w:pPr>
        <w:spacing w:line="360" w:lineRule="auto"/>
        <w:ind w:firstLine="462" w:firstLineChars="200"/>
        <w:jc w:val="both"/>
        <w:rPr>
          <w:rFonts w:ascii="宋体" w:hAnsi="宋体" w:eastAsia="宋体" w:cs="宋体"/>
          <w:b/>
          <w:bCs/>
          <w:color w:val="000000" w:themeColor="text1"/>
          <w:sz w:val="23"/>
          <w:szCs w:val="23"/>
          <w:lang w:bidi="ar"/>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第一节通用合同条款</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1.一般约定</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1.1词语定义</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除专用合同条款另有约定外，合同中的下列词语应具有本款所赋予的含义。</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1.1.1合同</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1.1.1.2合同协议书：指买方和卖方共同签署的合同协议书。</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1.1.1.3中标通知书：指买方通知卖方中标的函件。</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1.1.1.4投标函：指由卖方填写并签署的，名为“投标函”的函件。</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1.1.1.5商务和技术偏差表：指卖方投标文件中的商务和技术偏差表。</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1.1.1.6供货要求：指合同文件中名为“供货要求”的文件。</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1.1.1.7中标设备(材料)技术性能指标的详细描述：指卖方投标文件中的投标设备(材料)技术性能指标的详细描述。</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1.1.1.8技术服务和质保期服务计划：指卖方投标文件中的技术服务和质保期服务计划。</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1.1.1.9分项报价表：指卖方投标文件中的分项报价表。</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1.1.1.10其他合同文件：指经合同双方当事人确认构成合同文件的其他文件。</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1.1.2合同当事人</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1.1.2.1合同当事人：指买方和（或）卖方。</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1.1.2.2买方：指与卖方签订合同协议书，购买合同设备(材料)和技术服务和质保期服务的当事人，及其合法继承人。</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1.1.2.3卖方：指与买方签订合同协议书，提供合同设备(材料)和技术服务和质保期服务的当事人，及其合法继承人。</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1.1.3合同价格</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1.1.3.1签约合同价：是签订合同时合同协议书中写明的合同总金额。</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1.1.3.2合同价格：指卖方按合同约定履行了全部合同义务后，买方应付给卖方的金额。</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1.1.4合同设备(材料)：指卖方按合同约定应向买方提供的设备(材料)、装置、备品、备件、易损易耗件、配套使用的软件或其他辅助电子应用程序及技术资料，或其中任何一部分。</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1.1.5技术资料：指各种纸质及电子载体的与合同设备(材料)的设计、检验、安装、调试、考核、操作、维修以及保养等有关的技术指标、规格、图纸和说明文件。</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1.1.6安装：指对合同设备(材料)进行的组装、连接以及根据需要将合同设备(材料)固定在施工场地内一定的位置上，使其就位并与相关设备(材料)、工程实现连接。</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1.1.7调试：指在合同设备(材料)安装完成后，对合同设备(材料)所进行的调校和测试。</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1.1.8考核：指在合同设备(材料)调试完成后，对合同设备(材料)进行的用于确定其是否达到合同约定的技术性能考核指标的考核。</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1.1.9验收：指合同设备(材料)通过考核达到合同约定的技术性能考核指标后，买方作出接受合同设备(材料)的确认。</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1.1.10技术服务：指卖方按合同约定，在合同设备(材料)验收前，向买方提供的安装、调试服务，或者在由买方负责的安装、调试、考核中对买方进行的技术指导、协助、监督和培训等。</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1.1.11质量保证期：指合同设备(材料)验收后，卖方按合同约定保证合同设备(材料)适当、稳定运行，并负责消除合同设备(材料)故障的期限。</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1.1.12质保期服务：指在质量保证期内，卖方向买方提供的合同设备(材料)维护服务、咨询服务、技术指导、协助以及对出现故障的合同设备(材料)进行修理或更换的服务。</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1.1.13工程</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1.1.13.1工程：指在专用合同条款中指明的，安装运行合同设备(材料)的工程。</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1.1.13.2施工场地（或称工地、施工现场）：指专用合同条款中指明的工程所在场所。</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1.1.14天（或称日）：除特别指明外，指日历天。合同中按天计算时间的，开始当天不计入，从次日开始计算。合同约定的期间的最后一天是星期日或者其他法定休假日的，以休假日的次日为期间的最后一天。</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1.1.15月：按照公历月计算。合同中按月计算时间的，开始当天不计入，从次日开始计算。合同约定的期间的最后一天是星期日或者其他法定休假日的，以休假日的次日为期间的最后一天。</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1.1.16书面形式：指合同文件、信件和数据电文（包括电报、电传、传真、电子数据交换和电子邮件）等可以有形地表现所载内容的形式。</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1.2语言文字</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合同使用的语言文字为中文。专用术语使用外文的，应附有中文注释。</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1.3合同文件的优先顺序</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组成合同的各项文件应互相解释，互为说明。除专用合同条款另有约定外，解释合同文件的优先顺序如下：</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（1）合同协议书；</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（2）中标通知书；</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（3）投标函；</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（4）商务和技术偏差表；</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（5）专用合同条款；</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（6）通用合同条款；</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（7）供货要求；</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（8）分项报价表；</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（9）中标设备(材料)技术性能指标的详细描述；</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（10）技术服务和质保期服务计划；</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（11）其他合同文件。</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1.4合同的生效及变更</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1.4.1除专用合同条款另有约定外，买方和卖方的法定代表人（单位负责人）或其授权代表在合同协议书上签字并加盖单位章后，合同生效。</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1.4.2除专用合同条款另有约定外，在合同履行过程中，如需对合同进行变更，双方应签订书面协议，并经双方法定代表人（单位负责人）或其授权代表签字并加盖单位章后生效。</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1.5联络</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1.5.2合同履行中或与合同有关的任何联络，送达到第1.5.1项指定的联系人即视为送达。</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1.5.3买方可以安排监理等相关人员作为买方人员，与卖方进行联络或参加合同设备(材料)的监造（如有）、交货前检验（如有）、开箱检验、安装、调试、考核、验收等，但应按照第1.5.1项的约定事先书面通知卖方。</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1.6联合体</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1.6.1卖方为联合体的，联合体各方应当共同与买方签订合同，并向买方为履行合同承担连带责任。</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1.6.2在合同履行过程中，未经买方同意，不得修改联合体协议。联合体协议中关于联合体成员间权利义务的划分，并不影响或减损联合体各方应就履行合同向买方承担的连带责任。</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1.7转让</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未经对方当事人书面同意，合同任何一方均不得转让其在合同项下的权利和（或）义务。</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2.合同范围</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卖方应根据供货要求、中标设备(材料)技术性能指标的详细描述、技术服务和质保期服务计划等合同文件的约定向买方提供合同设备(材料)、技术服务和质保期服务。</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3.合同价格与支付</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3.1合同价格</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3.1.1合同协议书中载明的签约合同价包括卖方为完成合同全部义务应承担的一切成本、费用和支出以及卖方的合理利润。</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3.1.2除专用合同条款另有约定外，签约合同价为固定价格。</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3.2合同价款的支付</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除专用合同条款另有约定外，买方应通过以下方式和比例向卖方支付合同价款：</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3.2.1预付款</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合同生效后，买方在收到卖方开具的注明应付预付款金额的财务收据正本一份并经审核无误后28日内，向卖方支付签约合同价的10%作为预付款。买方支付预付款后，如卖方未履行合同义务，则买方有权收回预付款；如卖方依约履行了合同义务，则预付款抵作合同价款。</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3.2.2交货款</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卖方按合同约定交付全部合同设备(材料)后，买方在收到卖方提交的下列全部单据并经审核无误后28日内，向卖方支付合同价格的60%：</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（1）卖方出具的交货清单正本一份；</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（2）买方签署的收货清单正本一份；</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（3）制造商出具的出厂质量合格证正本一份；</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（4）合同价格100%金额的增值税发票正本一份。</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3.2.3验收款</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买方在收到卖方提交的买卖双方签署的合同设备(材料)验收证书或已生效的验收款支付函正本一份并经审核无误后28日内，向卖方支付合同价格的25%。</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3.2.4结清款</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买方在收到卖方提交的买方签署的质量保证期届满证书或已生效的结清款支付函正本一份并经审核无误后28日内，向卖方支付合同价格的5%。</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如果依照合同第9.1项，卖方应向买方支付费用的，买方有权从结清款中直接扣除该笔费用。</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除专用合同条款另有约定外，在买方向卖方支付验收款的同时或其后的任何时间内，卖方可在向买方提交买方可接受的金额为合同价格5%的合同结清款保函的前提下，要求买方支付合同结清款，买方不得拒绝。</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3.3买方扣款的权利</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当卖方应向买方支付合同项下的违约金或赔偿金时，买方有权从上述任何一笔应付款中予以直接扣除和（或）兑付履约保证金。</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4.监造及交货前检验</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4.1监造</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专用合同条款约定买方对合同设备(材料)进行监造的，双方应按本款及专用合同条款约定履行。</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4.1.1在合同设备(材料)的制造过程中，买方可派出监造人员，对合同设备(材料)的生产制造进行监造，</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监督合同设备(材料)制造、检验等情况。监造的范围、方式等应符合专用合同条款和（或）供货要求等合同文件的约定。</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4.1.3卖方制订生产制造合同设备(材料)的进度计划时，应将买方监造纳入计划安排，并提前通知买方；买方进行监造不应影响合同设备(材料)的正常生产。除专用合同条款和（或）供货要求等合同文件另有约定外，卖方应提前7日将需要买方监造人员现场监造事项通知买方；如买方监造人员未按通知出席，不影响合同设备(材料)及其关键部件的制造或检验，但买方监造人员有权事后了解、查阅、复制相关制造或检验记录。</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4.1.4买方监造人员在监造中如发现合同设备(材料)及其关键部件不符合合同约定的标准，则有权提出意见和建议。卖方应采取必要措施消除合同设备(材料)的不符，由此增加的费用和（或）造成的延误由卖方负责。</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4.1.5买方监造人员对合同设备(材料)的监造，不视为对合同设备(材料)质量的确认，不影响卖方交货后买方依照合同约定对合同设备(材料)提出质量异议和（或）退货的权利，也不免除卖方依照合同约定对合同设备(材料)所应承担的任何义务或责任。</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4.2交货前检验</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专用合同条款约定买方参与交货前检验的，双方应按本款及专用合同条款约定履行。</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4.2.1合同设备(材料)交货前，卖方应会同买方代表根据合同约定对合同设备(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4.2.2除专用合同条款和（或）供货要求等合同文件另有约定外，卖方应提前7日将需要买方代表检验事项通知买方；如买方代表未按通知出席，不影响合同设备(材料)的检验。若卖方未依照合同约定提前通知买方而自行检验，则买方有权要求卖方暂停发货并重新进行检验，由此增加的费用和（或）造成的延误由卖方负责。</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4.2.3买方代表在检验中如发现合同设备(材料)不符合合同约定的标准，则有权提出异议。卖方应采取必要措施消除合同设备(材料)的不符，由此增加的费用和（或）造成的延误由卖方负责。</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4.2.4买方代表参与交货前检验及签署交货前检验记录的行为，不视为对合同设备(材料)质量的确认，不影响卖方交货后买方依照合同约定对合同设备(材料)提出质量异议和（或）退货的权利，也不免除卖方依照合同约定对合同设备(材料)所应承担的任何义务或责任。</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5.包装、标记、运输和交付</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5.1包装</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5.1.1卖方应对合同设备(材料)进行妥善包装，以满足合同设备(材料)运至施工场地及在施工场地保管的需要。包装应采取防潮、防晒、防锈、防腐蚀、防震动及防止其它损坏的必要保护措施，从而保护合同设备(材料)能够经受多次搬运、装卸、长途运输并适宜保管。</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5.1.2每个独立包装箱内应附装箱清单、质量合格证、装配图、说明书、操作指南等资料。</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5.1.3除专用合同条款另有约定外，买方无需将包装物退还给卖方。</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5.2标记</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5.2.1除专用合同条款另有约定外，卖方应在每一包装箱相邻的四个侧面以不可擦除的、明显的方式标记必要的装运信息和标记，以满足合同设备(材料)运输和保管的需要。</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5.2.2根据合同设备(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材料)中含有易燃易爆物品、腐蚀物品、放射性物质等危险品，则应在包装箱上标明危险品标志。</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5.3运输</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5.3.1卖方应自行选择适宜的运输工具及线路安排合同设备(材料)运输。</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5.3.2除专用合同条款另有约定外，每件能够独立运行的设备(材料)应整套装运。该设备(材料)安装、调试、考核和运行所使用的备品、备件、易损易耗件等应随相关的主机一齐装运。</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5.3.3除专用合同条款另有约定外，卖方应在合同设备(材料)预计启运7日前，将合同设备(材料)名称、数量、箱数、总毛重、总体积（用m</w:t>
      </w:r>
      <w:r>
        <w:rPr>
          <w:rFonts w:hint="eastAsia" w:ascii="宋体" w:hAnsi="宋体" w:eastAsia="宋体" w:cs="宋体"/>
          <w:color w:val="000000" w:themeColor="text1"/>
          <w:sz w:val="23"/>
          <w:szCs w:val="23"/>
          <w:vertAlign w:val="superscript"/>
          <w:lang w:bidi="ar"/>
          <w14:textFill>
            <w14:solidFill>
              <w14:schemeClr w14:val="tx1"/>
            </w14:solidFill>
          </w14:textFill>
        </w:rPr>
        <w:t>3</w:t>
      </w:r>
      <w:r>
        <w:rPr>
          <w:rFonts w:hint="eastAsia" w:ascii="宋体" w:hAnsi="宋体" w:eastAsia="宋体" w:cs="宋体"/>
          <w:color w:val="000000" w:themeColor="text1"/>
          <w:sz w:val="23"/>
          <w:szCs w:val="23"/>
          <w:lang w:bidi="ar"/>
          <w14:textFill>
            <w14:solidFill>
              <w14:schemeClr w14:val="tx1"/>
            </w14:solidFill>
          </w14:textFill>
        </w:rPr>
        <w:t>表示）、每箱尺寸（长×宽×高）、装运合同设备(材料)总金额、运输方式、预计交付日期和合同设备(材料)在运输、装卸、保管中的注意事项等预通知买方，并在合同设备(材料)启运后24小时之内正式通知买方。</w:t>
      </w:r>
    </w:p>
    <w:p>
      <w:pPr>
        <w:spacing w:line="360" w:lineRule="auto"/>
        <w:ind w:firstLine="460" w:firstLineChars="200"/>
        <w:jc w:val="both"/>
        <w:rPr>
          <w:rFonts w:ascii="宋体" w:hAnsi="宋体" w:eastAsia="宋体" w:cs="宋体"/>
          <w:color w:val="000000" w:themeColor="text1"/>
          <w:sz w:val="23"/>
          <w:szCs w:val="23"/>
          <w:lang w:bidi="ar"/>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5.3.4卖方在根据第5.3.3项进行通知时，如果发运合同设备(材料)中包括专用合同条款约定的超大超重包装，则卖方应将超大和（或）超重的每个包装箱的重量和尺寸通知买方；如果发运合同设备(材料)中包括易燃易爆物品、腐蚀物品、放射性物质等危险品，则危险品的品名、性质、在运输、装卸、保管方面的特殊要求、注意事项和处理意外情况的方法等，也应一并通知买方。</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5.4交付</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5.4.1除专用合同条款另有约定外，卖方应根据合同约定的交付时间和批次在施工场地车面上将合同设备(材料)交付给买方。买方对卖方交付的包装的合同设备(材料)的外观及件数进行清点核验后应签发收货清单，并自负风险和费用进行卸货。买方签发收货清单不代表对合同设备(材料)的接受，双方还应按合同约定进行后续的检验和验收。</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5.4.2合同设备(材料)的所有权和风险自交付时起由卖方转移至买方，合同设备(材料)交付给买方之前包括运输在内的所有风险均由卖方承担。</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6.开箱检验、安装、调试、考核、验收</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6.1开箱检验</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6.1.1合同设备(材料)交付后应进行开箱检验，即合同设备(材料)数量及外观检验。开箱检验在专用合同</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条款约定的下列任一种时间进行：</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（1）合同设备(材料)交付时；</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（2）合同设备(材料)交付后的一定期限内。如开箱检验不在合同设备(材料)交付时进行，买方应在开箱检验3日前将开箱检验的时间和地点通知卖方。</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6.1.2除专用合同条款另有约定外，合同设备(材料)的开箱检验应在施工场地进行。</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6.1.3开箱检验由买卖双方共同进行，卖方应自负费用派遣代表到场参加开箱检验。</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6.1.4在开箱检验中，买方和卖方应共同签署数量、外观检验报告，报告应列明检验结果，包括检验合格或发现的任何短缺、损坏或其它与合同约定不符的情形。</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6.1.6如开箱检验不在合同设备(材料)交付时进行，则合同设备(材料)交付以后到开箱检验之前，应由买方负责按交货时外包装原样对合同设备(材料)进行妥善保管。除专用合同条款另有约定外，在开箱检验时如果合同设备(材料)外包装与交货时一致，则开箱检验中发现的合同设备(材料)的短缺、损坏或其它与合同约定不符的情形，由卖方负责，卖方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它与合同约定不符的情形的风险，由买方承担，但买方能够证明是由于卖方原因或合同设备(材料)交付前非买方原因导致的除外。</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6.1.8开箱检验的检验结果不能对抗在合同设备(材料)的安装、调试、考核、验收中及质量保证期内发现的合同设备(材料)质量问题，也不能免除或影响卖方依照合同约定对买方负有的包括合同设备(材料)质量在内的任何义务或责任。</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6.2安装、调试</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6.2.1开箱检验完成后，双方应对合同设备(材料)进行安装、调试，以使其具备考核的状态。安装、调试应按照专用合同条款约定的下列任一种方式进行：</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（1）卖方按照合同约定完成合同设备(材料)的安装、调试工作；</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2）买方或买方安排第三方负责合同设备(材料)的安装、调试工作，卖方提供技术服务。除专用合同条款另有约定外，在安装、调试过程中，如由于买方或买方安排的第三方未按照卖方现场服务人员的指导导致安装、调试不成功和（或）出现合同设备(材料)损坏，买方应自行承担责任。如在买方或买方安排的第三方按照卖方现场服务人员的指导进行安装、调试的情况下出现安装、调试不成功和（或）造成合同设备(材料)损坏的情况，卖方应承担责任。</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6.2.2除专用合同条款另有约定外，安装、调试中合同设备(材料)运行需要的用水、用电、其他动力和原材料（如需要）等均由买方承担。</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6.2.3双方应对合同设备(材料)的安装、调试情况共同及时进行记录。</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6.3考核</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买方承担。</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6.3.2如由于卖方原因合同设备(材料)在考核中未能达到合同约定的技术性能考核指标，则卖方应在双方同意的期限内采取措施消除合同设备(材料)中存在的缺陷，并在缺陷消除以后，尽快进行再次考核。</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材料)的最低技术性能考核指标，且合同设备(材料)达到了最低技术性能考核指标的，视为合同设备(材料)已达到技术性能考核指标，买方无权解除合同，且应接受合同设备(材料)，但卖方应按专用合同条款的约定进行减价或向买方支付补偿金。</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6.3.4如由于买方原因合同设备(材料)在考核中未能达到合同约定的技术性能考核指标，则卖方应协助买方安排再次考核。由于买方原因未能达到技术性能考核指标时，为买方进行考核的机会不超过三次。</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6.3.5考核期间，双方应及时共同记录合同设备(材料)的用水、用电、其他动力和原材料（如有）的使用及设备(材料)考核情况。对于未达到技术性能考核指标的，应如实记录设备(材料)表现、可能原因及处理情况等。</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6.4验收</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6.4.1如合同设备(材料)在考核中达到或视为达到技术性能考核指标，则买卖双方应在考核完成后7日内或专用合同条款另行约定的时间内签署合同设备(材料)验收证书一式二份，双方各持一份。验收日期应为合同设备(材料)达到或视为达到技术性能考核指标的日期。</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6.4.2如由于买方原因合同设备(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材料)达到技术性能考核指标。买方应承担卖方因此产生的全部费用。在上述12个月的期限内，如合同设备(材料)经过考核达到或视为达到技术性能考核指标，则买卖双方应按照第6.4.1项的约定签署合同设备(材料)验收证书。</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6.4.3除专用合同条款另有约定外，如由于买方原因在最后一批合同设备(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材料)达到技术性能考核指标，且买方无需因此向卖方支付费用。在上述6个月的期限内，如合同设备(材料)经过考核达到或视为达到技术性能考核指标，则买卖双方应按照第6.4.1项的约定签署合同设备(材料)验收证书。</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6.4.4在第6.4.2项和第6.4.3项情形下，卖方也可单方签署验收款支付函提交买方，如果买方在收到卖方签署的验收款支付函后14日内未向卖方提出书面异议，则验收款支付函自签署之日起生效。</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6.4.5合同设备(材料)验收证书的签署不能免除卖方在质量保证期内对合同设备(材料)应承担的保证责任。</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7.技术服务</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7.1卖方应派遣技术熟练、称职的技术人员到施工场地为买方提供技术服务。卖方的技术服务应符合合同的约定。</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7.2买方应免费为卖方技术人员提供工作条件及便利，包括但不限于必要的办公场所、技术资料及出入许可等。除专用合同条款另有约定外，卖方技术人员的交通、食宿费用由卖方承担。</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7.3卖方技术人员应遵守买方施工现场的各项规章制度和安全操作规程，并服从买方的现场管理。</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7.4如果任何技术人员不合格，买方有权要求卖方撤换，因撤换而产生的费用应由卖方承担。在不影响技术服务并且征得买方同意的条件下，卖方也可自负费用更换其技术人员。</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8.质量保证期</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8.1除专用合同条款和（或）供货要求等合同文件另有约定外，合同设备(材料)整体质量保证期为验收之日起12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pPr>
        <w:spacing w:line="360" w:lineRule="auto"/>
        <w:ind w:firstLine="460" w:firstLineChars="200"/>
        <w:jc w:val="both"/>
        <w:rPr>
          <w:rFonts w:ascii="宋体" w:hAnsi="宋体" w:eastAsia="宋体" w:cs="宋体"/>
          <w:color w:val="000000" w:themeColor="text1"/>
          <w:sz w:val="23"/>
          <w:szCs w:val="23"/>
          <w:lang w:bidi="ar"/>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8.2在质量保证期内如果合同设备(材料)出现故障，卖方应自负费用提供质保期服务，对相关合同设备(材料)进行修理或更换以消除故障。更换的合同设备(材料)和（或）关键部件的质量保证期应重新计算。但如果合同设备(材料)的故障是由于买方原因造成的，则对合同设备(材料)进行修理和更换的费用应由买方承担。</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8.3质量保证期届满后，买方应在7日内或专用合同条款另行约定的时间内向卖方出具合同设备(材料)的质量保证期届满证书。</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8.4在合同第6.4.2项情形下，如在验收款支付函签署后12个月内由于买方原因合同设备(材料)仍未能达到技术性能考核指标，则买卖双方应在该12个月届满后7日内或专用合同条款另行约定的时间内签署结清款支付函。</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8.5在合同第6.4.3项情形下，如在验收款支付函签署后6个月内由于买方原因合同设备(材料)仍未进行考核或仍未达到技术性能考核指标，则买卖双方应在该6个月届满后7日内或专用合同条款另行约定的时间内签署结清款支付函。</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8.6在第8.4款和第8.5款情形下，卖方也可单方签署结清款支付函提交买方，如果买方在收到卖方签署的结清款支付函后14日内未向卖方提出书面异议，则结清款支付函自签署之日起生效。</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9.质保期服务</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9.1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9.2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9.3如果任何技术人员不合格，买方有权要求卖方撤换，因撤换而产生的费用应由卖方承担。在不影响质保期服务并且征得买方同意的条件下，卖方也可自负费用更换其技术人员。</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9.4除专用合同条款另有约定外，卖方应就在施工现场进行质保期服务的情况进行记录，记载合同设备(材料)故障发生的时间、原因及解决情况等，由买方签字确认，并在质量保证期结束后提交给买方。</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10.履约保证金</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除专用合同条款另有约定外，履约保证金自合同生效之日起生效，在合同设备(材料)验收证书或验收款支付函签署之日起28日后失效。如果卖方不履行合同约定的义务或其履行不符合合同的约定，买方有权扣划相应金额的履约保证金。</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11.保证</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11.1卖方保证其具有完全的能力履行本合同项下的全部义务。</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11.2卖方保证其所提供的合同设备(材料)及对合同的履行符合所有应适用的法律、行政法规、地方性法规、自治条例和单行条例、规章及其他规范性文件的强制性规定。</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11.3卖方保证其对合同设备(材料)的销售不损害任何第三方的合法权益和社会公众利益。任何第三方不会因卖方原因而基于所有权、抵押权、留置权或其他任何权利或事由对合同设备(材料)主张权利。</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11.4卖方保证合同设备(材料)符合合同约定的规格、标准、技术性能考核指标等，能够安全和稳定地运行，且合同设备(材料)（包括全部部件）全新、完整、未使用过，除非专用合同条款和（或）供货要求等合同文件另有约定。</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11.5卖方保证，卖方所提供的技术资料完整、清晰、准确，符合合同约定并且能够满足合同设备(材料)的安装、调试、考核、操作以及维修和保养的需要。</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11.6卖方保证合同范围内提供的备品备件能够满足合同设备(材料)在质量保证期结束前正常运行及维修的需要，如在质量保证期结束前因卖方原因出现备品备件短缺影响合同设备(材料)正常运行的，卖方应免费提供。</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11.7除专用合同条款和（或）供货要求等合同文件另有约定外，如果在合同设备(材料)设计使用寿命期内发生合同项下备品备件停止生产的情况，卖方应事先将拟停止生产的计划通知买方，使买方有足够的时间考虑备品备件的需求量。根据买方要求，卖方应：</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（1）以不高于同期市场价格或其向任何第三方销售同类产品的价格提供合同设备(材料)正常运行所需的全部备品备件。或</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2）免费提供可供买方或第三方制造停产备品备件所需的全部技术资料，以便买方持续获得上述备品备件以满足合同设备(材料)在寿命期内正常运行的需要。卖方保证买方或买方委托的第三方制造及买方使用这些备品备件不侵犯任何人的知识产权。</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11.8卖方保证，在合同设备(材料)设计使用寿命期内，如果卖方发现合同设备(材料)由于设计、制造、标识等原因存在足以危及人身、财产安全的缺陷，卖方将及时通知买方并及时采取修正或者补充标识、修理、更换等措施消除缺陷。</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12.知识产权</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12.1买方在履行合同过程中提供给卖方的全部图纸、文件和其他含有数据和信息的资料，其知识产权属于买方。</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12.2除专用合同条款另有约定外，买方不因签署和履行合同而享有卖方在履行合同过程中提供给买方的图纸、文件、配套软件、电子辅助程序和其他含有数据和信息的资料的知识产权。</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12.3如合同设备(材料)涉及知识产权，则卖方保证买方在使用合同设备(材料)过程中免于受到第三方提出的有关知识产权侵权的主张、索赔或诉讼的伤害。</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13.保密</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合同双方应对因履行合同而取得的另一方当事人的信息、资料等予以保密。未经另一方当事人书面同意，任何一方均不得为与履行合同无关的目的使用或向第三方披露另一方当事人提供的信息、资料。</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合同当事人的保密义务不适用于下列信息：</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（1）非因接受信息一方的过失现在或以后进入公共领域的信息；</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（2）接受信息一方当事人合法地从第三方获得并且据其善意了解第三方也不对此承担保密义务的信息；</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（3）法律或法律的执行要求披露的信息。</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14.违约责任</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14.1合同一方不履行合同义务、履行合同义务不符合约定或者违反合同项下所作保证的，应向对方承担继续履行、采取修理、更换、退货等补救措施或者赔偿损失等违约责任。</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14.2卖方未能按时交付合同设备(材料)（包括仅迟延交付技术资料但足以导致合同设备(材料)安装、调试、考核、验收工作推迟的）的，应向买方支付迟延交付违约金。除专用合同条款另有约定外，迟延交付违约金的计算方法如下：</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（1）从迟交的第一周到第四周，每周迟延交付违约金为迟交合同设备(材料)价格的0.5%；</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（2）从迟交的第五周到第八周，每周迟延交付违约金为迟交合同设备(材料)价格的1%；</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从迟交第九周起，每周迟延交付违约金为迟交合同设备(材料)价格的1.5%。在计算迟延交付违约金时，迟交不足一周的按一周计算。迟延交付违约金的总额不得超过合同价格的10%。迟延交付违约金的支付不能免除卖方继续交付相关合同设备(材料)的义务，但如迟延交付必然导致合同设备(材料)安装、调试、考核、验收工作推迟的，相关工作应相应顺延。</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14.3买方未能按合同约定支付合同价款的，应向卖方支付延迟付款违约金。除专用合同条款另有约定外，迟延付款违约金的计算方法如下：</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（1）从迟付的第一周到第四周，每周迟延付款违约金为迟延付款金额的0.5%；</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（2）从迟付的第五周到第八周，每周迟延付款违约金为迟延付款金额的1%；</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（3）从迟付第九周起，每周迟延付款违约金为迟延付款金额的1.5%。在计算迟延付款违约金时，迟付不足一周的按一周计算。迟延付款违约金的总额不得超过合同价格的10%。</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15.合同的解除</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除专用合同条款另有约定外，有下述情形之一，当事人可发出书面通知全部或部分地解除合同，合同自通知到达对方时全部或部分地解除：</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（1）卖方迟延交付合同设备(材料)超过3个月；</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2）合同设备(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（3）买方迟延付款超过3个月；</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（5）合同一方当事人出现破产、清算、资不抵债、成为失信被执行人等可能丧失履约能力的情形，且未能提供令对方满意的履约保证金。</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16.不可抗力</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16.2受不可抗力事件影响的一方当事人对于不可抗力事件导致的任何合同义务的迟延履行或不能履行不承担违约责任。但该方当事人应尽快将不可抗力事件结束或消除的情况通知另一方当事人。</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pPr>
        <w:spacing w:line="360" w:lineRule="auto"/>
        <w:ind w:firstLine="462"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17.争议的解决</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因本合同引起的或与本合同有关的任何争议,双方可通过友好协商解决。友好协商解决不成的，可在专用合同条款中约定下列一种方式解决：</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（1）向约定的仲裁委员会申请仲裁；</w:t>
      </w:r>
    </w:p>
    <w:p>
      <w:pPr>
        <w:spacing w:line="360" w:lineRule="auto"/>
        <w:ind w:firstLine="460" w:firstLineChars="200"/>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lang w:bidi="ar"/>
          <w14:textFill>
            <w14:solidFill>
              <w14:schemeClr w14:val="tx1"/>
            </w14:solidFill>
          </w14:textFill>
        </w:rPr>
        <w:t>（2）向有管辖权的人民法院提起诉讼。</w:t>
      </w:r>
    </w:p>
    <w:p>
      <w:pPr>
        <w:spacing w:line="360" w:lineRule="auto"/>
        <w:ind w:firstLine="462" w:firstLineChars="200"/>
        <w:jc w:val="both"/>
        <w:rPr>
          <w:rFonts w:ascii="宋体" w:hAnsi="宋体" w:eastAsia="宋体" w:cs="宋体"/>
          <w:b/>
          <w:bCs/>
          <w:color w:val="000000" w:themeColor="text1"/>
          <w:sz w:val="23"/>
          <w:szCs w:val="23"/>
          <w:lang w:bidi="ar"/>
          <w14:textFill>
            <w14:solidFill>
              <w14:schemeClr w14:val="tx1"/>
            </w14:solidFill>
          </w14:textFill>
        </w:rPr>
      </w:pPr>
    </w:p>
    <w:p>
      <w:pPr>
        <w:spacing w:line="360" w:lineRule="auto"/>
        <w:ind w:firstLine="462" w:firstLineChars="200"/>
        <w:jc w:val="both"/>
        <w:rPr>
          <w:rFonts w:ascii="宋体" w:hAnsi="宋体" w:eastAsia="宋体" w:cs="宋体"/>
          <w:b/>
          <w:bCs/>
          <w:color w:val="000000" w:themeColor="text1"/>
          <w:sz w:val="23"/>
          <w:szCs w:val="23"/>
          <w:lang w:bidi="ar"/>
          <w14:textFill>
            <w14:solidFill>
              <w14:schemeClr w14:val="tx1"/>
            </w14:solidFill>
          </w14:textFill>
        </w:rPr>
      </w:pPr>
    </w:p>
    <w:p>
      <w:pPr>
        <w:rPr>
          <w:rFonts w:ascii="宋体" w:hAnsi="宋体" w:eastAsia="宋体" w:cs="宋体"/>
          <w:b/>
          <w:bCs/>
          <w:color w:val="000000" w:themeColor="text1"/>
          <w:sz w:val="23"/>
          <w:szCs w:val="23"/>
          <w:lang w:bidi="ar"/>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br w:type="page"/>
      </w:r>
    </w:p>
    <w:p>
      <w:pPr>
        <w:spacing w:line="360" w:lineRule="auto"/>
        <w:jc w:val="center"/>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b/>
          <w:bCs/>
          <w:color w:val="000000" w:themeColor="text1"/>
          <w:sz w:val="23"/>
          <w:szCs w:val="23"/>
          <w:lang w:bidi="ar"/>
          <w14:textFill>
            <w14:solidFill>
              <w14:schemeClr w14:val="tx1"/>
            </w14:solidFill>
          </w14:textFill>
        </w:rPr>
        <w:t>第二节专用合同条款</w:t>
      </w:r>
    </w:p>
    <w:p>
      <w:pPr>
        <w:tabs>
          <w:tab w:val="left" w:pos="4186"/>
        </w:tabs>
        <w:spacing w:line="360" w:lineRule="auto"/>
        <w:rPr>
          <w:rFonts w:ascii="宋体" w:hAnsi="宋体" w:eastAsia="宋体" w:cs="宋体"/>
          <w:b/>
        </w:rPr>
      </w:pPr>
    </w:p>
    <w:p>
      <w:pPr>
        <w:tabs>
          <w:tab w:val="left" w:pos="4186"/>
        </w:tabs>
        <w:spacing w:line="360" w:lineRule="auto"/>
        <w:rPr>
          <w:rFonts w:ascii="宋体" w:hAnsi="宋体" w:eastAsia="宋体" w:cs="宋体"/>
          <w:b/>
        </w:rPr>
      </w:pPr>
      <w:r>
        <w:rPr>
          <w:rFonts w:hint="eastAsia" w:ascii="宋体" w:hAnsi="宋体" w:eastAsia="宋体" w:cs="宋体"/>
          <w:b/>
        </w:rPr>
        <w:t>甲方：</w:t>
      </w:r>
      <w:r>
        <w:rPr>
          <w:rFonts w:hint="eastAsia" w:ascii="宋体" w:hAnsi="宋体" w:eastAsia="宋体" w:cs="宋体"/>
          <w:b/>
          <w:u w:val="single"/>
        </w:rPr>
        <w:t xml:space="preserve">                        </w:t>
      </w:r>
      <w:r>
        <w:rPr>
          <w:rFonts w:hint="eastAsia" w:ascii="宋体" w:hAnsi="宋体" w:eastAsia="宋体" w:cs="宋体"/>
          <w:b/>
        </w:rPr>
        <w:t>（以下也称甲方、发包人）</w:t>
      </w:r>
    </w:p>
    <w:p>
      <w:pPr>
        <w:tabs>
          <w:tab w:val="left" w:pos="4186"/>
        </w:tabs>
        <w:spacing w:line="360" w:lineRule="auto"/>
        <w:rPr>
          <w:rFonts w:ascii="宋体" w:hAnsi="宋体" w:eastAsia="宋体" w:cs="宋体"/>
          <w:b/>
        </w:rPr>
      </w:pPr>
      <w:r>
        <w:rPr>
          <w:rFonts w:hint="eastAsia" w:ascii="宋体" w:hAnsi="宋体" w:eastAsia="宋体" w:cs="宋体"/>
          <w:b/>
        </w:rPr>
        <w:t>乙方：</w:t>
      </w:r>
      <w:r>
        <w:rPr>
          <w:rFonts w:hint="eastAsia" w:ascii="宋体" w:hAnsi="宋体" w:eastAsia="宋体" w:cs="宋体"/>
          <w:b/>
          <w:u w:val="single"/>
        </w:rPr>
        <w:t xml:space="preserve">                        </w:t>
      </w:r>
      <w:r>
        <w:rPr>
          <w:rFonts w:hint="eastAsia" w:ascii="宋体" w:hAnsi="宋体" w:eastAsia="宋体" w:cs="宋体"/>
          <w:b/>
        </w:rPr>
        <w:t>（以下也称乙方、中标人、中标供应商）</w:t>
      </w:r>
    </w:p>
    <w:p>
      <w:pPr>
        <w:spacing w:line="360" w:lineRule="auto"/>
        <w:ind w:firstLine="422" w:firstLineChars="200"/>
        <w:rPr>
          <w:rFonts w:ascii="宋体" w:hAnsi="宋体" w:eastAsia="宋体" w:cs="宋体"/>
          <w:b/>
          <w:u w:val="single"/>
        </w:rPr>
      </w:pPr>
    </w:p>
    <w:p>
      <w:pPr>
        <w:spacing w:line="360" w:lineRule="auto"/>
        <w:ind w:firstLine="420" w:firstLineChars="200"/>
        <w:rPr>
          <w:rFonts w:ascii="宋体" w:hAnsi="宋体" w:eastAsia="宋体" w:cs="宋体"/>
        </w:rPr>
      </w:pPr>
      <w:r>
        <w:rPr>
          <w:rFonts w:hint="eastAsia" w:ascii="宋体" w:hAnsi="宋体" w:eastAsia="宋体" w:cs="宋体"/>
          <w:u w:val="single"/>
        </w:rPr>
        <w:t xml:space="preserve">诸暨市人民医院二期建设工程—医疗综合体扩改建工程电梯设备采购及安装项目 </w:t>
      </w:r>
      <w:r>
        <w:rPr>
          <w:rFonts w:hint="eastAsia" w:ascii="宋体" w:hAnsi="宋体" w:eastAsia="宋体" w:cs="宋体"/>
        </w:rPr>
        <w:t>所需电梯设备以</w:t>
      </w:r>
      <w:r>
        <w:rPr>
          <w:rFonts w:hint="eastAsia" w:ascii="宋体" w:hAnsi="宋体" w:eastAsia="宋体" w:cs="宋体"/>
          <w:u w:val="single"/>
        </w:rPr>
        <w:t xml:space="preserve"> （招标编号：   ） </w:t>
      </w:r>
      <w:r>
        <w:rPr>
          <w:rFonts w:hint="eastAsia" w:ascii="宋体" w:hAnsi="宋体" w:eastAsia="宋体" w:cs="宋体"/>
        </w:rPr>
        <w:t>招标文件进行公开招标，</w:t>
      </w:r>
      <w:r>
        <w:rPr>
          <w:rFonts w:hint="eastAsia" w:ascii="宋体" w:hAnsi="宋体" w:eastAsia="宋体" w:cs="宋体"/>
          <w:u w:val="single"/>
        </w:rPr>
        <w:t xml:space="preserve">       </w:t>
      </w:r>
      <w:r>
        <w:rPr>
          <w:rFonts w:hint="eastAsia" w:ascii="宋体" w:hAnsi="宋体" w:eastAsia="宋体" w:cs="宋体"/>
        </w:rPr>
        <w:t>为中标单位。甲方和乙方，就本项目电梯设备的供货、运输、装卸、就位、安装、售后及维保等工作，经双方协商同意按照下面的条款和条件，签署本合同。</w:t>
      </w:r>
    </w:p>
    <w:p>
      <w:pPr>
        <w:spacing w:line="360" w:lineRule="auto"/>
        <w:ind w:firstLine="420" w:firstLineChars="200"/>
        <w:rPr>
          <w:rFonts w:ascii="宋体" w:hAnsi="宋体" w:eastAsia="宋体" w:cs="宋体"/>
        </w:rPr>
      </w:pPr>
      <w:r>
        <w:rPr>
          <w:rFonts w:hint="eastAsia" w:ascii="宋体" w:hAnsi="宋体" w:eastAsia="宋体" w:cs="宋体"/>
        </w:rPr>
        <w:t>下列文件构成本合同的组成部分：</w:t>
      </w:r>
    </w:p>
    <w:p>
      <w:pPr>
        <w:numPr>
          <w:ilvl w:val="0"/>
          <w:numId w:val="2"/>
        </w:numPr>
        <w:spacing w:line="360" w:lineRule="auto"/>
        <w:rPr>
          <w:rFonts w:ascii="宋体" w:hAnsi="宋体" w:eastAsia="宋体" w:cs="宋体"/>
        </w:rPr>
      </w:pPr>
      <w:r>
        <w:rPr>
          <w:rFonts w:hint="eastAsia" w:ascii="宋体" w:hAnsi="宋体" w:eastAsia="宋体" w:cs="宋体"/>
        </w:rPr>
        <w:t>本合同及其附件；</w:t>
      </w:r>
    </w:p>
    <w:p>
      <w:pPr>
        <w:numPr>
          <w:ilvl w:val="0"/>
          <w:numId w:val="2"/>
        </w:numPr>
        <w:spacing w:line="360" w:lineRule="auto"/>
        <w:rPr>
          <w:rFonts w:ascii="宋体" w:hAnsi="宋体" w:eastAsia="宋体" w:cs="宋体"/>
        </w:rPr>
      </w:pPr>
      <w:r>
        <w:rPr>
          <w:rFonts w:hint="eastAsia" w:ascii="宋体" w:hAnsi="宋体" w:eastAsia="宋体" w:cs="宋体"/>
        </w:rPr>
        <w:t>中标通知书；</w:t>
      </w:r>
    </w:p>
    <w:p>
      <w:pPr>
        <w:numPr>
          <w:ilvl w:val="0"/>
          <w:numId w:val="2"/>
        </w:numPr>
        <w:spacing w:line="360" w:lineRule="auto"/>
        <w:rPr>
          <w:rFonts w:ascii="宋体" w:hAnsi="宋体" w:eastAsia="宋体" w:cs="宋体"/>
        </w:rPr>
      </w:pPr>
      <w:r>
        <w:rPr>
          <w:rFonts w:hint="eastAsia" w:ascii="宋体" w:hAnsi="宋体" w:eastAsia="宋体" w:cs="宋体"/>
        </w:rPr>
        <w:t>投标函；</w:t>
      </w:r>
    </w:p>
    <w:p>
      <w:pPr>
        <w:numPr>
          <w:ilvl w:val="0"/>
          <w:numId w:val="2"/>
        </w:numPr>
        <w:spacing w:line="360" w:lineRule="auto"/>
        <w:rPr>
          <w:rFonts w:ascii="宋体" w:hAnsi="宋体" w:eastAsia="宋体" w:cs="宋体"/>
        </w:rPr>
      </w:pPr>
      <w:r>
        <w:rPr>
          <w:rFonts w:hint="eastAsia" w:ascii="宋体" w:hAnsi="宋体" w:eastAsia="宋体" w:cs="宋体"/>
        </w:rPr>
        <w:t>商务和技术偏差表；</w:t>
      </w:r>
    </w:p>
    <w:p>
      <w:pPr>
        <w:numPr>
          <w:ilvl w:val="0"/>
          <w:numId w:val="2"/>
        </w:numPr>
        <w:spacing w:line="360" w:lineRule="auto"/>
        <w:rPr>
          <w:rFonts w:ascii="宋体" w:hAnsi="宋体" w:eastAsia="宋体" w:cs="宋体"/>
        </w:rPr>
      </w:pPr>
      <w:r>
        <w:rPr>
          <w:rFonts w:hint="eastAsia" w:ascii="宋体" w:hAnsi="宋体" w:eastAsia="宋体" w:cs="宋体"/>
        </w:rPr>
        <w:t>招标内容和技术要求（以合同附件为准）；</w:t>
      </w:r>
    </w:p>
    <w:p>
      <w:pPr>
        <w:numPr>
          <w:ilvl w:val="0"/>
          <w:numId w:val="2"/>
        </w:numPr>
        <w:spacing w:line="360" w:lineRule="auto"/>
        <w:rPr>
          <w:rFonts w:ascii="宋体" w:hAnsi="宋体" w:eastAsia="宋体" w:cs="宋体"/>
        </w:rPr>
      </w:pPr>
      <w:r>
        <w:rPr>
          <w:rFonts w:hint="eastAsia" w:ascii="宋体" w:hAnsi="宋体" w:eastAsia="宋体" w:cs="宋体"/>
        </w:rPr>
        <w:t>分项报价表；</w:t>
      </w:r>
    </w:p>
    <w:p>
      <w:pPr>
        <w:numPr>
          <w:ilvl w:val="0"/>
          <w:numId w:val="2"/>
        </w:numPr>
        <w:spacing w:line="360" w:lineRule="auto"/>
        <w:rPr>
          <w:rFonts w:ascii="宋体" w:hAnsi="宋体" w:eastAsia="宋体" w:cs="宋体"/>
        </w:rPr>
      </w:pPr>
      <w:r>
        <w:rPr>
          <w:rFonts w:hint="eastAsia" w:ascii="宋体" w:hAnsi="宋体" w:eastAsia="宋体" w:cs="宋体"/>
        </w:rPr>
        <w:t>中标设备技术性能指标的详细描述；</w:t>
      </w:r>
    </w:p>
    <w:p>
      <w:pPr>
        <w:numPr>
          <w:ilvl w:val="0"/>
          <w:numId w:val="2"/>
        </w:numPr>
        <w:spacing w:line="360" w:lineRule="auto"/>
        <w:rPr>
          <w:rFonts w:ascii="宋体" w:hAnsi="宋体" w:eastAsia="宋体" w:cs="宋体"/>
        </w:rPr>
      </w:pPr>
      <w:r>
        <w:rPr>
          <w:rFonts w:hint="eastAsia" w:ascii="宋体" w:hAnsi="宋体" w:eastAsia="宋体" w:cs="宋体"/>
        </w:rPr>
        <w:t>技术服务和质保期服务计划；</w:t>
      </w:r>
    </w:p>
    <w:p>
      <w:pPr>
        <w:numPr>
          <w:ilvl w:val="0"/>
          <w:numId w:val="2"/>
        </w:numPr>
        <w:spacing w:line="360" w:lineRule="auto"/>
        <w:rPr>
          <w:rFonts w:ascii="宋体" w:hAnsi="宋体" w:eastAsia="宋体" w:cs="宋体"/>
        </w:rPr>
      </w:pPr>
      <w:r>
        <w:rPr>
          <w:rFonts w:hint="eastAsia" w:ascii="宋体" w:hAnsi="宋体" w:eastAsia="宋体" w:cs="宋体"/>
        </w:rPr>
        <w:t>其他合同文件。</w:t>
      </w:r>
    </w:p>
    <w:p>
      <w:pPr>
        <w:spacing w:line="360" w:lineRule="auto"/>
        <w:ind w:firstLine="420" w:firstLineChars="200"/>
        <w:rPr>
          <w:rFonts w:ascii="宋体" w:hAnsi="宋体" w:eastAsia="宋体" w:cs="宋体"/>
        </w:rPr>
      </w:pPr>
      <w:r>
        <w:rPr>
          <w:rFonts w:hint="eastAsia" w:ascii="宋体" w:hAnsi="宋体" w:eastAsia="宋体" w:cs="宋体"/>
        </w:rPr>
        <w:t>上述文件互相补充和解释，如有不明确或不一致之处，以上述次序在先者为准。属于同一类内容的文件，以最新签署的为准。</w:t>
      </w:r>
    </w:p>
    <w:p>
      <w:pPr>
        <w:spacing w:line="360" w:lineRule="auto"/>
        <w:rPr>
          <w:rFonts w:ascii="宋体" w:hAnsi="宋体" w:eastAsia="宋体" w:cs="宋体"/>
          <w:b/>
          <w:bCs/>
        </w:rPr>
      </w:pPr>
      <w:r>
        <w:rPr>
          <w:rFonts w:hint="eastAsia" w:ascii="宋体" w:hAnsi="宋体" w:eastAsia="宋体" w:cs="宋体"/>
          <w:b/>
          <w:bCs/>
        </w:rPr>
        <w:t>1、货物清单及合同价</w:t>
      </w:r>
    </w:p>
    <w:p>
      <w:pPr>
        <w:spacing w:line="360" w:lineRule="auto"/>
        <w:rPr>
          <w:rFonts w:ascii="宋体" w:hAnsi="宋体" w:eastAsia="宋体" w:cs="宋体"/>
        </w:rPr>
      </w:pPr>
      <w:r>
        <w:rPr>
          <w:rFonts w:hint="eastAsia" w:ascii="宋体" w:hAnsi="宋体" w:eastAsia="宋体" w:cs="宋体"/>
        </w:rPr>
        <w:t>本项目货物清单、合同总价及明细报价详见下表：</w:t>
      </w:r>
    </w:p>
    <w:tbl>
      <w:tblPr>
        <w:tblStyle w:val="35"/>
        <w:tblW w:w="97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44"/>
        <w:gridCol w:w="1007"/>
        <w:gridCol w:w="809"/>
        <w:gridCol w:w="595"/>
        <w:gridCol w:w="957"/>
        <w:gridCol w:w="1041"/>
        <w:gridCol w:w="1385"/>
        <w:gridCol w:w="750"/>
        <w:gridCol w:w="880"/>
        <w:gridCol w:w="1113"/>
        <w:gridCol w:w="333"/>
        <w:gridCol w:w="3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1</w:t>
            </w:r>
          </w:p>
        </w:tc>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2</w:t>
            </w:r>
          </w:p>
        </w:tc>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3</w:t>
            </w:r>
          </w:p>
        </w:tc>
        <w:tc>
          <w:tcPr>
            <w:tcW w:w="594" w:type="dxa"/>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4</w:t>
            </w:r>
          </w:p>
        </w:tc>
        <w:tc>
          <w:tcPr>
            <w:tcW w:w="955" w:type="dxa"/>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5</w:t>
            </w:r>
          </w:p>
        </w:tc>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6</w:t>
            </w:r>
          </w:p>
        </w:tc>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7</w:t>
            </w:r>
          </w:p>
        </w:tc>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8</w:t>
            </w:r>
          </w:p>
        </w:tc>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9</w:t>
            </w:r>
          </w:p>
        </w:tc>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10</w:t>
            </w:r>
          </w:p>
        </w:tc>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11</w:t>
            </w:r>
          </w:p>
        </w:tc>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12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项号</w:t>
            </w:r>
          </w:p>
        </w:tc>
        <w:tc>
          <w:tcPr>
            <w:tcW w:w="0" w:type="auto"/>
            <w:vAlign w:val="center"/>
          </w:tcPr>
          <w:p>
            <w:pPr>
              <w:keepNext/>
              <w:keepLines/>
              <w:pageBreakBefore/>
              <w:kinsoku/>
              <w:wordWrap w:val="0"/>
              <w:topLinePunct/>
              <w:autoSpaceDE/>
              <w:autoSpaceDN/>
              <w:jc w:val="center"/>
              <w:rPr>
                <w:rFonts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货物名称</w:t>
            </w:r>
          </w:p>
          <w:p>
            <w:pPr>
              <w:keepNext/>
              <w:keepLines/>
              <w:pageBreakBefore/>
              <w:kinsoku/>
              <w:wordWrap w:val="0"/>
              <w:topLinePunct/>
              <w:autoSpaceDE/>
              <w:autoSpaceDN/>
              <w:jc w:val="center"/>
              <w:rPr>
                <w:rFonts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型号规格</w:t>
            </w:r>
          </w:p>
        </w:tc>
        <w:tc>
          <w:tcPr>
            <w:tcW w:w="0" w:type="auto"/>
            <w:vAlign w:val="center"/>
          </w:tcPr>
          <w:p>
            <w:pPr>
              <w:ind w:right="59"/>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产地(品牌)</w:t>
            </w:r>
          </w:p>
        </w:tc>
        <w:tc>
          <w:tcPr>
            <w:tcW w:w="594" w:type="dxa"/>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数量</w:t>
            </w:r>
          </w:p>
        </w:tc>
        <w:tc>
          <w:tcPr>
            <w:tcW w:w="955" w:type="dxa"/>
            <w:vAlign w:val="center"/>
          </w:tcPr>
          <w:p>
            <w:pPr>
              <w:ind w:right="141"/>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出厂单价(含税)</w:t>
            </w:r>
          </w:p>
        </w:tc>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运杂、及保险费</w:t>
            </w:r>
          </w:p>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(含税)</w:t>
            </w:r>
          </w:p>
        </w:tc>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特殊工具费备品备件费</w:t>
            </w:r>
          </w:p>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(含税)</w:t>
            </w:r>
          </w:p>
        </w:tc>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相关服务费</w:t>
            </w:r>
          </w:p>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(含税)</w:t>
            </w:r>
          </w:p>
        </w:tc>
        <w:tc>
          <w:tcPr>
            <w:tcW w:w="0" w:type="auto"/>
            <w:vAlign w:val="center"/>
          </w:tcPr>
          <w:p>
            <w:pPr>
              <w:ind w:right="130"/>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其他(含税)</w:t>
            </w:r>
          </w:p>
        </w:tc>
        <w:tc>
          <w:tcPr>
            <w:tcW w:w="0" w:type="auto"/>
            <w:vAlign w:val="center"/>
          </w:tcPr>
          <w:p>
            <w:pPr>
              <w:ind w:right="109"/>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综合单价(含税)</w:t>
            </w:r>
          </w:p>
        </w:tc>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总价</w:t>
            </w:r>
          </w:p>
        </w:tc>
        <w:tc>
          <w:tcPr>
            <w:tcW w:w="0" w:type="auto"/>
            <w:vAlign w:val="center"/>
          </w:tcPr>
          <w:p>
            <w:pPr>
              <w:jc w:val="center"/>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594" w:type="dxa"/>
            <w:vAlign w:val="center"/>
          </w:tcPr>
          <w:p>
            <w:pPr>
              <w:jc w:val="center"/>
              <w:rPr>
                <w:color w:val="000000" w:themeColor="text1"/>
                <w14:textFill>
                  <w14:solidFill>
                    <w14:schemeClr w14:val="tx1"/>
                  </w14:solidFill>
                </w14:textFill>
              </w:rPr>
            </w:pPr>
          </w:p>
        </w:tc>
        <w:tc>
          <w:tcPr>
            <w:tcW w:w="955" w:type="dxa"/>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594" w:type="dxa"/>
            <w:vAlign w:val="center"/>
          </w:tcPr>
          <w:p>
            <w:pPr>
              <w:jc w:val="center"/>
              <w:rPr>
                <w:color w:val="000000" w:themeColor="text1"/>
                <w14:textFill>
                  <w14:solidFill>
                    <w14:schemeClr w14:val="tx1"/>
                  </w14:solidFill>
                </w14:textFill>
              </w:rPr>
            </w:pPr>
          </w:p>
        </w:tc>
        <w:tc>
          <w:tcPr>
            <w:tcW w:w="955" w:type="dxa"/>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594" w:type="dxa"/>
            <w:vAlign w:val="center"/>
          </w:tcPr>
          <w:p>
            <w:pPr>
              <w:jc w:val="center"/>
              <w:rPr>
                <w:color w:val="000000" w:themeColor="text1"/>
                <w14:textFill>
                  <w14:solidFill>
                    <w14:schemeClr w14:val="tx1"/>
                  </w14:solidFill>
                </w14:textFill>
              </w:rPr>
            </w:pPr>
          </w:p>
        </w:tc>
        <w:tc>
          <w:tcPr>
            <w:tcW w:w="955" w:type="dxa"/>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c>
          <w:tcPr>
            <w:tcW w:w="0" w:type="auto"/>
            <w:vAlign w:val="center"/>
          </w:tcPr>
          <w:p>
            <w:pPr>
              <w:jc w:val="center"/>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0" w:type="auto"/>
            <w:gridSpan w:val="2"/>
          </w:tcPr>
          <w:p>
            <w:pPr>
              <w:spacing w:before="149" w:line="227" w:lineRule="auto"/>
              <w:ind w:left="182"/>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Outline w14:w="3797" w14:cap="sq" w14:cmpd="sng" w14:algn="ctr">
                  <w14:solidFill>
                    <w14:srgbClr w14:val="000000"/>
                  </w14:solidFill>
                  <w14:prstDash w14:val="solid"/>
                  <w14:bevel/>
                </w14:textOutline>
                <w14:textFill>
                  <w14:solidFill>
                    <w14:schemeClr w14:val="tx1"/>
                  </w14:solidFill>
                </w14:textFill>
              </w:rPr>
              <w:t>投标总价合计</w:t>
            </w:r>
          </w:p>
        </w:tc>
        <w:tc>
          <w:tcPr>
            <w:tcW w:w="0" w:type="auto"/>
            <w:gridSpan w:val="10"/>
          </w:tcPr>
          <w:p>
            <w:pPr>
              <w:spacing w:before="149" w:line="229" w:lineRule="auto"/>
              <w:ind w:left="328"/>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Outline w14:w="3797" w14:cap="sq" w14:cmpd="sng" w14:algn="ctr">
                  <w14:solidFill>
                    <w14:srgbClr w14:val="000000"/>
                  </w14:solidFill>
                  <w14:prstDash w14:val="solid"/>
                  <w14:bevel/>
                </w14:textOutline>
                <w14:textFill>
                  <w14:solidFill>
                    <w14:schemeClr w14:val="tx1"/>
                  </w14:solidFill>
                </w14:textFill>
              </w:rPr>
              <w:t>小写：元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0" w:type="auto"/>
            <w:gridSpan w:val="2"/>
          </w:tcPr>
          <w:p>
            <w:pPr>
              <w:spacing w:before="253" w:line="229" w:lineRule="auto"/>
              <w:ind w:left="201"/>
              <w:jc w:val="both"/>
              <w:rPr>
                <w:rFonts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w:t>
            </w:r>
            <w:r>
              <w:rPr>
                <w:rFonts w:ascii="宋体" w:hAnsi="宋体" w:eastAsia="宋体" w:cs="宋体"/>
                <w:color w:val="000000" w:themeColor="text1"/>
                <w:sz w:val="20"/>
                <w:szCs w:val="20"/>
                <w14:textOutline w14:w="3797" w14:cap="sq" w14:cmpd="sng" w14:algn="ctr">
                  <w14:solidFill>
                    <w14:srgbClr w14:val="000000"/>
                  </w14:solidFill>
                  <w14:prstDash w14:val="solid"/>
                  <w14:bevel/>
                </w14:textOutline>
                <w14:textFill>
                  <w14:solidFill>
                    <w14:schemeClr w14:val="tx1"/>
                  </w14:solidFill>
                </w14:textFill>
              </w:rPr>
              <w:t>质保期后的维保费用</w:t>
            </w:r>
          </w:p>
        </w:tc>
        <w:tc>
          <w:tcPr>
            <w:tcW w:w="0" w:type="auto"/>
            <w:gridSpan w:val="10"/>
          </w:tcPr>
          <w:p>
            <w:pPr>
              <w:tabs>
                <w:tab w:val="left" w:pos="2220"/>
              </w:tabs>
              <w:spacing w:before="253" w:line="227" w:lineRule="auto"/>
              <w:ind w:left="314"/>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u w:val="single"/>
                <w14:textFill>
                  <w14:solidFill>
                    <w14:schemeClr w14:val="tx1"/>
                  </w14:solidFill>
                </w14:textFill>
              </w:rPr>
              <w:tab/>
            </w:r>
            <w:r>
              <w:rPr>
                <w:rFonts w:ascii="宋体" w:hAnsi="宋体" w:eastAsia="宋体" w:cs="宋体"/>
                <w:color w:val="000000" w:themeColor="text1"/>
                <w:sz w:val="20"/>
                <w:szCs w:val="20"/>
                <w14:textOutline w14:w="3797" w14:cap="sq" w14:cmpd="sng" w14:algn="ctr">
                  <w14:solidFill>
                    <w14:srgbClr w14:val="000000"/>
                  </w14:solidFill>
                  <w14:prstDash w14:val="solid"/>
                  <w14:bevel/>
                </w14:textOutline>
                <w14:textFill>
                  <w14:solidFill>
                    <w14:schemeClr w14:val="tx1"/>
                  </w14:solidFill>
                </w14:textFill>
              </w:rPr>
              <w:t>元/年(不计入投标报价)</w:t>
            </w:r>
          </w:p>
        </w:tc>
      </w:tr>
    </w:tbl>
    <w:p>
      <w:pPr>
        <w:spacing w:line="360" w:lineRule="auto"/>
        <w:rPr>
          <w:rFonts w:ascii="宋体" w:hAnsi="宋体" w:eastAsia="宋体" w:cs="宋体"/>
        </w:rPr>
      </w:pPr>
      <w:r>
        <w:rPr>
          <w:rFonts w:hint="eastAsia" w:ascii="宋体" w:hAnsi="宋体" w:eastAsia="宋体" w:cs="宋体"/>
        </w:rPr>
        <w:t>备注1、除非甲方对电梯的型号、规格和涉及价格因素的技术参数和配套件提出修改，每台电梯的综合单价为固定价格不得调整。</w:t>
      </w:r>
    </w:p>
    <w:p>
      <w:pPr>
        <w:spacing w:line="360" w:lineRule="auto"/>
        <w:rPr>
          <w:rFonts w:ascii="宋体" w:hAnsi="宋体" w:eastAsia="宋体" w:cs="宋体"/>
        </w:rPr>
      </w:pPr>
      <w:r>
        <w:rPr>
          <w:rFonts w:hint="eastAsia" w:ascii="宋体" w:hAnsi="宋体" w:eastAsia="宋体" w:cs="宋体"/>
        </w:rPr>
        <w:t>备注</w:t>
      </w:r>
      <w:r>
        <w:rPr>
          <w:rFonts w:hint="eastAsia" w:ascii="宋体" w:hAnsi="宋体" w:eastAsia="宋体" w:cs="宋体"/>
          <w:bCs/>
        </w:rPr>
        <w:t>2</w:t>
      </w:r>
      <w:r>
        <w:rPr>
          <w:rFonts w:hint="eastAsia" w:ascii="宋体" w:hAnsi="宋体" w:eastAsia="宋体" w:cs="宋体"/>
        </w:rPr>
        <w:t>、甲方除协助提供设备存放场地、现有的脚手架和垂直运输机械、水电接口以外，设备制造、进口、运输、装卸、存放保管、吊装、施工水电、施工人员食宿、交通、图纸确认等均由乙方负责。</w:t>
      </w:r>
    </w:p>
    <w:p>
      <w:pPr>
        <w:spacing w:line="360" w:lineRule="auto"/>
        <w:rPr>
          <w:rFonts w:ascii="宋体" w:hAnsi="宋体" w:eastAsia="宋体" w:cs="宋体"/>
        </w:rPr>
      </w:pPr>
      <w:r>
        <w:rPr>
          <w:rFonts w:hint="eastAsia" w:ascii="宋体" w:hAnsi="宋体" w:eastAsia="宋体" w:cs="宋体"/>
        </w:rPr>
        <w:t>备注</w:t>
      </w:r>
      <w:r>
        <w:rPr>
          <w:rFonts w:hint="eastAsia" w:ascii="宋体" w:hAnsi="宋体" w:eastAsia="宋体" w:cs="宋体"/>
          <w:bCs/>
        </w:rPr>
        <w:t>3</w:t>
      </w:r>
      <w:r>
        <w:rPr>
          <w:rFonts w:hint="eastAsia" w:ascii="宋体" w:hAnsi="宋体" w:eastAsia="宋体" w:cs="宋体"/>
          <w:b/>
        </w:rPr>
        <w:t>、</w:t>
      </w:r>
      <w:r>
        <w:rPr>
          <w:rFonts w:hint="eastAsia" w:ascii="宋体" w:hAnsi="宋体" w:eastAsia="宋体" w:cs="宋体"/>
        </w:rPr>
        <w:t>其他报价要求详见招标文件。</w:t>
      </w:r>
    </w:p>
    <w:p>
      <w:pPr>
        <w:spacing w:line="360" w:lineRule="auto"/>
        <w:rPr>
          <w:rFonts w:ascii="宋体" w:hAnsi="宋体" w:eastAsia="宋体" w:cs="宋体"/>
          <w:b/>
        </w:rPr>
      </w:pPr>
      <w:bookmarkStart w:id="45" w:name="_Toc518487012"/>
      <w:bookmarkStart w:id="46" w:name="_Toc520906572"/>
      <w:r>
        <w:rPr>
          <w:rFonts w:hint="eastAsia" w:ascii="宋体" w:hAnsi="宋体" w:eastAsia="宋体" w:cs="宋体"/>
          <w:b/>
        </w:rPr>
        <w:t>2、</w:t>
      </w:r>
      <w:bookmarkEnd w:id="45"/>
      <w:bookmarkEnd w:id="46"/>
      <w:r>
        <w:rPr>
          <w:rFonts w:hint="eastAsia" w:ascii="宋体" w:hAnsi="宋体" w:eastAsia="宋体" w:cs="宋体"/>
          <w:b/>
        </w:rPr>
        <w:t>交货地点、时间、方式等</w:t>
      </w:r>
    </w:p>
    <w:p>
      <w:pPr>
        <w:spacing w:line="360" w:lineRule="auto"/>
        <w:ind w:firstLine="420" w:firstLineChars="200"/>
        <w:rPr>
          <w:rFonts w:ascii="宋体" w:hAnsi="宋体" w:eastAsia="宋体" w:cs="宋体"/>
        </w:rPr>
      </w:pPr>
      <w:r>
        <w:rPr>
          <w:rFonts w:hint="eastAsia" w:ascii="宋体" w:hAnsi="宋体" w:eastAsia="宋体" w:cs="宋体"/>
        </w:rPr>
        <w:t>2.1 交货地点：诸暨市人民医院二期工地内。</w:t>
      </w:r>
    </w:p>
    <w:p>
      <w:pPr>
        <w:spacing w:line="360" w:lineRule="auto"/>
        <w:ind w:firstLine="420" w:firstLineChars="200"/>
        <w:rPr>
          <w:rFonts w:ascii="宋体" w:hAnsi="宋体" w:eastAsia="宋体" w:cs="宋体"/>
        </w:rPr>
      </w:pPr>
      <w:r>
        <w:rPr>
          <w:rFonts w:hint="eastAsia" w:ascii="宋体" w:hAnsi="宋体" w:eastAsia="宋体" w:cs="宋体"/>
        </w:rPr>
        <w:t>交货方法：在合同签订后按甲方要求提前介入配合提供电梯安装相关的图纸资料，经甲乙双方共同确认，乙方在接到甲方供货书面通知之日起100日历天内供货，到货后100日历天内完成安装、调试并通过当地特种设备检测机构验收。实际供货及安装时间按甲方书面指令为准。如电梯土建图、技术规格有未确定项，或在合同执行中甲方提出变更，产品交货周期的起始日将从甲方确定待定项及变更项后计核。由于乙方未提前检查电梯井道及电梯安装需满足电梯安装条件而造成安装工期延长及保管责任应由乙方承担责任，甲方不延长安装工期。</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2.2 甲方根据工程建设进展情况，需乙方提前交货的，提前一个月通知乙方，但需经乙方确认。电梯送达指定地点后，乙方需对设备妥善保管，以保证顺利安装和正常使用。</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2.3 本合同项下货物盗窃、毁损、灭失等风险，在设备安装调试结束，经电梯安装地特种设备检验检测机构验收合格并交付甲方前，均由乙方自行承担。</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2.4 乙方提供的产品的包装需用防潮、防高温、防腐，如导致电梯不能正常安装或出现由于上述原因导致的质量问题，其责任由乙方负责。</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2.5 乙方在投标书中所列设备的名称、型号应与安装施工中实际使用的设备完全一致、产地相符，并提供商检证明，需原封包装。如发现实物与投标报价书等资料不符，甲方有权要求退货，乙方承担由此引起的违约责任。如发现实物不符合质量要求或破裂、损坏等情况由乙方负责调换或补足，但不得影响工期。在合同期内如甲方提出产品增减或调换，乙方负责办理，差价据实按报价中的单价调整。</w:t>
      </w:r>
    </w:p>
    <w:p>
      <w:pPr>
        <w:spacing w:line="360" w:lineRule="auto"/>
        <w:rPr>
          <w:rFonts w:ascii="宋体" w:hAnsi="宋体" w:eastAsia="宋体" w:cs="宋体"/>
        </w:rPr>
      </w:pPr>
      <w:bookmarkStart w:id="47" w:name="_Toc520906573"/>
      <w:bookmarkStart w:id="48" w:name="_Toc518487013"/>
      <w:r>
        <w:rPr>
          <w:rFonts w:hint="eastAsia" w:ascii="宋体" w:hAnsi="宋体" w:eastAsia="宋体" w:cs="宋体"/>
        </w:rPr>
        <w:t>3、</w:t>
      </w:r>
      <w:bookmarkEnd w:id="47"/>
      <w:bookmarkEnd w:id="48"/>
      <w:r>
        <w:rPr>
          <w:rFonts w:hint="eastAsia" w:ascii="宋体" w:hAnsi="宋体" w:eastAsia="宋体" w:cs="宋体"/>
          <w:b/>
        </w:rPr>
        <w:t>包装、运输及到货检验</w:t>
      </w:r>
    </w:p>
    <w:p>
      <w:pPr>
        <w:spacing w:line="360" w:lineRule="auto"/>
        <w:ind w:firstLine="420" w:firstLineChars="200"/>
        <w:rPr>
          <w:rFonts w:ascii="宋体" w:hAnsi="宋体" w:eastAsia="宋体" w:cs="宋体"/>
        </w:rPr>
      </w:pPr>
      <w:r>
        <w:rPr>
          <w:rFonts w:hint="eastAsia" w:ascii="宋体" w:hAnsi="宋体" w:eastAsia="宋体" w:cs="宋体"/>
        </w:rPr>
        <w:t>3.1 乙方应对所有需交付的电梯按规定进行包装，以确保电梯能安全运抵交付地。乙方应在每一设备的包装中附上详细包装单。</w:t>
      </w:r>
    </w:p>
    <w:p>
      <w:pPr>
        <w:spacing w:line="360" w:lineRule="auto"/>
        <w:ind w:firstLine="420" w:firstLineChars="200"/>
        <w:rPr>
          <w:rFonts w:ascii="宋体" w:hAnsi="宋体" w:eastAsia="宋体" w:cs="宋体"/>
        </w:rPr>
      </w:pPr>
      <w:r>
        <w:rPr>
          <w:rFonts w:hint="eastAsia" w:ascii="宋体" w:hAnsi="宋体" w:eastAsia="宋体" w:cs="宋体"/>
        </w:rPr>
        <w:t>3.2 乙方应在每件包装箱上，明显地标注下列标记：</w:t>
      </w:r>
    </w:p>
    <w:p>
      <w:pPr>
        <w:spacing w:line="360" w:lineRule="auto"/>
        <w:rPr>
          <w:rFonts w:ascii="宋体" w:hAnsi="宋体" w:eastAsia="宋体" w:cs="宋体"/>
        </w:rPr>
      </w:pPr>
      <w:r>
        <w:rPr>
          <w:rFonts w:hint="eastAsia" w:ascii="宋体" w:hAnsi="宋体" w:eastAsia="宋体" w:cs="宋体"/>
        </w:rPr>
        <w:t xml:space="preserve">    1）收货人；</w:t>
      </w:r>
    </w:p>
    <w:p>
      <w:pPr>
        <w:spacing w:line="360" w:lineRule="auto"/>
        <w:rPr>
          <w:rFonts w:ascii="宋体" w:hAnsi="宋体" w:eastAsia="宋体" w:cs="宋体"/>
        </w:rPr>
      </w:pPr>
      <w:r>
        <w:rPr>
          <w:rFonts w:hint="eastAsia" w:ascii="宋体" w:hAnsi="宋体" w:eastAsia="宋体" w:cs="宋体"/>
        </w:rPr>
        <w:t xml:space="preserve">    2）产品名称；</w:t>
      </w:r>
    </w:p>
    <w:p>
      <w:pPr>
        <w:spacing w:line="360" w:lineRule="auto"/>
        <w:rPr>
          <w:rFonts w:ascii="宋体" w:hAnsi="宋体" w:eastAsia="宋体" w:cs="宋体"/>
        </w:rPr>
      </w:pPr>
      <w:r>
        <w:rPr>
          <w:rFonts w:hint="eastAsia" w:ascii="宋体" w:hAnsi="宋体" w:eastAsia="宋体" w:cs="宋体"/>
        </w:rPr>
        <w:t xml:space="preserve">    3）合同号；</w:t>
      </w:r>
    </w:p>
    <w:p>
      <w:pPr>
        <w:spacing w:line="360" w:lineRule="auto"/>
        <w:rPr>
          <w:rFonts w:ascii="宋体" w:hAnsi="宋体" w:eastAsia="宋体" w:cs="宋体"/>
        </w:rPr>
      </w:pPr>
      <w:r>
        <w:rPr>
          <w:rFonts w:hint="eastAsia" w:ascii="宋体" w:hAnsi="宋体" w:eastAsia="宋体" w:cs="宋体"/>
        </w:rPr>
        <w:t xml:space="preserve">    4）品目号和箱号；</w:t>
      </w:r>
    </w:p>
    <w:p>
      <w:pPr>
        <w:spacing w:line="360" w:lineRule="auto"/>
        <w:rPr>
          <w:rFonts w:ascii="宋体" w:hAnsi="宋体" w:eastAsia="宋体" w:cs="宋体"/>
        </w:rPr>
      </w:pPr>
      <w:r>
        <w:rPr>
          <w:rFonts w:hint="eastAsia" w:ascii="宋体" w:hAnsi="宋体" w:eastAsia="宋体" w:cs="宋体"/>
        </w:rPr>
        <w:t xml:space="preserve">    5）到达站或到货地点；</w:t>
      </w:r>
    </w:p>
    <w:p>
      <w:pPr>
        <w:spacing w:line="360" w:lineRule="auto"/>
        <w:rPr>
          <w:rFonts w:ascii="宋体" w:hAnsi="宋体" w:eastAsia="宋体" w:cs="宋体"/>
        </w:rPr>
      </w:pPr>
      <w:r>
        <w:rPr>
          <w:rFonts w:hint="eastAsia" w:ascii="宋体" w:hAnsi="宋体" w:eastAsia="宋体" w:cs="宋体"/>
        </w:rPr>
        <w:t xml:space="preserve">    6）外形尺寸（长×宽×高），以毫米计；</w:t>
      </w:r>
    </w:p>
    <w:p>
      <w:pPr>
        <w:spacing w:line="360" w:lineRule="auto"/>
        <w:rPr>
          <w:rFonts w:ascii="宋体" w:hAnsi="宋体" w:eastAsia="宋体" w:cs="宋体"/>
        </w:rPr>
      </w:pPr>
      <w:r>
        <w:rPr>
          <w:rFonts w:hint="eastAsia" w:ascii="宋体" w:hAnsi="宋体" w:eastAsia="宋体" w:cs="宋体"/>
        </w:rPr>
        <w:t xml:space="preserve">    7）毛重、净重（公斤）。</w:t>
      </w:r>
    </w:p>
    <w:p>
      <w:pPr>
        <w:spacing w:line="360" w:lineRule="auto"/>
        <w:ind w:firstLine="420"/>
        <w:rPr>
          <w:rFonts w:ascii="宋体" w:hAnsi="宋体" w:eastAsia="宋体" w:cs="宋体"/>
        </w:rPr>
      </w:pPr>
      <w:r>
        <w:rPr>
          <w:rFonts w:hint="eastAsia" w:ascii="宋体" w:hAnsi="宋体" w:eastAsia="宋体" w:cs="宋体"/>
        </w:rPr>
        <w:t>3.3 不包装的金属结构件应将标签系牢在结构件上。</w:t>
      </w:r>
    </w:p>
    <w:p>
      <w:pPr>
        <w:spacing w:line="360" w:lineRule="auto"/>
        <w:ind w:firstLine="420"/>
        <w:rPr>
          <w:rFonts w:ascii="宋体" w:hAnsi="宋体" w:eastAsia="宋体" w:cs="宋体"/>
        </w:rPr>
      </w:pPr>
      <w:r>
        <w:rPr>
          <w:rFonts w:hint="eastAsia" w:ascii="宋体" w:hAnsi="宋体" w:eastAsia="宋体" w:cs="宋体"/>
        </w:rPr>
        <w:t>3.4 运输方式由乙方自定。所有的运输、保险、卸货及相关费用均由乙方负责。乙方提供的设备在运输过程中的安全由乙方负责，货物在装运前由乙方投保，设备运输、装卸过程中造成的损毁、缺失风险由乙方承担，且乙方不能以办理索赔等为由而拖延供货，一旦货物在装卸、运输中发生损坏或短缺，由乙方负责赔偿甲方因此造成的损失。乙方保证在确认货物因装卸、运输中发生损坏或短缺后，尽快给予调换、修复和补齐缺件，不管其造成的结果如何，也不能以办理索赔为由而拖延。乙方进入项目工地现场，应服从现场的安全管理，不得违反现场安全生产管理规定。</w:t>
      </w:r>
    </w:p>
    <w:p>
      <w:pPr>
        <w:spacing w:line="360" w:lineRule="auto"/>
        <w:ind w:firstLine="420" w:firstLineChars="200"/>
        <w:rPr>
          <w:rFonts w:ascii="宋体" w:hAnsi="宋体" w:eastAsia="宋体" w:cs="宋体"/>
        </w:rPr>
      </w:pPr>
      <w:r>
        <w:rPr>
          <w:rFonts w:hint="eastAsia" w:ascii="宋体" w:hAnsi="宋体" w:eastAsia="宋体" w:cs="宋体"/>
        </w:rPr>
        <w:t>3.5 甲方认为有必要时在电梯制造过程中派3人到乙方进行监造，并在电梯发货前10日历天赴乙方进行预验收，乙方应予以积极配合并对监造或预验收工作提供相应的技术资料。</w:t>
      </w:r>
    </w:p>
    <w:p>
      <w:pPr>
        <w:spacing w:line="360" w:lineRule="auto"/>
        <w:ind w:firstLine="420" w:firstLineChars="200"/>
        <w:rPr>
          <w:rFonts w:ascii="宋体" w:hAnsi="宋体" w:eastAsia="宋体" w:cs="宋体"/>
        </w:rPr>
      </w:pPr>
      <w:r>
        <w:rPr>
          <w:rFonts w:hint="eastAsia" w:ascii="宋体" w:hAnsi="宋体" w:eastAsia="宋体" w:cs="宋体"/>
        </w:rPr>
        <w:t>3.6 货到工地开箱检验应有甲乙方、全咨</w:t>
      </w:r>
      <w:r>
        <w:rPr>
          <w:rFonts w:ascii="宋体" w:hAnsi="宋体" w:eastAsia="宋体" w:cs="宋体"/>
        </w:rPr>
        <w:t>（</w:t>
      </w:r>
      <w:r>
        <w:rPr>
          <w:rFonts w:hint="eastAsia" w:ascii="宋体" w:hAnsi="宋体" w:eastAsia="宋体" w:cs="宋体"/>
        </w:rPr>
        <w:t>监理</w:t>
      </w:r>
      <w:r>
        <w:rPr>
          <w:rFonts w:ascii="宋体" w:hAnsi="宋体" w:eastAsia="宋体" w:cs="宋体"/>
        </w:rPr>
        <w:t>）</w:t>
      </w:r>
      <w:r>
        <w:rPr>
          <w:rFonts w:hint="eastAsia" w:ascii="宋体" w:hAnsi="宋体" w:eastAsia="宋体" w:cs="宋体"/>
        </w:rPr>
        <w:t>单位代表在场，以明确所交电梯的名称、规格型号、数量是否与本批电梯相符。经验收产品质量、规格不符合甲方要求，乙方应负责包换、包退。经验收合格后，由各方代表签署收货报告。该验收不代表甲方对货物品质的最终认可，乙方不可据此主张免责。</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3.7 乙方应随电梯向甲方提交产品使用说明书、产品合格证、保修卡及相应的配件。</w:t>
      </w:r>
    </w:p>
    <w:p>
      <w:pPr>
        <w:spacing w:line="360" w:lineRule="auto"/>
        <w:ind w:firstLine="420"/>
        <w:rPr>
          <w:rFonts w:ascii="宋体" w:hAnsi="宋体" w:eastAsia="宋体" w:cs="宋体"/>
        </w:rPr>
      </w:pPr>
      <w:r>
        <w:rPr>
          <w:rFonts w:hint="eastAsia" w:ascii="宋体" w:hAnsi="宋体" w:eastAsia="宋体" w:cs="宋体"/>
        </w:rPr>
        <w:t>3.8 乙方需按招标要求及投标承诺提供本工程所有进口部件（含零部件）的进口证明文件，包括但不限于以下文件，并以此将作为日后支付设备款的凭证，如乙方交货时不能提供，甲方有权拒绝支付设备款，由此造成的一切损失由乙方负责，甲方将罚没履约保证金，同时保留追究赔偿的权利：</w:t>
      </w:r>
    </w:p>
    <w:p>
      <w:pPr>
        <w:spacing w:line="360" w:lineRule="auto"/>
        <w:ind w:firstLine="420"/>
        <w:rPr>
          <w:rFonts w:ascii="宋体" w:hAnsi="宋体" w:eastAsia="宋体" w:cs="宋体"/>
        </w:rPr>
      </w:pPr>
      <w:r>
        <w:rPr>
          <w:rFonts w:hint="eastAsia" w:ascii="宋体" w:hAnsi="宋体" w:eastAsia="宋体" w:cs="宋体"/>
        </w:rPr>
        <w:t>如电梯采用进口部件，则需提供报关单原件或复印件盖制造商公章；同时提供境外进口国母公司制造商证明文件。</w:t>
      </w:r>
    </w:p>
    <w:p>
      <w:pPr>
        <w:spacing w:line="360" w:lineRule="auto"/>
        <w:ind w:firstLine="420"/>
        <w:rPr>
          <w:rFonts w:ascii="宋体" w:hAnsi="宋体" w:eastAsia="宋体" w:cs="宋体"/>
        </w:rPr>
      </w:pPr>
      <w:r>
        <w:rPr>
          <w:rFonts w:hint="eastAsia" w:ascii="宋体" w:hAnsi="宋体" w:eastAsia="宋体" w:cs="宋体"/>
        </w:rPr>
        <w:t>注：以上所提供的复印件均需加盖乙方公章，乙方应保证提供材料的真实性，如有需要甲方可要求核对原件。</w:t>
      </w:r>
    </w:p>
    <w:p>
      <w:pPr>
        <w:spacing w:line="360" w:lineRule="auto"/>
        <w:rPr>
          <w:rFonts w:ascii="宋体" w:hAnsi="宋体" w:eastAsia="宋体" w:cs="宋体"/>
        </w:rPr>
      </w:pPr>
      <w:bookmarkStart w:id="49" w:name="_Toc518487016"/>
      <w:bookmarkStart w:id="50" w:name="_Toc520906576"/>
      <w:r>
        <w:rPr>
          <w:rFonts w:hint="eastAsia" w:ascii="宋体" w:hAnsi="宋体" w:eastAsia="宋体" w:cs="宋体"/>
          <w:b/>
        </w:rPr>
        <w:t>4、付款与结算方式</w:t>
      </w:r>
      <w:bookmarkEnd w:id="49"/>
      <w:bookmarkEnd w:id="50"/>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4.1 设备付款与结算方式</w:t>
      </w:r>
    </w:p>
    <w:p>
      <w:pPr>
        <w:tabs>
          <w:tab w:val="left" w:pos="4186"/>
        </w:tabs>
        <w:spacing w:line="360" w:lineRule="auto"/>
        <w:ind w:firstLine="420" w:firstLineChars="200"/>
        <w:rPr>
          <w:rFonts w:hint="eastAsia" w:ascii="宋体" w:hAnsi="宋体" w:eastAsia="宋体" w:cs="宋体"/>
          <w:lang w:eastAsia="zh-CN"/>
        </w:rPr>
      </w:pPr>
      <w:r>
        <w:rPr>
          <w:rFonts w:hint="eastAsia" w:ascii="宋体" w:hAnsi="宋体" w:eastAsia="宋体" w:cs="宋体"/>
        </w:rPr>
        <w:t>（1）预付款：乙方应在本合同签订后，按要求提供甲方及设计单位认可的电梯条件图（包括布置方案图、井道施工图、电梯机房的施工图、设备安装图、电路电气控制图、系统原理图、接地方式等），并向甲方提交签约合同价30%的预付款保函。（预付款保函的形式可以为金融机构、担保机构出具的保函且需要符合甲方的要求，设备全部到货并验收合格后退回）</w:t>
      </w:r>
      <w:r>
        <w:rPr>
          <w:rFonts w:hint="eastAsia" w:ascii="宋体" w:hAnsi="宋体" w:eastAsia="宋体" w:cs="宋体"/>
          <w:lang w:eastAsia="zh-CN"/>
        </w:rPr>
        <w:t>。</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在甲方确认收到乙方递交的履约担保以及乙方提交的预付款保函、与预付款等额的有效增值税专用发票，甲方向乙方支付签约合同价的30%作为预付款。</w:t>
      </w:r>
    </w:p>
    <w:p>
      <w:pPr>
        <w:tabs>
          <w:tab w:val="left" w:pos="4186"/>
        </w:tabs>
        <w:spacing w:line="360" w:lineRule="auto"/>
        <w:ind w:firstLine="420" w:firstLineChars="200"/>
        <w:jc w:val="both"/>
        <w:rPr>
          <w:rFonts w:ascii="宋体" w:hAnsi="宋体" w:eastAsia="宋体" w:cs="宋体"/>
        </w:rPr>
      </w:pPr>
      <w:r>
        <w:rPr>
          <w:rFonts w:hint="eastAsia" w:ascii="宋体" w:hAnsi="宋体" w:eastAsia="宋体" w:cs="宋体"/>
        </w:rPr>
        <w:t>（2）乙方按甲方供货通知要求将设备送达工地、经双方共同开箱检查验收符合交货要求，并就位至甲方指定地点、与甲方、全咨（监理）单位完成确认事项，且收到乙方提交的符合要求的发票【30】日内，甲方向乙方支付到货价款的40%。【若设备分批进场，该节点工程款支付次数不应超过3次】。</w:t>
      </w:r>
    </w:p>
    <w:p>
      <w:pPr>
        <w:tabs>
          <w:tab w:val="left" w:pos="4186"/>
        </w:tabs>
        <w:spacing w:line="360" w:lineRule="auto"/>
        <w:ind w:firstLine="420" w:firstLineChars="200"/>
        <w:jc w:val="both"/>
        <w:rPr>
          <w:rFonts w:ascii="宋体" w:hAnsi="宋体" w:eastAsia="宋体" w:cs="宋体"/>
        </w:rPr>
      </w:pPr>
      <w:r>
        <w:rPr>
          <w:rFonts w:hint="eastAsia" w:ascii="宋体" w:hAnsi="宋体" w:eastAsia="宋体" w:cs="宋体"/>
        </w:rPr>
        <w:t>（3）设备安装完毕、调试、试运行通过，经属地特种设备检验检测机构验收合格并取得使用证、相关资料移交给总包单位并经甲方、全咨方、监理人确认，收到乙方提交的符合要求的发票【30】日内，甲方向乙方支付至合同总价的98.5%，剩余1.5%的合同价款作为质量保证金（若乙方提交与质量保证金等额的工程保函作为质量保证金的，全额支付剩余合同价款）。</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（4）质量保证金在质保期满后经甲方确认或第三方检测单位确认无质量和服务问题15天内无息支付，如质保期内未履行承诺的质量、服务，将按实扣除相应违约金。</w:t>
      </w:r>
    </w:p>
    <w:p>
      <w:pPr>
        <w:spacing w:line="360" w:lineRule="auto"/>
        <w:ind w:firstLine="420" w:firstLineChars="200"/>
        <w:rPr>
          <w:rFonts w:ascii="宋体" w:hAnsi="宋体" w:eastAsia="宋体" w:cs="宋体"/>
        </w:rPr>
      </w:pPr>
      <w:r>
        <w:rPr>
          <w:rFonts w:hint="eastAsia" w:ascii="宋体" w:hAnsi="宋体" w:eastAsia="宋体" w:cs="宋体"/>
        </w:rPr>
        <w:t>4.2 关于结算：最终结算价以甲方审定的结算价为准。</w:t>
      </w:r>
    </w:p>
    <w:p>
      <w:pPr>
        <w:tabs>
          <w:tab w:val="left" w:pos="180"/>
          <w:tab w:val="left" w:pos="420"/>
          <w:tab w:val="left" w:pos="525"/>
        </w:tabs>
        <w:spacing w:line="360" w:lineRule="auto"/>
        <w:ind w:left="105" w:leftChars="50" w:firstLine="420" w:firstLineChars="200"/>
        <w:rPr>
          <w:rFonts w:ascii="宋体" w:hAnsi="宋体" w:eastAsia="宋体" w:cs="宋体"/>
        </w:rPr>
      </w:pPr>
      <w:r>
        <w:rPr>
          <w:rFonts w:hint="eastAsia" w:ascii="宋体" w:hAnsi="宋体" w:eastAsia="宋体" w:cs="宋体"/>
        </w:rPr>
        <w:t>结算申请：电梯安装完毕，通过电梯当地特种设备检测机构验收合格后60天内必须提交完整的竣工结算资料,因电梯单位原因逾期未提交完整的竣工结算资料，每延误一天乙方应按500元/天向甲方支付违约金。</w:t>
      </w:r>
    </w:p>
    <w:p>
      <w:pPr>
        <w:spacing w:line="360" w:lineRule="auto"/>
        <w:rPr>
          <w:rFonts w:ascii="宋体" w:hAnsi="宋体" w:eastAsia="宋体" w:cs="宋体"/>
        </w:rPr>
      </w:pPr>
      <w:bookmarkStart w:id="51" w:name="_Toc520906578"/>
      <w:bookmarkStart w:id="52" w:name="_Toc518487017"/>
      <w:r>
        <w:rPr>
          <w:rFonts w:hint="eastAsia" w:ascii="宋体" w:hAnsi="宋体" w:eastAsia="宋体" w:cs="宋体"/>
        </w:rPr>
        <w:t>5、</w:t>
      </w:r>
      <w:r>
        <w:rPr>
          <w:rFonts w:hint="eastAsia" w:ascii="宋体" w:hAnsi="宋体" w:eastAsia="宋体" w:cs="宋体"/>
          <w:b/>
        </w:rPr>
        <w:t>技术服务</w:t>
      </w:r>
      <w:bookmarkEnd w:id="51"/>
      <w:bookmarkEnd w:id="52"/>
    </w:p>
    <w:p>
      <w:pPr>
        <w:spacing w:line="360" w:lineRule="auto"/>
        <w:ind w:firstLine="420" w:firstLineChars="200"/>
        <w:rPr>
          <w:rFonts w:ascii="宋体" w:hAnsi="宋体" w:eastAsia="宋体" w:cs="宋体"/>
        </w:rPr>
      </w:pPr>
      <w:r>
        <w:rPr>
          <w:rFonts w:hint="eastAsia" w:ascii="宋体" w:hAnsi="宋体" w:eastAsia="宋体" w:cs="宋体"/>
        </w:rPr>
        <w:t>乙方负责免费对甲方的技术人员进行电梯操作的技术培训。负责培训的人员应具备同类产品5年以上的维修经验。现场培训甲方的系统管理操作及简单维修人员不少于2名（以实际满足甲方需求为准）。可根据甲方的需要提供注重实践的技术培训，使甲方的技术人员达到能够独立进行管理、故障处理、日常测试维护工作，以便乙方所提供的设备能够正常、安全的运行。</w:t>
      </w:r>
    </w:p>
    <w:p>
      <w:pPr>
        <w:spacing w:line="360" w:lineRule="auto"/>
        <w:rPr>
          <w:rFonts w:ascii="宋体" w:hAnsi="宋体" w:eastAsia="宋体" w:cs="宋体"/>
        </w:rPr>
      </w:pPr>
      <w:r>
        <w:rPr>
          <w:rFonts w:hint="eastAsia" w:ascii="宋体" w:hAnsi="宋体" w:eastAsia="宋体" w:cs="宋体"/>
        </w:rPr>
        <w:t>6、</w:t>
      </w:r>
      <w:r>
        <w:rPr>
          <w:rFonts w:hint="eastAsia" w:ascii="宋体" w:hAnsi="宋体" w:eastAsia="宋体" w:cs="宋体"/>
          <w:b/>
        </w:rPr>
        <w:t>产品质量保证</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6.1 乙方保证本合同产品符合约定的国家强制性质量标准和规范，符合双方确认的产品规格表，在产品交付时随机附产品质量合格证书。</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 xml:space="preserve">6.2 本合同中电梯产品按GB7588《电梯制造与安装安全规范》标准制造。  </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 xml:space="preserve">6.3 承诺产品质量保修期自电梯安装地特种设备检验检测机构验收合格并取得合格证并交付甲方之日算起计算24个月（按投标文件进行修改）。   </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6.4 在产品质量保修期内，乙方对产品的缺陷负责免费修理或更换，产生材料费、人工费，此费用由乙方负责，更换下的零部件所有权归乙方所有，由乙方负责统一回收。如在保修期后发生故障，按浙江省维修保养安全管理规范2009版相关规定及乙方投标文件中所承诺的相关维保信息执行。</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6.5 双方确定，如发生质量争议，双方不能达成一致的，由双方共同协商确定省、直辖市一级特种设备检验检测机构进行鉴定。协商不成的，提交国家级特种设备检验检测机构进行鉴定，并以该机构的鉴定结论作为质量争议的最终结论。乙方根据鉴定结论承担相应的责任。</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6.6 乙方应按合同规定的设备性能、质量标准向甲方提供未经使用的符合质量要求的全新设备。乙方承诺提供的硬件和软件产品，无论在设计、制造或应用方面均应该是高质量、先进的产品。乙方不将已被逐渐淘汰的产品，或者被具有高技术性能所改进的新版本行将替代的那些产品提供给甲方，一经发现，乙方必须无条件更换最新版本的产品，并且甲方有权按违约处置，扣除相应履约保证金或质量保证金。乙方承诺在电梯使用寿命期间内对设备控制系统等软件提供免费升级。</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6.7 在设备调试阶段，根据甲方要求，乙方应及时派出现场服务人员，处理现场发生的有关质量技术问题，派技术人员安装调试。调试用有关设备、测仪表等由乙方自行配备，并承担费用。</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6.8 乙方保证所提供的设备在正常使用和维护保养的情况下，具有使甲方满意的使用性能和使用寿命。</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6.9 乙方应按甲方要求的时间及时向甲方提供用于土建施工、设备安装、调试和与其他分项工程相关的技术资料和所购电梯设备、配套设备等相关的技术资料。</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6.10 乙方在电梯安装前期须积极配合甲方或甲方其他分项工程的施工单位做好工程配套工作，必要时乙方必须派专业技术人员到工地现场与甲方或甲方其他分项工程的施工单位配合。</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6.11 工程调试合格竣工验收完毕交付甲方后，乙方需认真履行保修义务。在质保期内设备凡属正常使用情况下出现的质量问题以及由于乙方原因造成设备存在缺陷，乙方应负责免费更换、修复，产生的材料费、人工费等费用由乙方负责，更换下的零部件所有权归乙方所有，由乙方负责统一回收。如在保修期后（设备设计使用寿命内）发生故障，按现行的浙江省维修保养安全管理规范相关规定执行。</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6.12 产品安装经特种设备检测部门验收合格至移交甲方期间的保管、保养、材料及人工等费用均由乙方负责，且在质量保证期内，如产生材料费等费用由乙方负责。如在质保期后发生故障，按现行的浙江省电梯维修保养安全管理规范相关规定执行。</w:t>
      </w:r>
    </w:p>
    <w:p>
      <w:pPr>
        <w:spacing w:line="360" w:lineRule="auto"/>
        <w:rPr>
          <w:rFonts w:ascii="宋体" w:hAnsi="宋体" w:eastAsia="宋体" w:cs="宋体"/>
        </w:rPr>
      </w:pPr>
      <w:bookmarkStart w:id="53" w:name="_Toc425336753"/>
      <w:r>
        <w:rPr>
          <w:rFonts w:hint="eastAsia" w:ascii="宋体" w:hAnsi="宋体" w:eastAsia="宋体" w:cs="宋体"/>
        </w:rPr>
        <w:t>7、</w:t>
      </w:r>
      <w:r>
        <w:rPr>
          <w:rFonts w:hint="eastAsia" w:ascii="宋体" w:hAnsi="宋体" w:eastAsia="宋体" w:cs="宋体"/>
          <w:b/>
        </w:rPr>
        <w:t>产品质量验收</w:t>
      </w:r>
      <w:bookmarkEnd w:id="53"/>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7.1 本合同产品规格详见双方确认的《产品规格表》。</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7.2、双方按国家有关的验收技术标准进行产品的质量验收，经国家规定的质量技术监督部门检测并发放合格证明后为乙方交付产品合格，并向甲方出具《产品质量合格证书》、《电梯验收报告》和《客户资料》。</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7.3 乙方交货前应按合同规定的检验方法，作出全面检测。其记录附在质量证明书内。但有关质量、规格、性能、数量或重量的检验不应视为最终检验。乙方检验的结果和详细要求应在质量证明书中加以说明。</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7.4 设备到达现场，乙方应提前7天通知甲方并派人参与甲方的开箱检验工作，甲方有权委托有关专家进行当场验收，如有进口设备部件的，应按本合同第5条的规定提供有关文件。</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7.5 在验收中，如发现乙方提供的设备不符合要求，乙方在接到甲方书面异议后，应在7天内负责处理，否则，即视为默认甲方提出的异议和处理意见。另甲方签署验收单的行为并不表示标的物质量符合合同要求，乙方在本合同约定的质保期内仍需承担质量保证责任。其一切费用由乙方负责。</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7.6 乙方负责良好的安装和售后服务，按照合同约定的时间尽快安装调试完毕，并确保在第一时间通过当地特种设备检验检测机构验收合格。</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7.7 完成竣工资料工作并提供伍套竣工资料（一正肆副），按甲方的档案管理要求完成资料归档工作。电梯资料移交给总包单位统一汇总。</w:t>
      </w:r>
    </w:p>
    <w:p>
      <w:pPr>
        <w:tabs>
          <w:tab w:val="left" w:pos="4186"/>
        </w:tabs>
        <w:spacing w:line="360" w:lineRule="auto"/>
        <w:ind w:firstLine="420" w:firstLineChars="200"/>
        <w:rPr>
          <w:rFonts w:ascii="宋体" w:hAnsi="宋体" w:eastAsia="宋体" w:cs="宋体"/>
        </w:rPr>
      </w:pPr>
      <w:r>
        <w:rPr>
          <w:rFonts w:hint="eastAsia" w:ascii="宋体" w:hAnsi="宋体" w:eastAsia="宋体" w:cs="宋体"/>
        </w:rPr>
        <w:t>7.8 经验收合格的产品，乙方有责任保护、管理至全部工程经电梯安装地特种设备检验检测机构验收合格并取得合格证并交付甲方之日止。</w:t>
      </w:r>
    </w:p>
    <w:p>
      <w:pPr>
        <w:spacing w:line="360" w:lineRule="auto"/>
        <w:rPr>
          <w:rFonts w:ascii="宋体" w:hAnsi="宋体" w:eastAsia="宋体" w:cs="宋体"/>
        </w:rPr>
      </w:pPr>
      <w:r>
        <w:rPr>
          <w:rFonts w:hint="eastAsia" w:ascii="宋体" w:hAnsi="宋体" w:eastAsia="宋体" w:cs="宋体"/>
        </w:rPr>
        <w:t>8、</w:t>
      </w:r>
      <w:r>
        <w:rPr>
          <w:rFonts w:hint="eastAsia" w:ascii="宋体" w:hAnsi="宋体" w:eastAsia="宋体" w:cs="宋体"/>
          <w:b/>
        </w:rPr>
        <w:t>安装验收</w:t>
      </w:r>
    </w:p>
    <w:p>
      <w:pPr>
        <w:spacing w:line="360" w:lineRule="auto"/>
        <w:ind w:firstLine="420" w:firstLineChars="200"/>
        <w:rPr>
          <w:rFonts w:ascii="宋体" w:hAnsi="宋体" w:eastAsia="宋体" w:cs="宋体"/>
          <w:kern w:val="28"/>
        </w:rPr>
      </w:pPr>
      <w:r>
        <w:rPr>
          <w:rFonts w:hint="eastAsia" w:ascii="宋体" w:hAnsi="宋体" w:eastAsia="宋体" w:cs="宋体"/>
        </w:rPr>
        <w:t>8.1 双方按国家有关的验收技术标准进行产品的质量验收，经国家规定的质量技术监督部门检测并发放合格证明后为乙方交付产品合格，并向甲方出具《产品质量合格证书》、《电梯验收报告》和《客户资料</w:t>
      </w:r>
      <w:r>
        <w:rPr>
          <w:rFonts w:hint="eastAsia" w:ascii="宋体" w:hAnsi="宋体" w:eastAsia="宋体" w:cs="宋体"/>
          <w:kern w:val="28"/>
        </w:rPr>
        <w:t>》、电梯安装地特种设备检测机构出具的《电梯监督检验报告》及《电梯使用标志》等。甲方书面签收交接以上资料后并不视为乙方正式移交本工程。</w:t>
      </w:r>
    </w:p>
    <w:p>
      <w:pPr>
        <w:spacing w:line="360" w:lineRule="auto"/>
        <w:ind w:firstLine="420" w:firstLineChars="200"/>
        <w:rPr>
          <w:rFonts w:ascii="宋体" w:hAnsi="宋体" w:eastAsia="宋体" w:cs="宋体"/>
        </w:rPr>
      </w:pPr>
      <w:r>
        <w:rPr>
          <w:rFonts w:hint="eastAsia" w:ascii="宋体" w:hAnsi="宋体" w:eastAsia="宋体" w:cs="宋体"/>
        </w:rPr>
        <w:t>8.2 完成竣工资料工作并提供伍套竣工资料（一正肆副），按甲方的档案管理要求完成资料归档工作。电梯资料移交给总包单位统一汇总。</w:t>
      </w:r>
    </w:p>
    <w:p>
      <w:pPr>
        <w:spacing w:line="360" w:lineRule="auto"/>
        <w:rPr>
          <w:rFonts w:ascii="宋体" w:hAnsi="宋体" w:eastAsia="宋体" w:cs="宋体"/>
        </w:rPr>
      </w:pPr>
      <w:r>
        <w:rPr>
          <w:rFonts w:hint="eastAsia" w:ascii="宋体" w:hAnsi="宋体" w:eastAsia="宋体" w:cs="宋体"/>
        </w:rPr>
        <w:t>9、</w:t>
      </w:r>
      <w:r>
        <w:rPr>
          <w:rFonts w:hint="eastAsia" w:ascii="宋体" w:hAnsi="宋体" w:eastAsia="宋体" w:cs="宋体"/>
          <w:b/>
        </w:rPr>
        <w:t>成品保护</w:t>
      </w:r>
    </w:p>
    <w:p>
      <w:pPr>
        <w:spacing w:line="360" w:lineRule="auto"/>
        <w:ind w:firstLine="420" w:firstLineChars="200"/>
        <w:rPr>
          <w:rFonts w:ascii="宋体" w:hAnsi="宋体" w:eastAsia="宋体" w:cs="宋体"/>
        </w:rPr>
      </w:pPr>
      <w:r>
        <w:rPr>
          <w:rFonts w:hint="eastAsia" w:ascii="宋体" w:hAnsi="宋体" w:eastAsia="宋体" w:cs="宋体"/>
        </w:rPr>
        <w:t>工程完成后，乙方须负责电梯全部设备的保护和清洁工作，直至设备验收合格并取得政府有关部门的使用证书及甲方交付之日为止。在安装过程中，如建筑结构或其他设备被乙方破坏，乙方将要负责修理或赔偿损失。部分电梯做临时用梯使用的，由使用方提供电梯轿厢成品保护设置（轿厢保护措施要求为轿厢壁、顶面及地面分别用1.8cm厚实木免漆板，做到能正常使用又不为装修工程破坏，待招标人装修完毕后拆除。如需临时拆装轿顶，投标人不收取临时拆装费。）</w:t>
      </w:r>
    </w:p>
    <w:p>
      <w:pPr>
        <w:spacing w:line="360" w:lineRule="auto"/>
        <w:rPr>
          <w:rFonts w:ascii="宋体" w:hAnsi="宋体" w:eastAsia="宋体" w:cs="宋体"/>
        </w:rPr>
      </w:pPr>
      <w:r>
        <w:rPr>
          <w:rFonts w:hint="eastAsia" w:ascii="宋体" w:hAnsi="宋体" w:eastAsia="宋体" w:cs="宋体"/>
        </w:rPr>
        <w:t>10、</w:t>
      </w:r>
      <w:r>
        <w:rPr>
          <w:rFonts w:hint="eastAsia" w:ascii="宋体" w:hAnsi="宋体" w:eastAsia="宋体" w:cs="宋体"/>
          <w:b/>
        </w:rPr>
        <w:t>技术资料</w:t>
      </w:r>
    </w:p>
    <w:p>
      <w:pPr>
        <w:spacing w:line="360" w:lineRule="auto"/>
        <w:ind w:firstLine="420" w:firstLineChars="200"/>
        <w:rPr>
          <w:rFonts w:ascii="宋体" w:hAnsi="宋体" w:eastAsia="宋体" w:cs="宋体"/>
        </w:rPr>
      </w:pPr>
      <w:r>
        <w:rPr>
          <w:rFonts w:hint="eastAsia" w:ascii="宋体" w:hAnsi="宋体" w:eastAsia="宋体" w:cs="宋体"/>
        </w:rPr>
        <w:t>电梯交付时应附相关的使用中文技术资料和安装资料5套（一正肆副），技术文件包含但不限于：</w:t>
      </w:r>
    </w:p>
    <w:p>
      <w:pPr>
        <w:spacing w:line="360" w:lineRule="auto"/>
        <w:ind w:firstLine="420" w:firstLineChars="200"/>
        <w:rPr>
          <w:rFonts w:ascii="宋体" w:hAnsi="宋体" w:eastAsia="宋体" w:cs="宋体"/>
        </w:rPr>
      </w:pPr>
      <w:r>
        <w:rPr>
          <w:rFonts w:hint="eastAsia" w:ascii="宋体" w:hAnsi="宋体" w:eastAsia="宋体" w:cs="宋体"/>
        </w:rPr>
        <w:t>（1）电梯出厂检验合格证书。</w:t>
      </w:r>
    </w:p>
    <w:p>
      <w:pPr>
        <w:spacing w:line="360" w:lineRule="auto"/>
        <w:ind w:firstLine="420" w:firstLineChars="200"/>
        <w:rPr>
          <w:rFonts w:ascii="宋体" w:hAnsi="宋体" w:eastAsia="宋体" w:cs="宋体"/>
        </w:rPr>
      </w:pPr>
      <w:r>
        <w:rPr>
          <w:rFonts w:hint="eastAsia" w:ascii="宋体" w:hAnsi="宋体" w:eastAsia="宋体" w:cs="宋体"/>
        </w:rPr>
        <w:t>（2）电梯装箱清单。</w:t>
      </w:r>
    </w:p>
    <w:p>
      <w:pPr>
        <w:spacing w:line="360" w:lineRule="auto"/>
        <w:ind w:firstLine="420" w:firstLineChars="200"/>
        <w:rPr>
          <w:rFonts w:ascii="宋体" w:hAnsi="宋体" w:eastAsia="宋体" w:cs="宋体"/>
        </w:rPr>
      </w:pPr>
      <w:r>
        <w:rPr>
          <w:rFonts w:hint="eastAsia" w:ascii="宋体" w:hAnsi="宋体" w:eastAsia="宋体" w:cs="宋体"/>
        </w:rPr>
        <w:t>（3）电梯安装及土建施工的配合图纸。</w:t>
      </w:r>
    </w:p>
    <w:p>
      <w:pPr>
        <w:spacing w:line="360" w:lineRule="auto"/>
        <w:ind w:firstLine="420" w:firstLineChars="200"/>
        <w:rPr>
          <w:rFonts w:ascii="宋体" w:hAnsi="宋体" w:eastAsia="宋体" w:cs="宋体"/>
        </w:rPr>
      </w:pPr>
      <w:r>
        <w:rPr>
          <w:rFonts w:hint="eastAsia" w:ascii="宋体" w:hAnsi="宋体" w:eastAsia="宋体" w:cs="宋体"/>
        </w:rPr>
        <w:t>（4）电气设备系统原理图、系统安装接线图及电气代号文字说明。</w:t>
      </w:r>
    </w:p>
    <w:p>
      <w:pPr>
        <w:spacing w:line="360" w:lineRule="auto"/>
        <w:ind w:firstLine="420" w:firstLineChars="200"/>
        <w:rPr>
          <w:rFonts w:ascii="宋体" w:hAnsi="宋体" w:eastAsia="宋体" w:cs="宋体"/>
        </w:rPr>
      </w:pPr>
      <w:r>
        <w:rPr>
          <w:rFonts w:hint="eastAsia" w:ascii="宋体" w:hAnsi="宋体" w:eastAsia="宋体" w:cs="宋体"/>
        </w:rPr>
        <w:t>（5）安装手册及机械安装图。</w:t>
      </w:r>
    </w:p>
    <w:p>
      <w:pPr>
        <w:spacing w:line="360" w:lineRule="auto"/>
        <w:ind w:firstLine="420" w:firstLineChars="200"/>
        <w:rPr>
          <w:rFonts w:ascii="宋体" w:hAnsi="宋体" w:eastAsia="宋体" w:cs="宋体"/>
        </w:rPr>
      </w:pPr>
      <w:r>
        <w:rPr>
          <w:rFonts w:hint="eastAsia" w:ascii="宋体" w:hAnsi="宋体" w:eastAsia="宋体" w:cs="宋体"/>
        </w:rPr>
        <w:t>（6）操作手册及维修保养手册。</w:t>
      </w:r>
    </w:p>
    <w:p>
      <w:pPr>
        <w:spacing w:line="360" w:lineRule="auto"/>
        <w:ind w:firstLine="420" w:firstLineChars="200"/>
        <w:rPr>
          <w:rFonts w:ascii="宋体" w:hAnsi="宋体" w:eastAsia="宋体" w:cs="宋体"/>
        </w:rPr>
      </w:pPr>
      <w:r>
        <w:rPr>
          <w:rFonts w:hint="eastAsia" w:ascii="宋体" w:hAnsi="宋体" w:eastAsia="宋体" w:cs="宋体"/>
        </w:rPr>
        <w:t>（7）电梯正常运作所需配备的专用工具、附件及辅助部件的规格说明。</w:t>
      </w:r>
    </w:p>
    <w:p>
      <w:pPr>
        <w:spacing w:line="360" w:lineRule="auto"/>
        <w:ind w:firstLine="420" w:firstLineChars="200"/>
        <w:rPr>
          <w:rFonts w:ascii="宋体" w:hAnsi="宋体" w:eastAsia="宋体" w:cs="宋体"/>
        </w:rPr>
      </w:pPr>
      <w:r>
        <w:rPr>
          <w:rFonts w:hint="eastAsia" w:ascii="宋体" w:hAnsi="宋体" w:eastAsia="宋体" w:cs="宋体"/>
        </w:rPr>
        <w:t>（8）安装及验收报告（包括验收数据资料）。</w:t>
      </w:r>
    </w:p>
    <w:p>
      <w:pPr>
        <w:spacing w:line="360" w:lineRule="auto"/>
        <w:rPr>
          <w:rFonts w:ascii="宋体" w:hAnsi="宋体" w:eastAsia="宋体" w:cs="宋体"/>
          <w:b/>
        </w:rPr>
      </w:pPr>
      <w:r>
        <w:rPr>
          <w:rFonts w:hint="eastAsia" w:ascii="宋体" w:hAnsi="宋体" w:eastAsia="宋体" w:cs="宋体"/>
          <w:b/>
        </w:rPr>
        <w:t>11、竣工移交</w:t>
      </w:r>
    </w:p>
    <w:p>
      <w:pPr>
        <w:spacing w:line="360" w:lineRule="auto"/>
        <w:ind w:firstLine="420" w:firstLineChars="200"/>
        <w:rPr>
          <w:rFonts w:ascii="宋体" w:hAnsi="宋体" w:eastAsia="宋体" w:cs="宋体"/>
        </w:rPr>
      </w:pPr>
      <w:r>
        <w:rPr>
          <w:rFonts w:hint="eastAsia" w:ascii="宋体" w:hAnsi="宋体" w:eastAsia="宋体" w:cs="宋体"/>
        </w:rPr>
        <w:t>产品经电梯安装地特种设备检验检测机构验收合格并取得合格证且经甲方及全咨方确认，乙方将电梯的所有权移交给甲方，并向甲方提供：</w:t>
      </w:r>
    </w:p>
    <w:p>
      <w:pPr>
        <w:spacing w:line="360" w:lineRule="auto"/>
        <w:ind w:firstLine="420" w:firstLineChars="200"/>
        <w:rPr>
          <w:rFonts w:ascii="宋体" w:hAnsi="宋体" w:eastAsia="宋体" w:cs="宋体"/>
        </w:rPr>
      </w:pPr>
      <w:r>
        <w:rPr>
          <w:rFonts w:hint="eastAsia" w:ascii="宋体" w:hAnsi="宋体" w:eastAsia="宋体" w:cs="宋体"/>
        </w:rPr>
        <w:t>11.1 公司出具的《产品出厂质量合格证书》、《客户资料》；</w:t>
      </w:r>
    </w:p>
    <w:p>
      <w:pPr>
        <w:spacing w:line="360" w:lineRule="auto"/>
        <w:ind w:firstLine="420" w:firstLineChars="200"/>
        <w:rPr>
          <w:rFonts w:ascii="宋体" w:hAnsi="宋体" w:eastAsia="宋体" w:cs="宋体"/>
        </w:rPr>
      </w:pPr>
      <w:r>
        <w:rPr>
          <w:rFonts w:hint="eastAsia" w:ascii="宋体" w:hAnsi="宋体" w:eastAsia="宋体" w:cs="宋体"/>
        </w:rPr>
        <w:t>11.2 电梯安装地特种设备检测机构出具的《电梯监督检验报告》、《电梯使用标志》。</w:t>
      </w:r>
    </w:p>
    <w:p>
      <w:pPr>
        <w:spacing w:line="360" w:lineRule="auto"/>
        <w:ind w:firstLine="420" w:firstLineChars="200"/>
        <w:rPr>
          <w:rFonts w:ascii="宋体" w:hAnsi="宋体" w:eastAsia="宋体" w:cs="宋体"/>
        </w:rPr>
      </w:pPr>
      <w:r>
        <w:rPr>
          <w:rFonts w:hint="eastAsia" w:ascii="宋体" w:hAnsi="宋体" w:eastAsia="宋体" w:cs="宋体"/>
        </w:rPr>
        <w:t>11.3 完成竣工资料工作并提供伍套竣工资料（一正肆副）及伍套竣工图，按甲方的档案管理要求完成资料归档工作。电梯资料移交给总包单位统一汇总。</w:t>
      </w:r>
    </w:p>
    <w:p>
      <w:pPr>
        <w:spacing w:line="360" w:lineRule="auto"/>
        <w:rPr>
          <w:rFonts w:ascii="宋体" w:hAnsi="宋体" w:eastAsia="宋体" w:cs="宋体"/>
          <w:b/>
        </w:rPr>
      </w:pPr>
      <w:r>
        <w:rPr>
          <w:rFonts w:hint="eastAsia" w:ascii="宋体" w:hAnsi="宋体" w:eastAsia="宋体" w:cs="宋体"/>
          <w:b/>
        </w:rPr>
        <w:t>12、维保服务</w:t>
      </w:r>
    </w:p>
    <w:p>
      <w:pPr>
        <w:spacing w:line="360" w:lineRule="auto"/>
        <w:ind w:firstLine="420" w:firstLineChars="200"/>
        <w:rPr>
          <w:rFonts w:ascii="宋体" w:hAnsi="宋体" w:eastAsia="宋体" w:cs="宋体"/>
        </w:rPr>
      </w:pPr>
      <w:r>
        <w:rPr>
          <w:rFonts w:hint="eastAsia" w:ascii="宋体" w:hAnsi="宋体" w:eastAsia="宋体" w:cs="宋体"/>
        </w:rPr>
        <w:t>12.1 保修期内由乙方承担因产品制造、安装质量产生故障的免费保修、更换服务。</w:t>
      </w:r>
    </w:p>
    <w:p>
      <w:pPr>
        <w:spacing w:line="360" w:lineRule="auto"/>
        <w:ind w:firstLine="420" w:firstLineChars="200"/>
        <w:rPr>
          <w:rFonts w:ascii="宋体" w:hAnsi="宋体" w:eastAsia="宋体" w:cs="宋体"/>
        </w:rPr>
      </w:pPr>
      <w:r>
        <w:rPr>
          <w:rFonts w:hint="eastAsia" w:ascii="宋体" w:hAnsi="宋体" w:eastAsia="宋体" w:cs="宋体"/>
        </w:rPr>
        <w:t>12.2 设立现场维保点，具体地点选择由双方协商，房间租赁费用由乙方承担。</w:t>
      </w:r>
    </w:p>
    <w:p>
      <w:pPr>
        <w:spacing w:line="360" w:lineRule="auto"/>
        <w:ind w:firstLine="420" w:firstLineChars="200"/>
        <w:rPr>
          <w:rFonts w:ascii="宋体" w:hAnsi="宋体" w:eastAsia="宋体" w:cs="宋体"/>
        </w:rPr>
      </w:pPr>
      <w:r>
        <w:rPr>
          <w:rFonts w:hint="eastAsia" w:ascii="宋体" w:hAnsi="宋体" w:eastAsia="宋体" w:cs="宋体"/>
        </w:rPr>
        <w:t>12.3 具体维保要求详见招标文件“第三章采购需求”</w:t>
      </w:r>
    </w:p>
    <w:p>
      <w:pPr>
        <w:spacing w:line="360" w:lineRule="auto"/>
        <w:ind w:firstLine="420" w:firstLineChars="200"/>
        <w:rPr>
          <w:rFonts w:ascii="宋体" w:hAnsi="宋体" w:eastAsia="宋体" w:cs="宋体"/>
        </w:rPr>
      </w:pPr>
      <w:r>
        <w:rPr>
          <w:rFonts w:hint="eastAsia" w:ascii="宋体" w:hAnsi="宋体" w:eastAsia="宋体" w:cs="宋体"/>
        </w:rPr>
        <w:t>12.4 电梯正式交付使用前，乙方应按甲方要求提供部分电梯做临时梯使用。乙方提供临时用梯期间的使用、维修、保管及保养等服务，临时梯运行期间乙方需派专人进行现场看管及保护，在使用过程中偷盗、损坏（含人为损坏）等均由乙方负责；临时梯使用过程中每台临时梯必须配备电梯专车司机，负责日常电梯的操作使用及管理；临时梯使用阶段需乙方配备现场驻场维保人员，负责电梯维保及日常问题处理；临时梯用梯完成后，乙方需进行一次详细检查及大保养（不仅限于更换导靴/配件、修剪钢丝绳等），保证电梯所有质量交付标准恢复到新梯标准并经甲方认可为止。电梯此类性质的使用，不视为电梯的交付，不变更质保期起始时间，也不减免乙方在最终交付甲方前应负的成品保管及安全管理的责任，并且不应降低最终交付质量标准。涉及相关费用由使用方与乙方协商解决。</w:t>
      </w:r>
    </w:p>
    <w:p>
      <w:pPr>
        <w:tabs>
          <w:tab w:val="left" w:pos="4186"/>
        </w:tabs>
        <w:spacing w:line="360" w:lineRule="auto"/>
        <w:rPr>
          <w:rFonts w:ascii="宋体" w:hAnsi="宋体" w:eastAsia="宋体" w:cs="宋体"/>
          <w:b/>
        </w:rPr>
      </w:pPr>
      <w:r>
        <w:rPr>
          <w:rFonts w:hint="eastAsia" w:ascii="宋体" w:hAnsi="宋体" w:eastAsia="宋体" w:cs="宋体"/>
          <w:b/>
        </w:rPr>
        <w:t>13、违约责任</w:t>
      </w:r>
    </w:p>
    <w:p>
      <w:pPr>
        <w:spacing w:line="360" w:lineRule="auto"/>
        <w:ind w:firstLine="420" w:firstLineChars="200"/>
        <w:rPr>
          <w:rFonts w:ascii="宋体" w:hAnsi="宋体" w:eastAsia="宋体" w:cs="宋体"/>
        </w:rPr>
      </w:pPr>
      <w:r>
        <w:rPr>
          <w:rFonts w:hint="eastAsia" w:ascii="宋体" w:hAnsi="宋体" w:eastAsia="宋体" w:cs="宋体"/>
        </w:rPr>
        <w:t>13.1 延期交货：除甲方原因外，若乙方未能按合同约定期限交货或未能按期完成安装验收合格并具备使用的，每延期一天，则须向甲方支付设备总价的万分之二违约金，累加计算；若整机中的零部件逾期交货，按整机逾期交货计算违约金；延期交货超过30天则视为乙方不能交货，甲方有权单方解除合同，乙方退还甲方已付所有款项，同时乙方须向甲方支付设备总价的20%作为违约金，同时。如给甲方造成的损失超过违约金的，乙方应赔偿甲方全部损失。</w:t>
      </w:r>
    </w:p>
    <w:p>
      <w:pPr>
        <w:spacing w:line="360" w:lineRule="auto"/>
        <w:ind w:firstLine="420" w:firstLineChars="200"/>
        <w:rPr>
          <w:rFonts w:ascii="宋体" w:hAnsi="宋体" w:eastAsia="宋体" w:cs="宋体"/>
        </w:rPr>
      </w:pPr>
      <w:r>
        <w:rPr>
          <w:rFonts w:hint="eastAsia" w:ascii="宋体" w:hAnsi="宋体" w:eastAsia="宋体" w:cs="宋体"/>
        </w:rPr>
        <w:t>本条约定的乙方应支付的赔偿金甲方有权从进度款中扣减（若进度款不足抵付违约金或赔偿款的，乙方应另行补足。）</w:t>
      </w:r>
    </w:p>
    <w:p>
      <w:pPr>
        <w:spacing w:line="360" w:lineRule="auto"/>
        <w:ind w:firstLine="420" w:firstLineChars="200"/>
        <w:rPr>
          <w:rFonts w:ascii="宋体" w:hAnsi="宋体" w:eastAsia="宋体" w:cs="宋体"/>
        </w:rPr>
      </w:pPr>
      <w:r>
        <w:rPr>
          <w:rFonts w:hint="eastAsia" w:ascii="宋体" w:hAnsi="宋体" w:eastAsia="宋体" w:cs="宋体"/>
        </w:rPr>
        <w:t>13.2 乙方在合同生效后明确表示或以实际行动表示不予交货的，甲方有权解除合同。乙方须在收到甲方解除合同的书面通知后10个工作日内，按不能交货设备总价的20%向甲方支付违约金，同时退还甲方已付所有款项及银行同期贷款利息。如给甲方造成的损失超过违约金的，乙方应赔偿甲方全部损失。</w:t>
      </w:r>
    </w:p>
    <w:p>
      <w:pPr>
        <w:spacing w:line="360" w:lineRule="auto"/>
        <w:ind w:firstLine="420" w:firstLineChars="200"/>
        <w:rPr>
          <w:rFonts w:ascii="宋体" w:hAnsi="宋体" w:eastAsia="宋体" w:cs="宋体"/>
        </w:rPr>
      </w:pPr>
      <w:r>
        <w:rPr>
          <w:rFonts w:hint="eastAsia" w:ascii="宋体" w:hAnsi="宋体" w:eastAsia="宋体" w:cs="宋体"/>
        </w:rPr>
        <w:t>13.3 甲方中途退货的</w:t>
      </w:r>
    </w:p>
    <w:p>
      <w:pPr>
        <w:spacing w:line="360" w:lineRule="auto"/>
        <w:ind w:firstLine="420" w:firstLineChars="200"/>
        <w:rPr>
          <w:rFonts w:ascii="宋体" w:hAnsi="宋体" w:eastAsia="宋体" w:cs="宋体"/>
        </w:rPr>
      </w:pPr>
      <w:r>
        <w:rPr>
          <w:rFonts w:hint="eastAsia" w:ascii="宋体" w:hAnsi="宋体" w:eastAsia="宋体" w:cs="宋体"/>
        </w:rPr>
        <w:t>（1）甲方在通知乙方排产后中途退货的，乙方没收甲方定金后甲方应根据乙方实际损失进行赔偿。</w:t>
      </w:r>
    </w:p>
    <w:p>
      <w:pPr>
        <w:spacing w:line="360" w:lineRule="auto"/>
        <w:ind w:firstLine="420" w:firstLineChars="200"/>
        <w:rPr>
          <w:rFonts w:ascii="宋体" w:hAnsi="宋体" w:eastAsia="宋体" w:cs="宋体"/>
        </w:rPr>
      </w:pPr>
      <w:r>
        <w:rPr>
          <w:rFonts w:hint="eastAsia" w:ascii="宋体" w:hAnsi="宋体" w:eastAsia="宋体" w:cs="宋体"/>
        </w:rPr>
        <w:t>（2）经甲、乙双方协商同意延期交货和经双方友好协商同意退货不在此例。</w:t>
      </w:r>
    </w:p>
    <w:p>
      <w:pPr>
        <w:spacing w:line="360" w:lineRule="auto"/>
        <w:ind w:firstLine="420" w:firstLineChars="200"/>
        <w:rPr>
          <w:rFonts w:ascii="宋体" w:hAnsi="宋体" w:eastAsia="宋体" w:cs="宋体"/>
        </w:rPr>
      </w:pPr>
      <w:r>
        <w:rPr>
          <w:rFonts w:hint="eastAsia" w:ascii="宋体" w:hAnsi="宋体" w:eastAsia="宋体" w:cs="宋体"/>
        </w:rPr>
        <w:t>13.4 因乙方原因，乙方未能按时提交完整竣工验收或结算资料，每延误一天乙方应按5000元/天向甲方支付违约金。</w:t>
      </w:r>
    </w:p>
    <w:p>
      <w:pPr>
        <w:spacing w:line="360" w:lineRule="auto"/>
        <w:ind w:firstLine="420" w:firstLineChars="200"/>
        <w:rPr>
          <w:rFonts w:ascii="宋体" w:hAnsi="宋体" w:eastAsia="宋体" w:cs="宋体"/>
        </w:rPr>
      </w:pPr>
      <w:r>
        <w:rPr>
          <w:rFonts w:hint="eastAsia" w:ascii="宋体" w:hAnsi="宋体" w:eastAsia="宋体" w:cs="宋体"/>
        </w:rPr>
        <w:t>13.5 乙方在服务项目验收合格之日至交付之日起保修期内违反本合同有关承诺保证的，甲方将有权不予退还质量保证金，并要求乙方赔偿甲方实际损失。</w:t>
      </w:r>
    </w:p>
    <w:p>
      <w:pPr>
        <w:spacing w:line="360" w:lineRule="auto"/>
        <w:ind w:firstLine="420" w:firstLineChars="200"/>
        <w:rPr>
          <w:rFonts w:ascii="宋体" w:hAnsi="宋体" w:eastAsia="宋体" w:cs="宋体"/>
        </w:rPr>
      </w:pPr>
      <w:r>
        <w:rPr>
          <w:rFonts w:hint="eastAsia" w:ascii="宋体" w:hAnsi="宋体" w:eastAsia="宋体" w:cs="宋体"/>
        </w:rPr>
        <w:t>13.6 乙方未按合同约定工期或甲方要求完成产品安装，按安装费总价每天万分之四的比例向甲方支付工程延误违约金。乙方支付违约金后，仍应按照合同约定继续履行义务。</w:t>
      </w:r>
    </w:p>
    <w:p>
      <w:pPr>
        <w:spacing w:line="360" w:lineRule="auto"/>
        <w:ind w:firstLine="420" w:firstLineChars="200"/>
        <w:rPr>
          <w:rFonts w:ascii="宋体" w:hAnsi="宋体" w:eastAsia="宋体" w:cs="宋体"/>
        </w:rPr>
      </w:pPr>
      <w:r>
        <w:rPr>
          <w:rFonts w:hint="eastAsia" w:ascii="宋体" w:hAnsi="宋体" w:eastAsia="宋体" w:cs="宋体"/>
        </w:rPr>
        <w:t>13.7 如由于生产或装货及运输过程中发生的不可抗力原因，乙方未能按时发货或未能发货，乙方应立即通知甲方，并在14天内向甲方提供当地有关当局出具的事发证明以供甲方确认。在此情况下，乙方仍然有责任采取必要措施以加速供货。如不可抗力事故持续10周以上，则甲方有权解除本合同。</w:t>
      </w:r>
    </w:p>
    <w:p>
      <w:pPr>
        <w:spacing w:line="360" w:lineRule="auto"/>
        <w:ind w:firstLine="420" w:firstLineChars="200"/>
        <w:rPr>
          <w:rFonts w:ascii="宋体" w:hAnsi="宋体" w:eastAsia="宋体" w:cs="宋体"/>
        </w:rPr>
      </w:pPr>
      <w:r>
        <w:rPr>
          <w:rFonts w:hint="eastAsia" w:ascii="宋体" w:hAnsi="宋体" w:eastAsia="宋体" w:cs="宋体"/>
        </w:rPr>
        <w:t>13.8 履约保证金的扣罚：按照施工过程中出现的工程质量、工期控制节点、安全文明施工、施工配合、项目班子成员到岗率等问题，乙方违约情节严重的，给甲方造成重大损失的，甲方有权对乙方追加造成的损失，并加重处罚。电梯工程未一次性通过特检院验收，乙方无条件返工并承担返工、修复、延期等全部费用。同时甲方有权扣除履约保证金中工程施工质量保证金（占履约保证金40%），该保证金不足以补偿甲方受到的损失的，甲方有权向乙方追偿。由此造成工程交付延期，每逾期一天，乙方应向甲方支付5000-10000元违约金。</w:t>
      </w:r>
    </w:p>
    <w:p>
      <w:pPr>
        <w:spacing w:line="360" w:lineRule="auto"/>
        <w:ind w:firstLine="420" w:firstLineChars="200"/>
        <w:rPr>
          <w:rFonts w:ascii="宋体" w:hAnsi="宋体" w:eastAsia="宋体" w:cs="宋体"/>
        </w:rPr>
      </w:pPr>
      <w:r>
        <w:rPr>
          <w:rFonts w:hint="eastAsia" w:ascii="宋体" w:hAnsi="宋体" w:eastAsia="宋体" w:cs="宋体"/>
        </w:rPr>
        <w:t>13.9 如乙方未按投标文件中承诺的材料进行采购、施工，重要材料未经甲方、全咨方、监理人确认，必须限期整改并无条件接受处罚违约金，如拒不整改，则甲方有权按合同扣除违约金1000-20000元/项，乙方违约造成合同解除的，除其履约保证金归甲方所有外，还应承担全部直接经济损失。</w:t>
      </w:r>
    </w:p>
    <w:p>
      <w:pPr>
        <w:spacing w:line="360" w:lineRule="auto"/>
        <w:ind w:firstLine="420" w:firstLineChars="200"/>
        <w:rPr>
          <w:rFonts w:ascii="宋体" w:hAnsi="宋体" w:eastAsia="宋体" w:cs="宋体"/>
        </w:rPr>
      </w:pPr>
      <w:r>
        <w:rPr>
          <w:rFonts w:hint="eastAsia" w:ascii="宋体" w:hAnsi="宋体" w:eastAsia="宋体" w:cs="宋体"/>
        </w:rPr>
        <w:t>13.10 乙方在施工期间，应注意保护好其它施工单位的工作成果，如有损坏，自行妥善处理；自身不能妥善处理、影响任一方工程进度的，甲方有权作出赔偿决断，费用从每批次安装款或结算款中扣减。</w:t>
      </w:r>
    </w:p>
    <w:p>
      <w:pPr>
        <w:spacing w:line="360" w:lineRule="auto"/>
        <w:ind w:firstLine="420" w:firstLineChars="200"/>
        <w:rPr>
          <w:rFonts w:ascii="宋体" w:hAnsi="宋体" w:eastAsia="宋体" w:cs="宋体"/>
        </w:rPr>
      </w:pPr>
      <w:r>
        <w:rPr>
          <w:rFonts w:hint="eastAsia" w:ascii="宋体" w:hAnsi="宋体" w:eastAsia="宋体" w:cs="宋体"/>
        </w:rPr>
        <w:t>13.11 乙方必须服从甲方、全咨方及监理单位的管理，执行甲方、全咨方及监理的各项管理制度，若甲方、全咨方及监理提出的问题未及时整改或者通知后整改无效，甲方有权每次扣罚1000-20000元违约金。乙方施工人员因工资、医疗费、保险费等合理费用得不到保障，如政府主管部门、甲方提出诉求，甲方有权要求乙方按时支付，在通知无效的情况下，甲方有权暂扣乙方每批安装款或履约保证金，因上述情况特别严重的甲方有权立即停止该批次安装款支付，为此造成一切损失由乙方赔偿。乙方违约造成合同解除的，除其履约保证金归甲方所有外，还应承担全部直接经济损失。</w:t>
      </w:r>
    </w:p>
    <w:p>
      <w:pPr>
        <w:spacing w:line="360" w:lineRule="auto"/>
        <w:ind w:firstLine="420" w:firstLineChars="200"/>
        <w:rPr>
          <w:rFonts w:ascii="宋体" w:hAnsi="宋体" w:eastAsia="宋体" w:cs="宋体"/>
        </w:rPr>
      </w:pPr>
      <w:r>
        <w:rPr>
          <w:rFonts w:hint="eastAsia" w:ascii="宋体" w:hAnsi="宋体" w:eastAsia="宋体" w:cs="宋体"/>
        </w:rPr>
        <w:t>13.12 若发生质量事故或安全事故，（非乙方责任除外）按情节轻重每次扣罚5万-20万人民币的违约金，并承担给甲方、全咨方及监理方造成的一切损失。若发生重大质量事故或人生伤害等重大安全事故，（非乙方责任除外）还要扣罚乙方全部该项保证金并追究由此给甲方、全咨方及监理造成的损失。若发生上述两款的情况，甲方、全咨方及监理受到了上级部门的通报批评的，对乙方每次处以5~50万元的违约金，且乙方须承担所有的损失。如甲方、全咨方及监理受到了上级部门处罚的，由乙方承担甲方、全咨方及监理所有的损失外，甲方有权视情况直接单方面终止合同。</w:t>
      </w:r>
    </w:p>
    <w:p>
      <w:pPr>
        <w:spacing w:line="360" w:lineRule="auto"/>
        <w:ind w:firstLine="420" w:firstLineChars="200"/>
        <w:rPr>
          <w:rFonts w:ascii="宋体" w:hAnsi="宋体" w:eastAsia="宋体" w:cs="宋体"/>
        </w:rPr>
      </w:pPr>
      <w:r>
        <w:rPr>
          <w:rFonts w:hint="eastAsia" w:ascii="宋体" w:hAnsi="宋体" w:eastAsia="宋体" w:cs="宋体"/>
        </w:rPr>
        <w:t>13.13 合同生效后，无正当理由，或未经甲方同意，乙方单方面终止合同的，应向甲方支付合同总价的30%作为违约金。如给甲方造成的损失超过违约金的，乙方应赔偿甲方全部损失。</w:t>
      </w:r>
    </w:p>
    <w:p>
      <w:pPr>
        <w:spacing w:line="360" w:lineRule="auto"/>
        <w:ind w:firstLine="420" w:firstLineChars="200"/>
        <w:rPr>
          <w:rFonts w:ascii="宋体" w:hAnsi="宋体" w:eastAsia="宋体" w:cs="宋体"/>
        </w:rPr>
      </w:pPr>
      <w:r>
        <w:rPr>
          <w:rFonts w:hint="eastAsia" w:ascii="宋体" w:hAnsi="宋体" w:eastAsia="宋体" w:cs="宋体"/>
        </w:rPr>
        <w:t>13.14 乙方同意应支付的违约金或赔偿金由甲方从合同履约保证金中直接扣减，若不足则在进度款中扣减，若合同进度款不足抵付违约金或赔偿款的，乙方应另行补足。</w:t>
      </w:r>
    </w:p>
    <w:p>
      <w:pPr>
        <w:spacing w:line="360" w:lineRule="auto"/>
        <w:rPr>
          <w:rFonts w:ascii="宋体" w:hAnsi="宋体" w:eastAsia="宋体" w:cs="宋体"/>
          <w:b/>
        </w:rPr>
      </w:pPr>
      <w:r>
        <w:rPr>
          <w:rFonts w:hint="eastAsia" w:ascii="宋体" w:hAnsi="宋体" w:eastAsia="宋体" w:cs="宋体"/>
          <w:b/>
        </w:rPr>
        <w:t>14、索赔</w:t>
      </w:r>
    </w:p>
    <w:p>
      <w:pPr>
        <w:spacing w:line="360" w:lineRule="auto"/>
        <w:ind w:firstLine="420" w:firstLineChars="200"/>
        <w:rPr>
          <w:rFonts w:ascii="宋体" w:hAnsi="宋体" w:eastAsia="宋体" w:cs="宋体"/>
        </w:rPr>
      </w:pPr>
      <w:r>
        <w:rPr>
          <w:rFonts w:hint="eastAsia" w:ascii="宋体" w:hAnsi="宋体" w:eastAsia="宋体" w:cs="宋体"/>
        </w:rPr>
        <w:t>14.1 如果乙方提供的设备与投标承诺及本合同要求不符，则甲方在本合同约定的质保期及检验、安装、调试及验收测试期限内提出索赔，乙方除应向甲方支付不合格货物总价10%的违约金外，甲方还有权选择下述一种或多种方式向乙方索赔，因此造成延期交货的，乙方还应按合同条款第13条的约定承担延期交货的违约责任。</w:t>
      </w:r>
    </w:p>
    <w:p>
      <w:pPr>
        <w:spacing w:line="360" w:lineRule="auto"/>
        <w:ind w:firstLine="420" w:firstLineChars="200"/>
        <w:rPr>
          <w:rFonts w:ascii="宋体" w:hAnsi="宋体" w:eastAsia="宋体" w:cs="宋体"/>
        </w:rPr>
      </w:pPr>
      <w:r>
        <w:rPr>
          <w:rFonts w:hint="eastAsia" w:ascii="宋体" w:hAnsi="宋体" w:eastAsia="宋体" w:cs="宋体"/>
        </w:rPr>
        <w:t>（1）更换有缺陷的部件或设备(乙方应对有缺陷的部件或设备整体进行更换)，以达到合同规定的规格、质量和性能；乙方承担一切费用和风险并负担甲方及第三方遭受的一切直接费用。同时，乙方应根据相关规定对更换的部件相应延长质量保证期。</w:t>
      </w:r>
    </w:p>
    <w:p>
      <w:pPr>
        <w:spacing w:line="360" w:lineRule="auto"/>
        <w:ind w:firstLine="420" w:firstLineChars="200"/>
        <w:rPr>
          <w:rFonts w:ascii="宋体" w:hAnsi="宋体" w:eastAsia="宋体" w:cs="宋体"/>
        </w:rPr>
      </w:pPr>
      <w:r>
        <w:rPr>
          <w:rFonts w:hint="eastAsia" w:ascii="宋体" w:hAnsi="宋体" w:eastAsia="宋体" w:cs="宋体"/>
        </w:rPr>
        <w:t>（2）根据货物的低劣和受损的程度以及甲方遭受损失的金额降低货物价格。</w:t>
      </w:r>
    </w:p>
    <w:p>
      <w:pPr>
        <w:spacing w:line="360" w:lineRule="auto"/>
        <w:ind w:firstLine="420" w:firstLineChars="200"/>
        <w:rPr>
          <w:rFonts w:ascii="宋体" w:hAnsi="宋体" w:eastAsia="宋体" w:cs="宋体"/>
        </w:rPr>
      </w:pPr>
      <w:r>
        <w:rPr>
          <w:rFonts w:hint="eastAsia" w:ascii="宋体" w:hAnsi="宋体" w:eastAsia="宋体" w:cs="宋体"/>
        </w:rPr>
        <w:t>（3）乙方同意甲方拒收货物并把被拒收货物的金额以合同规定的同类货币偿付给甲方，乙方负担发生的一切损失和费用，包括利息、银行费用、运费和保险费、检验费、仓储和装卸费以及为保管和保护被拒绝货物所需要的其他必要费用。</w:t>
      </w:r>
    </w:p>
    <w:p>
      <w:pPr>
        <w:spacing w:line="360" w:lineRule="auto"/>
        <w:ind w:firstLine="420" w:firstLineChars="200"/>
        <w:rPr>
          <w:rFonts w:ascii="宋体" w:hAnsi="宋体" w:eastAsia="宋体" w:cs="宋体"/>
        </w:rPr>
      </w:pPr>
      <w:r>
        <w:rPr>
          <w:rFonts w:hint="eastAsia" w:ascii="宋体" w:hAnsi="宋体" w:eastAsia="宋体" w:cs="宋体"/>
        </w:rPr>
        <w:t>（4）如果甲方提出索赔通知后20个日历天内乙方未能予以答复，该索赔应视为已被乙方接受，乙方按索赔通知赔偿。若乙方未能在甲方提出索赔通知的30个日历天内，按甲方同意的上述任何一种方式处理索赔事宜，甲方有权从进度款或质保金中予以扣减（若进度款或质保金不足抵付赔偿款的，乙方应另行补足）。</w:t>
      </w:r>
    </w:p>
    <w:p>
      <w:pPr>
        <w:spacing w:line="360" w:lineRule="auto"/>
        <w:ind w:firstLine="420" w:firstLineChars="200"/>
        <w:rPr>
          <w:rFonts w:ascii="宋体" w:hAnsi="宋体" w:eastAsia="宋体" w:cs="宋体"/>
          <w:spacing w:val="20"/>
        </w:rPr>
      </w:pPr>
      <w:bookmarkStart w:id="54" w:name="_Toc425336756"/>
      <w:r>
        <w:rPr>
          <w:rFonts w:hint="eastAsia" w:ascii="宋体" w:hAnsi="宋体" w:eastAsia="宋体" w:cs="宋体"/>
        </w:rPr>
        <w:t>14.2 由于乙方电梯设备问题造成甲方或第三者损失，乙方须对该损失负全责，同时依据损失程度及后果向甲方赔偿由此引起的直接经济损失。包括但不限于甲方自身的财产损失，甲方赔偿给第三方的损失，甲方因此产生的诉讼费、律师费、保全费、保全担保费、调查取证费、公证费、差旅费等。</w:t>
      </w:r>
    </w:p>
    <w:p>
      <w:pPr>
        <w:spacing w:line="360" w:lineRule="auto"/>
        <w:rPr>
          <w:rFonts w:ascii="宋体" w:hAnsi="宋体" w:eastAsia="宋体" w:cs="宋体"/>
          <w:b/>
        </w:rPr>
      </w:pPr>
      <w:r>
        <w:rPr>
          <w:rFonts w:hint="eastAsia" w:ascii="宋体" w:hAnsi="宋体" w:eastAsia="宋体" w:cs="宋体"/>
          <w:b/>
        </w:rPr>
        <w:t>15、知识产权</w:t>
      </w:r>
      <w:bookmarkEnd w:id="54"/>
    </w:p>
    <w:p>
      <w:pPr>
        <w:spacing w:line="360" w:lineRule="auto"/>
        <w:ind w:firstLine="420" w:firstLineChars="200"/>
        <w:rPr>
          <w:rFonts w:ascii="宋体" w:hAnsi="宋体" w:eastAsia="宋体" w:cs="宋体"/>
        </w:rPr>
      </w:pPr>
      <w:r>
        <w:rPr>
          <w:rFonts w:hint="eastAsia" w:ascii="宋体" w:hAnsi="宋体" w:eastAsia="宋体" w:cs="宋体"/>
        </w:rPr>
        <w:t>15.1 乙方应当对提供的合同设备和工艺方面的一切专利费或执照费承担责任，保护甲方在中国使用合同设备不受任何损害，包括软件或其任何部件而遭受的所有第三方的专利、商标或工业产权和知识产权侵权的索赔。如果就侵权提出收费，乙方应对第三方承担此事务并承担所有可能发生的法律和财务责任。一切由执照费、文字和专利侵权等引起的申诉，或者由使用设备和工艺结构特征，原件的排列所引起的法律裁决、诉讼和费用与甲方无关，本合同所规定的设备应付款，应视作为包括了专利费、执照费和其它知识产权等费用。</w:t>
      </w:r>
    </w:p>
    <w:p>
      <w:pPr>
        <w:spacing w:line="360" w:lineRule="auto"/>
        <w:ind w:firstLine="420" w:firstLineChars="200"/>
        <w:rPr>
          <w:rFonts w:ascii="宋体" w:hAnsi="宋体" w:eastAsia="宋体" w:cs="宋体"/>
        </w:rPr>
      </w:pPr>
      <w:r>
        <w:rPr>
          <w:rFonts w:hint="eastAsia" w:ascii="宋体" w:hAnsi="宋体" w:eastAsia="宋体" w:cs="宋体"/>
        </w:rPr>
        <w:t>15.2 乙方提供的合同设备涉及专利权的，应提供其作为该专利的合法拥有者或合法被许可实施人的相关证明，包括专利证书、专利号、专利使用年限、专利使用范围等。</w:t>
      </w:r>
    </w:p>
    <w:p>
      <w:pPr>
        <w:spacing w:line="360" w:lineRule="auto"/>
        <w:rPr>
          <w:rFonts w:ascii="宋体" w:hAnsi="宋体" w:eastAsia="宋体" w:cs="宋体"/>
          <w:b/>
        </w:rPr>
      </w:pPr>
      <w:bookmarkStart w:id="55" w:name="_Toc425336757"/>
      <w:r>
        <w:rPr>
          <w:rFonts w:hint="eastAsia" w:ascii="宋体" w:hAnsi="宋体" w:eastAsia="宋体" w:cs="宋体"/>
          <w:b/>
        </w:rPr>
        <w:t>16、不可抗力</w:t>
      </w:r>
      <w:bookmarkEnd w:id="55"/>
    </w:p>
    <w:p>
      <w:pPr>
        <w:spacing w:line="360" w:lineRule="auto"/>
        <w:ind w:firstLine="420" w:firstLineChars="200"/>
        <w:rPr>
          <w:rFonts w:ascii="宋体" w:hAnsi="宋体" w:eastAsia="宋体" w:cs="宋体"/>
        </w:rPr>
      </w:pPr>
      <w:r>
        <w:rPr>
          <w:rFonts w:hint="eastAsia" w:ascii="宋体" w:hAnsi="宋体" w:eastAsia="宋体" w:cs="宋体"/>
        </w:rPr>
        <w:t>如由于生产或装货及运输过程中发生的不可抗力原因，乙方未能按时发货或未能发货，乙方应立即通知甲方，并在14天内向甲方提供当地有关当局出具的事发证明以供甲方确认。在此情况下，乙方仍然有责任采取必要措施以加速供货。如不可抗力事故持续10周以上，则甲方应有权解除本合同。</w:t>
      </w:r>
    </w:p>
    <w:p>
      <w:pPr>
        <w:spacing w:line="360" w:lineRule="auto"/>
        <w:ind w:firstLine="420" w:firstLineChars="200"/>
        <w:rPr>
          <w:rFonts w:ascii="宋体" w:hAnsi="宋体" w:eastAsia="宋体" w:cs="宋体"/>
        </w:rPr>
      </w:pPr>
      <w:r>
        <w:rPr>
          <w:rFonts w:hint="eastAsia" w:ascii="宋体" w:hAnsi="宋体" w:eastAsia="宋体" w:cs="宋体"/>
        </w:rPr>
        <w:t>本合同中的不可抗力包括但不限于：</w:t>
      </w:r>
    </w:p>
    <w:p>
      <w:pPr>
        <w:spacing w:line="360" w:lineRule="auto"/>
        <w:ind w:firstLine="420" w:firstLineChars="200"/>
        <w:rPr>
          <w:rFonts w:ascii="宋体" w:hAnsi="宋体" w:eastAsia="宋体" w:cs="宋体"/>
        </w:rPr>
      </w:pPr>
      <w:r>
        <w:rPr>
          <w:rFonts w:hint="eastAsia" w:ascii="宋体" w:hAnsi="宋体" w:eastAsia="宋体" w:cs="宋体"/>
        </w:rPr>
        <w:t>（1）台风、雨雪、洪水、地震等影响合同履行的严重自然灾害；</w:t>
      </w:r>
    </w:p>
    <w:p>
      <w:pPr>
        <w:spacing w:line="360" w:lineRule="auto"/>
        <w:ind w:firstLine="420" w:firstLineChars="200"/>
        <w:rPr>
          <w:rFonts w:ascii="宋体" w:hAnsi="宋体" w:eastAsia="宋体" w:cs="宋体"/>
        </w:rPr>
      </w:pPr>
      <w:r>
        <w:rPr>
          <w:rFonts w:hint="eastAsia" w:ascii="宋体" w:hAnsi="宋体" w:eastAsia="宋体" w:cs="宋体"/>
        </w:rPr>
        <w:t>（2）战争、暴动、罢工等不可预知的动乱；</w:t>
      </w:r>
    </w:p>
    <w:p>
      <w:pPr>
        <w:spacing w:line="360" w:lineRule="auto"/>
        <w:ind w:firstLine="420" w:firstLineChars="200"/>
        <w:rPr>
          <w:rFonts w:ascii="宋体" w:hAnsi="宋体" w:eastAsia="宋体" w:cs="宋体"/>
        </w:rPr>
      </w:pPr>
      <w:r>
        <w:rPr>
          <w:rFonts w:hint="eastAsia" w:ascii="宋体" w:hAnsi="宋体" w:eastAsia="宋体" w:cs="宋体"/>
        </w:rPr>
        <w:t>（3）非因本合同当事人的责任造成的爆炸、火灾、建筑物坍塌等严重事故；</w:t>
      </w:r>
    </w:p>
    <w:p>
      <w:pPr>
        <w:spacing w:line="360" w:lineRule="auto"/>
        <w:ind w:firstLine="420" w:firstLineChars="200"/>
        <w:rPr>
          <w:rFonts w:ascii="宋体" w:hAnsi="宋体" w:eastAsia="宋体" w:cs="宋体"/>
        </w:rPr>
      </w:pPr>
      <w:r>
        <w:rPr>
          <w:rFonts w:hint="eastAsia" w:ascii="宋体" w:hAnsi="宋体" w:eastAsia="宋体" w:cs="宋体"/>
        </w:rPr>
        <w:t>（4）超出本合同当事人控制范围、无法预见、无法避免、无法克服的影响合同履行的其他意外事件。</w:t>
      </w:r>
    </w:p>
    <w:p>
      <w:pPr>
        <w:spacing w:line="360" w:lineRule="auto"/>
        <w:rPr>
          <w:rFonts w:ascii="宋体" w:hAnsi="宋体" w:eastAsia="宋体" w:cs="宋体"/>
          <w:b/>
        </w:rPr>
      </w:pPr>
      <w:bookmarkStart w:id="56" w:name="_Toc425336758"/>
      <w:r>
        <w:rPr>
          <w:rFonts w:hint="eastAsia" w:ascii="宋体" w:hAnsi="宋体" w:eastAsia="宋体" w:cs="宋体"/>
          <w:b/>
        </w:rPr>
        <w:t>17、争议解决</w:t>
      </w:r>
      <w:bookmarkEnd w:id="56"/>
    </w:p>
    <w:p>
      <w:pPr>
        <w:spacing w:line="360" w:lineRule="auto"/>
        <w:ind w:firstLine="420" w:firstLineChars="200"/>
        <w:rPr>
          <w:rFonts w:ascii="宋体" w:hAnsi="宋体" w:eastAsia="宋体" w:cs="宋体"/>
        </w:rPr>
      </w:pPr>
      <w:r>
        <w:rPr>
          <w:rFonts w:hint="eastAsia" w:ascii="宋体" w:hAnsi="宋体" w:eastAsia="宋体" w:cs="宋体"/>
        </w:rPr>
        <w:t>17.1 因电梯的质量问题发生争议，由双方认可的质量技术监督部门进行质量鉴定，该鉴定结论为终局鉴定。鉴定费由质量责任方承担。</w:t>
      </w:r>
    </w:p>
    <w:p>
      <w:pPr>
        <w:spacing w:line="360" w:lineRule="auto"/>
        <w:ind w:firstLine="420" w:firstLineChars="200"/>
        <w:rPr>
          <w:rFonts w:ascii="宋体" w:hAnsi="宋体" w:eastAsia="宋体" w:cs="宋体"/>
        </w:rPr>
      </w:pPr>
      <w:r>
        <w:rPr>
          <w:rFonts w:hint="eastAsia" w:ascii="宋体" w:hAnsi="宋体" w:eastAsia="宋体" w:cs="宋体"/>
        </w:rPr>
        <w:t>17.2 本合同履行过程中所有的争议应首先通过双方协商解决，协商不成，应向工程所在地所属人民法院提起诉讼。诉讼费用由败诉方承担。</w:t>
      </w:r>
    </w:p>
    <w:p>
      <w:pPr>
        <w:spacing w:line="360" w:lineRule="auto"/>
        <w:rPr>
          <w:rFonts w:ascii="宋体" w:hAnsi="宋体" w:eastAsia="宋体" w:cs="宋体"/>
          <w:b/>
        </w:rPr>
      </w:pPr>
      <w:bookmarkStart w:id="57" w:name="_Toc425336759"/>
      <w:r>
        <w:rPr>
          <w:rFonts w:hint="eastAsia" w:ascii="宋体" w:hAnsi="宋体" w:eastAsia="宋体" w:cs="宋体"/>
          <w:b/>
        </w:rPr>
        <w:t>18、另行约定事项</w:t>
      </w:r>
      <w:bookmarkEnd w:id="57"/>
    </w:p>
    <w:p>
      <w:pPr>
        <w:spacing w:line="360" w:lineRule="auto"/>
        <w:ind w:firstLine="420" w:firstLineChars="200"/>
        <w:rPr>
          <w:rFonts w:ascii="宋体" w:hAnsi="宋体" w:eastAsia="宋体" w:cs="宋体"/>
        </w:rPr>
      </w:pPr>
      <w:r>
        <w:rPr>
          <w:rFonts w:hint="eastAsia" w:ascii="宋体" w:hAnsi="宋体" w:eastAsia="宋体" w:cs="宋体"/>
        </w:rPr>
        <w:t>18.1 本合同经双方单位盖章（公章或合同专用章）后生效。</w:t>
      </w:r>
    </w:p>
    <w:p>
      <w:pPr>
        <w:spacing w:line="360" w:lineRule="auto"/>
        <w:ind w:firstLine="420" w:firstLineChars="200"/>
        <w:rPr>
          <w:rFonts w:ascii="宋体" w:hAnsi="宋体" w:eastAsia="宋体" w:cs="宋体"/>
        </w:rPr>
      </w:pPr>
      <w:r>
        <w:rPr>
          <w:rFonts w:hint="eastAsia" w:ascii="宋体" w:hAnsi="宋体" w:eastAsia="宋体" w:cs="宋体"/>
        </w:rPr>
        <w:t>18.2 双方在本合同签订前达成的书面或口头协议，如与本合同内容有冲突之处，均以本合同内容为准。《产品安装责任》（附件一）、其它由双方签字并加盖公章（或合同专用章）确认的补充协议均为本合同的附件，与本合同具有同等法律效力。各文件内容互为补充，如果各文件内容有冲突的，以时间在后的文件为准。</w:t>
      </w:r>
    </w:p>
    <w:p>
      <w:pPr>
        <w:spacing w:line="360" w:lineRule="auto"/>
        <w:ind w:firstLine="420" w:firstLineChars="200"/>
        <w:rPr>
          <w:rFonts w:ascii="宋体" w:hAnsi="宋体" w:eastAsia="宋体" w:cs="宋体"/>
        </w:rPr>
      </w:pPr>
      <w:r>
        <w:rPr>
          <w:rFonts w:hint="eastAsia" w:ascii="宋体" w:hAnsi="宋体" w:eastAsia="宋体" w:cs="宋体"/>
        </w:rPr>
        <w:t>18.3 本合同及相关的所有附件均以打印的文本内容为准，任何手写、涂改、粘帖等各种方式的删改未经双方在删改处共同确认并且加盖公章（或合同专用章）都视为该删改无效。</w:t>
      </w:r>
    </w:p>
    <w:p>
      <w:pPr>
        <w:spacing w:line="360" w:lineRule="auto"/>
        <w:ind w:firstLine="420" w:firstLineChars="200"/>
        <w:rPr>
          <w:rFonts w:ascii="宋体" w:hAnsi="宋体" w:eastAsia="宋体" w:cs="宋体"/>
        </w:rPr>
      </w:pPr>
      <w:r>
        <w:rPr>
          <w:rFonts w:hint="eastAsia" w:ascii="宋体" w:hAnsi="宋体" w:eastAsia="宋体" w:cs="宋体"/>
        </w:rPr>
        <w:t>18.4 一方通讯方式（包含地址、电话、传真、联系人等）发生变更，须在变更后5个工作日内书面告知对方。因一方提供的通讯方式不准确或未将通讯方式变更的事实及时书面告知对方，对方按本合同载明的通讯方式寄发文书经合理期限后都视为已完成送达。</w:t>
      </w:r>
    </w:p>
    <w:p>
      <w:pPr>
        <w:spacing w:line="360" w:lineRule="auto"/>
        <w:ind w:firstLine="420" w:firstLineChars="200"/>
        <w:rPr>
          <w:rFonts w:ascii="宋体" w:hAnsi="宋体" w:eastAsia="宋体" w:cs="宋体"/>
        </w:rPr>
      </w:pPr>
      <w:r>
        <w:rPr>
          <w:rFonts w:hint="eastAsia" w:ascii="宋体" w:hAnsi="宋体" w:eastAsia="宋体" w:cs="宋体"/>
        </w:rPr>
        <w:t>18.5 乙方应协助今后弱电系统集成商或施工单位工作，以便实现电梯轿箱内摄像机及设备运行状态监测等功能提供必要的接口（随行视屏线缆、电话线）。</w:t>
      </w:r>
    </w:p>
    <w:p>
      <w:pPr>
        <w:spacing w:line="360" w:lineRule="auto"/>
        <w:ind w:firstLine="420" w:firstLineChars="200"/>
        <w:rPr>
          <w:rFonts w:ascii="宋体" w:hAnsi="宋体" w:eastAsia="宋体" w:cs="宋体"/>
        </w:rPr>
      </w:pPr>
      <w:r>
        <w:rPr>
          <w:rFonts w:hint="eastAsia" w:ascii="宋体" w:hAnsi="宋体" w:eastAsia="宋体" w:cs="宋体"/>
        </w:rPr>
        <w:t>18.6 本项目安装队伍必须具有特种设备安装改造维修许可证资质；本项目的电梯设备的售后维修保养服务必须由电梯安装承包方或厂商直接负责；本项目乙方就电梯安装承担连带责任。</w:t>
      </w:r>
    </w:p>
    <w:p>
      <w:pPr>
        <w:spacing w:line="360" w:lineRule="auto"/>
        <w:ind w:firstLine="420" w:firstLineChars="200"/>
        <w:rPr>
          <w:rFonts w:ascii="宋体" w:hAnsi="宋体" w:eastAsia="宋体" w:cs="宋体"/>
        </w:rPr>
      </w:pPr>
      <w:r>
        <w:rPr>
          <w:rFonts w:hint="eastAsia" w:ascii="宋体" w:hAnsi="宋体" w:eastAsia="宋体" w:cs="宋体"/>
        </w:rPr>
        <w:t>18.7 完整准确地表述投标生产厂家的标准售后服务承诺（范围、标准及期限等）、乙方可能增加的服务承诺等，明示服务承诺可能涉及的前提设定和费用，否则将被认为是无条件和免费的。</w:t>
      </w:r>
    </w:p>
    <w:p>
      <w:pPr>
        <w:spacing w:line="360" w:lineRule="auto"/>
        <w:rPr>
          <w:rFonts w:ascii="宋体" w:hAnsi="宋体" w:eastAsia="宋体" w:cs="宋体"/>
          <w:b/>
        </w:rPr>
      </w:pPr>
      <w:r>
        <w:rPr>
          <w:rFonts w:hint="eastAsia" w:ascii="宋体" w:hAnsi="宋体" w:eastAsia="宋体" w:cs="宋体"/>
          <w:b/>
        </w:rPr>
        <w:t>19、诉讼</w:t>
      </w:r>
    </w:p>
    <w:p>
      <w:pPr>
        <w:spacing w:line="360" w:lineRule="auto"/>
        <w:ind w:firstLine="420" w:firstLineChars="200"/>
        <w:rPr>
          <w:rFonts w:ascii="宋体" w:hAnsi="宋体" w:eastAsia="宋体" w:cs="宋体"/>
        </w:rPr>
      </w:pPr>
      <w:r>
        <w:rPr>
          <w:rFonts w:hint="eastAsia" w:ascii="宋体" w:hAnsi="宋体" w:eastAsia="宋体" w:cs="宋体"/>
        </w:rPr>
        <w:t>本合同及相关所有附件在履行过程中发生争议时，甲乙双方应通过友好协商，妥善解决。如通过协商仍不能解决时，可向合同签约地的人民法院提请诉讼。</w:t>
      </w:r>
    </w:p>
    <w:p>
      <w:pPr>
        <w:spacing w:line="360" w:lineRule="auto"/>
        <w:rPr>
          <w:rFonts w:ascii="宋体" w:hAnsi="宋体" w:eastAsia="宋体" w:cs="宋体"/>
          <w:b/>
        </w:rPr>
      </w:pPr>
      <w:r>
        <w:rPr>
          <w:rFonts w:hint="eastAsia" w:ascii="宋体" w:hAnsi="宋体" w:eastAsia="宋体" w:cs="宋体"/>
          <w:b/>
        </w:rPr>
        <w:t>20、适用法律</w:t>
      </w:r>
    </w:p>
    <w:p>
      <w:pPr>
        <w:spacing w:line="360" w:lineRule="auto"/>
        <w:ind w:firstLine="420" w:firstLineChars="200"/>
        <w:rPr>
          <w:rFonts w:ascii="宋体" w:hAnsi="宋体" w:eastAsia="宋体" w:cs="宋体"/>
        </w:rPr>
      </w:pPr>
      <w:r>
        <w:rPr>
          <w:rFonts w:hint="eastAsia" w:ascii="宋体" w:hAnsi="宋体" w:eastAsia="宋体" w:cs="宋体"/>
        </w:rPr>
        <w:t>本合同按照中华人民共和国的法律进行解释。</w:t>
      </w:r>
    </w:p>
    <w:p>
      <w:pPr>
        <w:spacing w:line="360" w:lineRule="auto"/>
        <w:rPr>
          <w:rFonts w:ascii="宋体" w:hAnsi="宋体" w:eastAsia="宋体" w:cs="宋体"/>
          <w:b/>
        </w:rPr>
      </w:pPr>
      <w:r>
        <w:rPr>
          <w:rFonts w:hint="eastAsia" w:ascii="宋体" w:hAnsi="宋体" w:eastAsia="宋体" w:cs="宋体"/>
          <w:b/>
        </w:rPr>
        <w:t>21、合同生效</w:t>
      </w:r>
    </w:p>
    <w:p>
      <w:pPr>
        <w:spacing w:line="360" w:lineRule="auto"/>
        <w:ind w:firstLine="420" w:firstLineChars="200"/>
        <w:rPr>
          <w:rFonts w:ascii="宋体" w:hAnsi="宋体" w:eastAsia="宋体" w:cs="宋体"/>
        </w:rPr>
      </w:pPr>
      <w:r>
        <w:rPr>
          <w:rFonts w:hint="eastAsia" w:ascii="宋体" w:hAnsi="宋体" w:eastAsia="宋体" w:cs="宋体"/>
        </w:rPr>
        <w:t>本合同经双方单位盖章（公章或合同专用章）后生效，本合同止于合同质保期结束且无残留问题。</w:t>
      </w:r>
    </w:p>
    <w:p>
      <w:pPr>
        <w:pStyle w:val="45"/>
        <w:rPr>
          <w:rFonts w:ascii="宋体" w:hAnsi="宋体" w:eastAsia="宋体" w:cs="宋体"/>
        </w:rPr>
      </w:pPr>
    </w:p>
    <w:p>
      <w:pPr>
        <w:pStyle w:val="45"/>
        <w:rPr>
          <w:rFonts w:ascii="宋体" w:hAnsi="宋体" w:eastAsia="宋体" w:cs="宋体"/>
        </w:rPr>
      </w:pPr>
    </w:p>
    <w:tbl>
      <w:tblPr>
        <w:tblStyle w:val="27"/>
        <w:tblW w:w="8928" w:type="dxa"/>
        <w:tblInd w:w="0" w:type="dxa"/>
        <w:tblLayout w:type="fixed"/>
        <w:tblCellMar>
          <w:top w:w="0" w:type="dxa"/>
          <w:left w:w="108" w:type="dxa"/>
          <w:bottom w:w="0" w:type="dxa"/>
          <w:right w:w="108" w:type="dxa"/>
        </w:tblCellMar>
      </w:tblPr>
      <w:tblGrid>
        <w:gridCol w:w="4788"/>
        <w:gridCol w:w="4140"/>
      </w:tblGrid>
      <w:tr>
        <w:tblPrEx>
          <w:tblCellMar>
            <w:top w:w="0" w:type="dxa"/>
            <w:left w:w="108" w:type="dxa"/>
            <w:bottom w:w="0" w:type="dxa"/>
            <w:right w:w="108" w:type="dxa"/>
          </w:tblCellMar>
        </w:tblPrEx>
        <w:tc>
          <w:tcPr>
            <w:tcW w:w="4788" w:type="dxa"/>
            <w:vAlign w:val="center"/>
          </w:tcPr>
          <w:p>
            <w:pPr>
              <w:tabs>
                <w:tab w:val="left" w:pos="4186"/>
              </w:tabs>
              <w:spacing w:line="360" w:lineRule="auto"/>
              <w:rPr>
                <w:rFonts w:ascii="宋体" w:hAnsi="宋体" w:eastAsia="宋体" w:cs="宋体"/>
              </w:rPr>
            </w:pPr>
            <w:r>
              <w:rPr>
                <w:rFonts w:hint="eastAsia" w:ascii="宋体" w:hAnsi="宋体" w:eastAsia="宋体" w:cs="宋体"/>
              </w:rPr>
              <w:t>甲方：</w:t>
            </w:r>
          </w:p>
        </w:tc>
        <w:tc>
          <w:tcPr>
            <w:tcW w:w="4140" w:type="dxa"/>
          </w:tcPr>
          <w:p>
            <w:pPr>
              <w:tabs>
                <w:tab w:val="left" w:pos="4186"/>
              </w:tabs>
              <w:spacing w:line="360" w:lineRule="auto"/>
              <w:rPr>
                <w:rFonts w:ascii="宋体" w:hAnsi="宋体" w:eastAsia="宋体" w:cs="宋体"/>
              </w:rPr>
            </w:pPr>
            <w:r>
              <w:rPr>
                <w:rFonts w:hint="eastAsia" w:ascii="宋体" w:hAnsi="宋体" w:eastAsia="宋体" w:cs="宋体"/>
              </w:rPr>
              <w:t>乙方：</w:t>
            </w:r>
          </w:p>
        </w:tc>
      </w:tr>
      <w:tr>
        <w:tblPrEx>
          <w:tblCellMar>
            <w:top w:w="0" w:type="dxa"/>
            <w:left w:w="108" w:type="dxa"/>
            <w:bottom w:w="0" w:type="dxa"/>
            <w:right w:w="108" w:type="dxa"/>
          </w:tblCellMar>
        </w:tblPrEx>
        <w:tc>
          <w:tcPr>
            <w:tcW w:w="4788" w:type="dxa"/>
          </w:tcPr>
          <w:p>
            <w:pPr>
              <w:tabs>
                <w:tab w:val="left" w:pos="4186"/>
              </w:tabs>
              <w:spacing w:line="360" w:lineRule="auto"/>
              <w:rPr>
                <w:rFonts w:ascii="宋体" w:hAnsi="宋体" w:eastAsia="宋体" w:cs="宋体"/>
              </w:rPr>
            </w:pPr>
            <w:r>
              <w:rPr>
                <w:rFonts w:hint="eastAsia" w:ascii="宋体" w:hAnsi="宋体" w:eastAsia="宋体" w:cs="宋体"/>
              </w:rPr>
              <w:t>（盖章）</w:t>
            </w:r>
          </w:p>
        </w:tc>
        <w:tc>
          <w:tcPr>
            <w:tcW w:w="4140" w:type="dxa"/>
          </w:tcPr>
          <w:p>
            <w:pPr>
              <w:tabs>
                <w:tab w:val="left" w:pos="4186"/>
              </w:tabs>
              <w:spacing w:line="360" w:lineRule="auto"/>
              <w:rPr>
                <w:rFonts w:ascii="宋体" w:hAnsi="宋体" w:eastAsia="宋体" w:cs="宋体"/>
              </w:rPr>
            </w:pPr>
            <w:r>
              <w:rPr>
                <w:rFonts w:hint="eastAsia" w:ascii="宋体" w:hAnsi="宋体" w:eastAsia="宋体" w:cs="宋体"/>
              </w:rPr>
              <w:t>（盖章）</w:t>
            </w:r>
          </w:p>
        </w:tc>
      </w:tr>
      <w:tr>
        <w:tblPrEx>
          <w:tblCellMar>
            <w:top w:w="0" w:type="dxa"/>
            <w:left w:w="108" w:type="dxa"/>
            <w:bottom w:w="0" w:type="dxa"/>
            <w:right w:w="108" w:type="dxa"/>
          </w:tblCellMar>
        </w:tblPrEx>
        <w:tc>
          <w:tcPr>
            <w:tcW w:w="4788" w:type="dxa"/>
          </w:tcPr>
          <w:p>
            <w:pPr>
              <w:tabs>
                <w:tab w:val="left" w:pos="4186"/>
              </w:tabs>
              <w:spacing w:line="360" w:lineRule="auto"/>
              <w:rPr>
                <w:rFonts w:ascii="宋体" w:hAnsi="宋体" w:eastAsia="宋体" w:cs="宋体"/>
              </w:rPr>
            </w:pPr>
            <w:r>
              <w:rPr>
                <w:rFonts w:hint="eastAsia" w:ascii="宋体" w:hAnsi="宋体" w:eastAsia="宋体" w:cs="宋体"/>
              </w:rPr>
              <w:t>法定代表人：</w:t>
            </w:r>
          </w:p>
        </w:tc>
        <w:tc>
          <w:tcPr>
            <w:tcW w:w="4140" w:type="dxa"/>
          </w:tcPr>
          <w:p>
            <w:pPr>
              <w:tabs>
                <w:tab w:val="left" w:pos="4186"/>
              </w:tabs>
              <w:spacing w:line="360" w:lineRule="auto"/>
              <w:rPr>
                <w:rFonts w:ascii="宋体" w:hAnsi="宋体" w:eastAsia="宋体" w:cs="宋体"/>
              </w:rPr>
            </w:pPr>
            <w:r>
              <w:rPr>
                <w:rFonts w:hint="eastAsia" w:ascii="宋体" w:hAnsi="宋体" w:eastAsia="宋体" w:cs="宋体"/>
              </w:rPr>
              <w:t>法定代表人：</w:t>
            </w:r>
          </w:p>
        </w:tc>
      </w:tr>
      <w:tr>
        <w:tblPrEx>
          <w:tblCellMar>
            <w:top w:w="0" w:type="dxa"/>
            <w:left w:w="108" w:type="dxa"/>
            <w:bottom w:w="0" w:type="dxa"/>
            <w:right w:w="108" w:type="dxa"/>
          </w:tblCellMar>
        </w:tblPrEx>
        <w:tc>
          <w:tcPr>
            <w:tcW w:w="4788" w:type="dxa"/>
          </w:tcPr>
          <w:p>
            <w:pPr>
              <w:tabs>
                <w:tab w:val="left" w:pos="4186"/>
              </w:tabs>
              <w:spacing w:line="360" w:lineRule="auto"/>
              <w:rPr>
                <w:rFonts w:ascii="宋体" w:hAnsi="宋体" w:eastAsia="宋体" w:cs="宋体"/>
              </w:rPr>
            </w:pPr>
            <w:r>
              <w:rPr>
                <w:rFonts w:hint="eastAsia" w:ascii="宋体" w:hAnsi="宋体" w:eastAsia="宋体" w:cs="宋体"/>
              </w:rPr>
              <w:t>或授权代表：</w:t>
            </w:r>
          </w:p>
        </w:tc>
        <w:tc>
          <w:tcPr>
            <w:tcW w:w="4140" w:type="dxa"/>
          </w:tcPr>
          <w:p>
            <w:pPr>
              <w:tabs>
                <w:tab w:val="left" w:pos="4186"/>
              </w:tabs>
              <w:spacing w:line="360" w:lineRule="auto"/>
              <w:rPr>
                <w:rFonts w:ascii="宋体" w:hAnsi="宋体" w:eastAsia="宋体" w:cs="宋体"/>
              </w:rPr>
            </w:pPr>
            <w:r>
              <w:rPr>
                <w:rFonts w:hint="eastAsia" w:ascii="宋体" w:hAnsi="宋体" w:eastAsia="宋体" w:cs="宋体"/>
              </w:rPr>
              <w:t>或授权代表：</w:t>
            </w:r>
          </w:p>
        </w:tc>
      </w:tr>
      <w:tr>
        <w:tblPrEx>
          <w:tblCellMar>
            <w:top w:w="0" w:type="dxa"/>
            <w:left w:w="108" w:type="dxa"/>
            <w:bottom w:w="0" w:type="dxa"/>
            <w:right w:w="108" w:type="dxa"/>
          </w:tblCellMar>
        </w:tblPrEx>
        <w:tc>
          <w:tcPr>
            <w:tcW w:w="4788" w:type="dxa"/>
          </w:tcPr>
          <w:p>
            <w:pPr>
              <w:tabs>
                <w:tab w:val="left" w:pos="4186"/>
              </w:tabs>
              <w:spacing w:line="360" w:lineRule="auto"/>
              <w:rPr>
                <w:rFonts w:ascii="宋体" w:hAnsi="宋体" w:eastAsia="宋体" w:cs="宋体"/>
              </w:rPr>
            </w:pPr>
            <w:r>
              <w:rPr>
                <w:rFonts w:hint="eastAsia" w:ascii="宋体" w:hAnsi="宋体" w:eastAsia="宋体" w:cs="宋体"/>
              </w:rPr>
              <w:t>通讯地址：</w:t>
            </w:r>
          </w:p>
        </w:tc>
        <w:tc>
          <w:tcPr>
            <w:tcW w:w="4140" w:type="dxa"/>
          </w:tcPr>
          <w:p>
            <w:pPr>
              <w:tabs>
                <w:tab w:val="left" w:pos="4186"/>
              </w:tabs>
              <w:spacing w:line="360" w:lineRule="auto"/>
              <w:rPr>
                <w:rFonts w:ascii="宋体" w:hAnsi="宋体" w:eastAsia="宋体" w:cs="宋体"/>
              </w:rPr>
            </w:pPr>
            <w:r>
              <w:rPr>
                <w:rFonts w:hint="eastAsia" w:ascii="宋体" w:hAnsi="宋体" w:eastAsia="宋体" w:cs="宋体"/>
              </w:rPr>
              <w:t>通讯地址：</w:t>
            </w:r>
          </w:p>
        </w:tc>
      </w:tr>
      <w:tr>
        <w:tblPrEx>
          <w:tblCellMar>
            <w:top w:w="0" w:type="dxa"/>
            <w:left w:w="108" w:type="dxa"/>
            <w:bottom w:w="0" w:type="dxa"/>
            <w:right w:w="108" w:type="dxa"/>
          </w:tblCellMar>
        </w:tblPrEx>
        <w:tc>
          <w:tcPr>
            <w:tcW w:w="4788" w:type="dxa"/>
          </w:tcPr>
          <w:p>
            <w:pPr>
              <w:tabs>
                <w:tab w:val="left" w:pos="4186"/>
              </w:tabs>
              <w:spacing w:line="360" w:lineRule="auto"/>
              <w:rPr>
                <w:rFonts w:ascii="宋体" w:hAnsi="宋体" w:eastAsia="宋体" w:cs="宋体"/>
              </w:rPr>
            </w:pPr>
            <w:r>
              <w:rPr>
                <w:rFonts w:hint="eastAsia" w:ascii="宋体" w:hAnsi="宋体" w:eastAsia="宋体" w:cs="宋体"/>
              </w:rPr>
              <w:t>开户行：</w:t>
            </w:r>
          </w:p>
        </w:tc>
        <w:tc>
          <w:tcPr>
            <w:tcW w:w="4140" w:type="dxa"/>
          </w:tcPr>
          <w:p>
            <w:pPr>
              <w:tabs>
                <w:tab w:val="left" w:pos="4186"/>
              </w:tabs>
              <w:spacing w:line="360" w:lineRule="auto"/>
              <w:rPr>
                <w:rFonts w:ascii="宋体" w:hAnsi="宋体" w:eastAsia="宋体" w:cs="宋体"/>
              </w:rPr>
            </w:pPr>
            <w:r>
              <w:rPr>
                <w:rFonts w:hint="eastAsia" w:ascii="宋体" w:hAnsi="宋体" w:eastAsia="宋体" w:cs="宋体"/>
              </w:rPr>
              <w:t>开户行：</w:t>
            </w:r>
          </w:p>
        </w:tc>
      </w:tr>
      <w:tr>
        <w:tblPrEx>
          <w:tblCellMar>
            <w:top w:w="0" w:type="dxa"/>
            <w:left w:w="108" w:type="dxa"/>
            <w:bottom w:w="0" w:type="dxa"/>
            <w:right w:w="108" w:type="dxa"/>
          </w:tblCellMar>
        </w:tblPrEx>
        <w:tc>
          <w:tcPr>
            <w:tcW w:w="4788" w:type="dxa"/>
          </w:tcPr>
          <w:p>
            <w:pPr>
              <w:tabs>
                <w:tab w:val="left" w:pos="4186"/>
              </w:tabs>
              <w:spacing w:line="360" w:lineRule="auto"/>
              <w:rPr>
                <w:rFonts w:ascii="宋体" w:hAnsi="宋体" w:eastAsia="宋体" w:cs="宋体"/>
              </w:rPr>
            </w:pPr>
            <w:r>
              <w:rPr>
                <w:rFonts w:hint="eastAsia" w:ascii="宋体" w:hAnsi="宋体" w:eastAsia="宋体" w:cs="宋体"/>
              </w:rPr>
              <w:t>户名：</w:t>
            </w:r>
          </w:p>
        </w:tc>
        <w:tc>
          <w:tcPr>
            <w:tcW w:w="4140" w:type="dxa"/>
          </w:tcPr>
          <w:p>
            <w:pPr>
              <w:tabs>
                <w:tab w:val="left" w:pos="4186"/>
              </w:tabs>
              <w:spacing w:line="360" w:lineRule="auto"/>
              <w:rPr>
                <w:rFonts w:ascii="宋体" w:hAnsi="宋体" w:eastAsia="宋体" w:cs="宋体"/>
              </w:rPr>
            </w:pPr>
            <w:r>
              <w:rPr>
                <w:rFonts w:hint="eastAsia" w:ascii="宋体" w:hAnsi="宋体" w:eastAsia="宋体" w:cs="宋体"/>
              </w:rPr>
              <w:t>户名：</w:t>
            </w:r>
          </w:p>
        </w:tc>
      </w:tr>
      <w:tr>
        <w:tblPrEx>
          <w:tblCellMar>
            <w:top w:w="0" w:type="dxa"/>
            <w:left w:w="108" w:type="dxa"/>
            <w:bottom w:w="0" w:type="dxa"/>
            <w:right w:w="108" w:type="dxa"/>
          </w:tblCellMar>
        </w:tblPrEx>
        <w:tc>
          <w:tcPr>
            <w:tcW w:w="4788" w:type="dxa"/>
          </w:tcPr>
          <w:p>
            <w:pPr>
              <w:tabs>
                <w:tab w:val="left" w:pos="4186"/>
              </w:tabs>
              <w:spacing w:line="360" w:lineRule="auto"/>
              <w:rPr>
                <w:rFonts w:ascii="宋体" w:hAnsi="宋体" w:eastAsia="宋体" w:cs="宋体"/>
              </w:rPr>
            </w:pPr>
            <w:r>
              <w:rPr>
                <w:rFonts w:hint="eastAsia" w:ascii="宋体" w:hAnsi="宋体" w:eastAsia="宋体" w:cs="宋体"/>
              </w:rPr>
              <w:t>帐号：</w:t>
            </w:r>
          </w:p>
        </w:tc>
        <w:tc>
          <w:tcPr>
            <w:tcW w:w="4140" w:type="dxa"/>
          </w:tcPr>
          <w:p>
            <w:pPr>
              <w:tabs>
                <w:tab w:val="left" w:pos="4186"/>
              </w:tabs>
              <w:spacing w:line="360" w:lineRule="auto"/>
              <w:rPr>
                <w:rFonts w:ascii="宋体" w:hAnsi="宋体" w:eastAsia="宋体" w:cs="宋体"/>
              </w:rPr>
            </w:pPr>
            <w:r>
              <w:rPr>
                <w:rFonts w:hint="eastAsia" w:ascii="宋体" w:hAnsi="宋体" w:eastAsia="宋体" w:cs="宋体"/>
              </w:rPr>
              <w:t>帐号：</w:t>
            </w:r>
          </w:p>
        </w:tc>
      </w:tr>
      <w:tr>
        <w:tblPrEx>
          <w:tblCellMar>
            <w:top w:w="0" w:type="dxa"/>
            <w:left w:w="108" w:type="dxa"/>
            <w:bottom w:w="0" w:type="dxa"/>
            <w:right w:w="108" w:type="dxa"/>
          </w:tblCellMar>
        </w:tblPrEx>
        <w:tc>
          <w:tcPr>
            <w:tcW w:w="4788" w:type="dxa"/>
          </w:tcPr>
          <w:p>
            <w:pPr>
              <w:tabs>
                <w:tab w:val="left" w:pos="4186"/>
              </w:tabs>
              <w:spacing w:line="360" w:lineRule="auto"/>
              <w:rPr>
                <w:rFonts w:ascii="宋体" w:hAnsi="宋体" w:eastAsia="宋体" w:cs="宋体"/>
              </w:rPr>
            </w:pPr>
            <w:r>
              <w:rPr>
                <w:rFonts w:hint="eastAsia" w:ascii="宋体" w:hAnsi="宋体" w:eastAsia="宋体" w:cs="宋体"/>
              </w:rPr>
              <w:t>电话：</w:t>
            </w:r>
          </w:p>
        </w:tc>
        <w:tc>
          <w:tcPr>
            <w:tcW w:w="4140" w:type="dxa"/>
          </w:tcPr>
          <w:p>
            <w:pPr>
              <w:tabs>
                <w:tab w:val="left" w:pos="4186"/>
              </w:tabs>
              <w:spacing w:line="360" w:lineRule="auto"/>
              <w:rPr>
                <w:rFonts w:ascii="宋体" w:hAnsi="宋体" w:eastAsia="宋体" w:cs="宋体"/>
              </w:rPr>
            </w:pPr>
            <w:r>
              <w:rPr>
                <w:rFonts w:hint="eastAsia" w:ascii="宋体" w:hAnsi="宋体" w:eastAsia="宋体" w:cs="宋体"/>
              </w:rPr>
              <w:t>电话：</w:t>
            </w:r>
          </w:p>
        </w:tc>
      </w:tr>
      <w:tr>
        <w:tblPrEx>
          <w:tblCellMar>
            <w:top w:w="0" w:type="dxa"/>
            <w:left w:w="108" w:type="dxa"/>
            <w:bottom w:w="0" w:type="dxa"/>
            <w:right w:w="108" w:type="dxa"/>
          </w:tblCellMar>
        </w:tblPrEx>
        <w:tc>
          <w:tcPr>
            <w:tcW w:w="4788" w:type="dxa"/>
          </w:tcPr>
          <w:p>
            <w:pPr>
              <w:tabs>
                <w:tab w:val="left" w:pos="4186"/>
              </w:tabs>
              <w:spacing w:line="360" w:lineRule="auto"/>
              <w:rPr>
                <w:rFonts w:ascii="宋体" w:hAnsi="宋体" w:eastAsia="宋体" w:cs="宋体"/>
              </w:rPr>
            </w:pPr>
            <w:r>
              <w:rPr>
                <w:rFonts w:hint="eastAsia" w:ascii="宋体" w:hAnsi="宋体" w:eastAsia="宋体" w:cs="宋体"/>
              </w:rPr>
              <w:t>传真：</w:t>
            </w:r>
          </w:p>
          <w:p>
            <w:pPr>
              <w:tabs>
                <w:tab w:val="left" w:pos="4186"/>
              </w:tabs>
              <w:spacing w:line="360" w:lineRule="auto"/>
              <w:rPr>
                <w:rFonts w:ascii="宋体" w:hAnsi="宋体" w:eastAsia="宋体" w:cs="宋体"/>
              </w:rPr>
            </w:pPr>
            <w:r>
              <w:rPr>
                <w:rFonts w:hint="eastAsia" w:ascii="宋体" w:hAnsi="宋体" w:eastAsia="宋体" w:cs="宋体"/>
              </w:rPr>
              <w:t>日期：</w:t>
            </w:r>
          </w:p>
        </w:tc>
        <w:tc>
          <w:tcPr>
            <w:tcW w:w="4140" w:type="dxa"/>
          </w:tcPr>
          <w:p>
            <w:pPr>
              <w:tabs>
                <w:tab w:val="left" w:pos="4186"/>
              </w:tabs>
              <w:spacing w:line="360" w:lineRule="auto"/>
              <w:rPr>
                <w:rFonts w:ascii="宋体" w:hAnsi="宋体" w:eastAsia="宋体" w:cs="宋体"/>
              </w:rPr>
            </w:pPr>
            <w:r>
              <w:rPr>
                <w:rFonts w:hint="eastAsia" w:ascii="宋体" w:hAnsi="宋体" w:eastAsia="宋体" w:cs="宋体"/>
              </w:rPr>
              <w:t>传真：</w:t>
            </w:r>
          </w:p>
          <w:p>
            <w:pPr>
              <w:tabs>
                <w:tab w:val="left" w:pos="4186"/>
              </w:tabs>
              <w:spacing w:line="360" w:lineRule="auto"/>
              <w:rPr>
                <w:rFonts w:ascii="宋体" w:hAnsi="宋体" w:eastAsia="宋体" w:cs="宋体"/>
              </w:rPr>
            </w:pPr>
            <w:r>
              <w:rPr>
                <w:rFonts w:hint="eastAsia" w:ascii="宋体" w:hAnsi="宋体" w:eastAsia="宋体" w:cs="宋体"/>
              </w:rPr>
              <w:t>日期：</w:t>
            </w:r>
          </w:p>
        </w:tc>
      </w:tr>
    </w:tbl>
    <w:p>
      <w:pPr>
        <w:spacing w:line="360" w:lineRule="auto"/>
        <w:ind w:firstLine="422" w:firstLineChars="200"/>
        <w:rPr>
          <w:rFonts w:ascii="宋体" w:hAnsi="宋体" w:eastAsia="宋体" w:cs="宋体"/>
          <w:b/>
        </w:rPr>
      </w:pPr>
    </w:p>
    <w:p>
      <w:pPr>
        <w:pStyle w:val="20"/>
        <w:snapToGrid w:val="0"/>
        <w:spacing w:line="360" w:lineRule="auto"/>
        <w:ind w:firstLine="480" w:firstLineChars="200"/>
        <w:rPr>
          <w:rFonts w:ascii="宋体" w:hAnsi="宋体" w:eastAsia="宋体" w:cs="宋体"/>
          <w:sz w:val="24"/>
        </w:rPr>
      </w:pPr>
    </w:p>
    <w:p>
      <w:pPr>
        <w:rPr>
          <w:rFonts w:ascii="宋体" w:hAnsi="宋体" w:eastAsia="宋体" w:cs="宋体"/>
          <w:sz w:val="24"/>
        </w:rPr>
      </w:pPr>
      <w:r>
        <w:rPr>
          <w:rFonts w:hint="eastAsia" w:ascii="宋体" w:hAnsi="宋体" w:eastAsia="宋体" w:cs="宋体"/>
          <w:sz w:val="24"/>
        </w:rPr>
        <w:br w:type="page"/>
      </w:r>
    </w:p>
    <w:p>
      <w:pPr>
        <w:pStyle w:val="20"/>
        <w:snapToGrid w:val="0"/>
        <w:spacing w:line="360" w:lineRule="auto"/>
        <w:ind w:firstLine="480" w:firstLineChars="200"/>
        <w:rPr>
          <w:rFonts w:ascii="宋体" w:hAnsi="宋体" w:eastAsia="宋体" w:cs="宋体"/>
          <w:sz w:val="24"/>
        </w:rPr>
      </w:pPr>
      <w:r>
        <w:rPr>
          <w:rFonts w:hint="eastAsia" w:ascii="宋体" w:hAnsi="宋体" w:eastAsia="宋体" w:cs="宋体"/>
          <w:sz w:val="24"/>
        </w:rPr>
        <w:t>合同附件一: 产品安装责任</w:t>
      </w:r>
    </w:p>
    <w:p>
      <w:pPr>
        <w:pStyle w:val="20"/>
        <w:snapToGrid w:val="0"/>
        <w:spacing w:line="360" w:lineRule="auto"/>
        <w:ind w:firstLine="480"/>
        <w:rPr>
          <w:rFonts w:ascii="宋体" w:hAnsi="宋体" w:eastAsia="宋体" w:cs="宋体"/>
          <w:sz w:val="24"/>
        </w:rPr>
      </w:pPr>
      <w:r>
        <w:rPr>
          <w:rFonts w:hint="eastAsia" w:ascii="宋体" w:hAnsi="宋体" w:eastAsia="宋体" w:cs="宋体"/>
          <w:sz w:val="24"/>
        </w:rPr>
        <w:t>合同附件二: 质量保修书</w:t>
      </w:r>
    </w:p>
    <w:p>
      <w:pPr>
        <w:pStyle w:val="20"/>
        <w:snapToGrid w:val="0"/>
        <w:spacing w:line="360" w:lineRule="auto"/>
        <w:ind w:firstLine="480"/>
        <w:rPr>
          <w:rFonts w:ascii="宋体" w:hAnsi="宋体" w:eastAsia="宋体" w:cs="宋体"/>
          <w:sz w:val="24"/>
        </w:rPr>
      </w:pPr>
      <w:r>
        <w:rPr>
          <w:rFonts w:hint="eastAsia" w:ascii="宋体" w:hAnsi="宋体" w:eastAsia="宋体" w:cs="宋体"/>
          <w:sz w:val="24"/>
        </w:rPr>
        <w:t>合同附件三: 廉政责任协议书</w:t>
      </w:r>
    </w:p>
    <w:p>
      <w:pPr>
        <w:pStyle w:val="20"/>
        <w:snapToGrid w:val="0"/>
        <w:spacing w:line="360" w:lineRule="auto"/>
        <w:ind w:firstLine="480"/>
        <w:rPr>
          <w:rFonts w:ascii="宋体" w:hAnsi="宋体" w:eastAsia="宋体" w:cs="宋体"/>
          <w:sz w:val="24"/>
        </w:rPr>
      </w:pPr>
      <w:r>
        <w:rPr>
          <w:rFonts w:hint="eastAsia" w:ascii="宋体" w:hAnsi="宋体" w:eastAsia="宋体" w:cs="宋体"/>
          <w:sz w:val="24"/>
        </w:rPr>
        <w:t>合同附件四: 安全生产合同</w:t>
      </w:r>
    </w:p>
    <w:p>
      <w:pPr>
        <w:pStyle w:val="20"/>
        <w:snapToGrid w:val="0"/>
        <w:spacing w:line="360" w:lineRule="auto"/>
        <w:ind w:firstLine="480"/>
        <w:rPr>
          <w:rFonts w:ascii="宋体" w:hAnsi="宋体" w:eastAsia="宋体" w:cs="宋体"/>
          <w:sz w:val="24"/>
        </w:rPr>
      </w:pPr>
      <w:r>
        <w:rPr>
          <w:rFonts w:hint="eastAsia" w:ascii="宋体" w:hAnsi="宋体" w:eastAsia="宋体" w:cs="宋体"/>
          <w:sz w:val="24"/>
        </w:rPr>
        <w:t>合同附件五：招标内容和技术要求</w:t>
      </w:r>
    </w:p>
    <w:p>
      <w:pPr>
        <w:spacing w:line="360" w:lineRule="auto"/>
        <w:rPr>
          <w:rFonts w:ascii="宋体" w:hAnsi="宋体" w:eastAsia="宋体" w:cs="宋体"/>
          <w:b/>
        </w:rPr>
      </w:pPr>
    </w:p>
    <w:p>
      <w:pPr>
        <w:rPr>
          <w:rFonts w:ascii="宋体" w:hAnsi="宋体" w:eastAsia="宋体" w:cs="宋体"/>
          <w:b/>
        </w:rPr>
      </w:pPr>
      <w:r>
        <w:rPr>
          <w:rFonts w:hint="eastAsia" w:ascii="宋体" w:hAnsi="宋体" w:eastAsia="宋体" w:cs="宋体"/>
          <w:b/>
        </w:rPr>
        <w:br w:type="page"/>
      </w:r>
    </w:p>
    <w:p>
      <w:pPr>
        <w:spacing w:line="360" w:lineRule="auto"/>
        <w:rPr>
          <w:rFonts w:ascii="宋体" w:hAnsi="宋体" w:eastAsia="宋体" w:cs="宋体"/>
          <w:b/>
        </w:rPr>
      </w:pPr>
      <w:r>
        <w:rPr>
          <w:rFonts w:hint="eastAsia" w:ascii="宋体" w:hAnsi="宋体" w:eastAsia="宋体" w:cs="宋体"/>
          <w:b/>
        </w:rPr>
        <w:t>合同附件一：</w:t>
      </w:r>
    </w:p>
    <w:p>
      <w:pPr>
        <w:spacing w:line="360" w:lineRule="auto"/>
        <w:ind w:right="480" w:firstLine="422" w:firstLineChars="200"/>
        <w:jc w:val="center"/>
        <w:rPr>
          <w:rFonts w:ascii="宋体" w:hAnsi="宋体" w:eastAsia="宋体" w:cs="宋体"/>
          <w:b/>
        </w:rPr>
      </w:pPr>
      <w:r>
        <w:rPr>
          <w:rFonts w:hint="eastAsia" w:ascii="宋体" w:hAnsi="宋体" w:eastAsia="宋体" w:cs="宋体"/>
          <w:b/>
        </w:rPr>
        <w:t>产品安装责任</w:t>
      </w:r>
    </w:p>
    <w:p>
      <w:pPr>
        <w:numPr>
          <w:ilvl w:val="0"/>
          <w:numId w:val="3"/>
        </w:numPr>
        <w:tabs>
          <w:tab w:val="left" w:pos="540"/>
        </w:tabs>
        <w:adjustRightInd/>
        <w:spacing w:line="360" w:lineRule="auto"/>
        <w:ind w:firstLine="422" w:firstLineChars="200"/>
        <w:rPr>
          <w:rFonts w:ascii="宋体" w:hAnsi="宋体" w:eastAsia="宋体" w:cs="宋体"/>
          <w:b/>
        </w:rPr>
      </w:pPr>
      <w:r>
        <w:rPr>
          <w:rFonts w:hint="eastAsia" w:ascii="宋体" w:hAnsi="宋体" w:eastAsia="宋体" w:cs="宋体"/>
          <w:b/>
        </w:rPr>
        <w:t>甲方责任</w:t>
      </w:r>
    </w:p>
    <w:p>
      <w:pPr>
        <w:tabs>
          <w:tab w:val="left" w:pos="540"/>
        </w:tabs>
        <w:spacing w:line="360" w:lineRule="auto"/>
        <w:ind w:firstLine="420" w:firstLineChars="200"/>
        <w:rPr>
          <w:rFonts w:ascii="宋体" w:hAnsi="宋体" w:eastAsia="宋体" w:cs="宋体"/>
        </w:rPr>
      </w:pPr>
      <w:r>
        <w:rPr>
          <w:rFonts w:hint="eastAsia" w:ascii="宋体" w:hAnsi="宋体" w:eastAsia="宋体" w:cs="宋体"/>
        </w:rPr>
        <w:t>1、施工前</w:t>
      </w:r>
    </w:p>
    <w:p>
      <w:pPr>
        <w:spacing w:line="360" w:lineRule="auto"/>
        <w:ind w:left="479" w:leftChars="228" w:firstLine="420" w:firstLineChars="200"/>
        <w:rPr>
          <w:rFonts w:ascii="宋体" w:hAnsi="宋体" w:eastAsia="宋体" w:cs="宋体"/>
        </w:rPr>
      </w:pPr>
      <w:r>
        <w:rPr>
          <w:rFonts w:hint="eastAsia" w:ascii="宋体" w:hAnsi="宋体" w:eastAsia="宋体" w:cs="宋体"/>
        </w:rPr>
        <w:t>1.1提供双方共同确认的符合土建要求的机房(门窗安装完毕并能防盗)、井道和层站。未按双方确认的《电梯井道土建图》要求施工由甲方负责整改。</w:t>
      </w:r>
    </w:p>
    <w:p>
      <w:pPr>
        <w:spacing w:line="360" w:lineRule="auto"/>
        <w:ind w:left="479" w:leftChars="228" w:firstLine="420" w:firstLineChars="200"/>
        <w:rPr>
          <w:rFonts w:ascii="宋体" w:hAnsi="宋体" w:eastAsia="宋体" w:cs="宋体"/>
        </w:rPr>
      </w:pPr>
      <w:r>
        <w:rPr>
          <w:rFonts w:hint="eastAsia" w:ascii="宋体" w:hAnsi="宋体" w:eastAsia="宋体" w:cs="宋体"/>
        </w:rPr>
        <w:t>1.2电梯到货前10天内，书面提供水平标高线及中轴线引到一层电梯厅墙体边。</w:t>
      </w:r>
    </w:p>
    <w:p>
      <w:pPr>
        <w:spacing w:line="360" w:lineRule="auto"/>
        <w:ind w:firstLine="420" w:firstLineChars="200"/>
        <w:rPr>
          <w:rFonts w:ascii="宋体" w:hAnsi="宋体" w:eastAsia="宋体" w:cs="宋体"/>
        </w:rPr>
      </w:pPr>
      <w:r>
        <w:rPr>
          <w:rFonts w:hint="eastAsia" w:ascii="宋体" w:hAnsi="宋体" w:eastAsia="宋体" w:cs="宋体"/>
        </w:rPr>
        <w:t>2、施工中</w:t>
      </w:r>
    </w:p>
    <w:p>
      <w:pPr>
        <w:spacing w:line="360" w:lineRule="auto"/>
        <w:ind w:left="479" w:leftChars="228" w:firstLine="420" w:firstLineChars="200"/>
        <w:rPr>
          <w:rFonts w:ascii="宋体" w:hAnsi="宋体" w:eastAsia="宋体" w:cs="宋体"/>
        </w:rPr>
      </w:pPr>
      <w:r>
        <w:rPr>
          <w:rFonts w:hint="eastAsia" w:ascii="宋体" w:hAnsi="宋体" w:eastAsia="宋体" w:cs="宋体"/>
        </w:rPr>
        <w:t>2.1提供井道开口安全</w:t>
      </w:r>
      <w:r>
        <w:rPr>
          <w:rFonts w:hint="eastAsia" w:ascii="宋体" w:hAnsi="宋体" w:eastAsia="宋体" w:cs="宋体"/>
          <w:lang w:val="en-US" w:eastAsia="zh-CN"/>
        </w:rPr>
        <w:t>护栏</w:t>
      </w:r>
      <w:r>
        <w:rPr>
          <w:rFonts w:hint="eastAsia" w:ascii="宋体" w:hAnsi="宋体" w:eastAsia="宋体" w:cs="宋体"/>
        </w:rPr>
        <w:t>至电梯厅门安装完成。</w:t>
      </w:r>
    </w:p>
    <w:p>
      <w:pPr>
        <w:spacing w:line="360" w:lineRule="auto"/>
        <w:ind w:left="479" w:leftChars="228" w:firstLine="420" w:firstLineChars="200"/>
        <w:rPr>
          <w:rFonts w:ascii="宋体" w:hAnsi="宋体" w:eastAsia="宋体" w:cs="宋体"/>
        </w:rPr>
      </w:pPr>
      <w:r>
        <w:rPr>
          <w:rFonts w:hint="eastAsia" w:ascii="宋体" w:hAnsi="宋体" w:eastAsia="宋体" w:cs="宋体"/>
        </w:rPr>
        <w:t>2.2负责机房至监控室的线槽安装和布线。</w:t>
      </w:r>
    </w:p>
    <w:p>
      <w:pPr>
        <w:spacing w:line="360" w:lineRule="auto"/>
        <w:ind w:left="479" w:leftChars="228" w:firstLine="420" w:firstLineChars="200"/>
        <w:rPr>
          <w:rFonts w:ascii="宋体" w:hAnsi="宋体" w:eastAsia="宋体" w:cs="宋体"/>
        </w:rPr>
      </w:pPr>
      <w:r>
        <w:rPr>
          <w:rFonts w:hint="eastAsia" w:ascii="宋体" w:hAnsi="宋体" w:eastAsia="宋体" w:cs="宋体"/>
        </w:rPr>
        <w:t>2.3落实联系人负责乙方与其他施工单位交叉作业时的协调工作。</w:t>
      </w:r>
    </w:p>
    <w:p>
      <w:pPr>
        <w:spacing w:line="360" w:lineRule="auto"/>
        <w:ind w:firstLine="420" w:firstLineChars="200"/>
        <w:rPr>
          <w:rFonts w:ascii="宋体" w:hAnsi="宋体" w:eastAsia="宋体" w:cs="宋体"/>
        </w:rPr>
      </w:pPr>
      <w:r>
        <w:rPr>
          <w:rFonts w:hint="eastAsia" w:ascii="宋体" w:hAnsi="宋体" w:eastAsia="宋体" w:cs="宋体"/>
        </w:rPr>
        <w:t>3、施工后</w:t>
      </w:r>
    </w:p>
    <w:p>
      <w:pPr>
        <w:spacing w:line="360" w:lineRule="auto"/>
        <w:ind w:left="479" w:leftChars="228" w:firstLine="420" w:firstLineChars="200"/>
        <w:rPr>
          <w:rFonts w:ascii="宋体" w:hAnsi="宋体" w:eastAsia="宋体" w:cs="宋体"/>
        </w:rPr>
      </w:pPr>
      <w:r>
        <w:rPr>
          <w:rFonts w:hint="eastAsia" w:ascii="宋体" w:hAnsi="宋体" w:eastAsia="宋体" w:cs="宋体"/>
        </w:rPr>
        <w:t>3.1甲方、代建单位及监理单位的验收是甲方享有的对乙方履行义务的监督权利，并不因此承担任何责任。甲方的验收过程未能发现的产品存在质量问题或其它问题仍应由乙方向甲方承担全部责任。</w:t>
      </w:r>
    </w:p>
    <w:p>
      <w:pPr>
        <w:spacing w:line="360" w:lineRule="auto"/>
        <w:ind w:left="479" w:leftChars="228" w:firstLine="420" w:firstLineChars="200"/>
        <w:rPr>
          <w:rFonts w:ascii="宋体" w:hAnsi="宋体" w:eastAsia="宋体" w:cs="宋体"/>
        </w:rPr>
      </w:pPr>
      <w:r>
        <w:rPr>
          <w:rFonts w:hint="eastAsia" w:ascii="宋体" w:hAnsi="宋体" w:eastAsia="宋体" w:cs="宋体"/>
        </w:rPr>
        <w:t>3.2产品经电梯安装地特种设备检验检测机构验收合格后的接收工作。</w:t>
      </w:r>
    </w:p>
    <w:p>
      <w:pPr>
        <w:spacing w:line="360" w:lineRule="auto"/>
        <w:ind w:left="479" w:leftChars="228" w:firstLine="420" w:firstLineChars="200"/>
        <w:rPr>
          <w:rFonts w:ascii="宋体" w:hAnsi="宋体" w:eastAsia="宋体" w:cs="宋体"/>
        </w:rPr>
      </w:pPr>
      <w:r>
        <w:rPr>
          <w:rFonts w:hint="eastAsia" w:ascii="宋体" w:hAnsi="宋体" w:eastAsia="宋体" w:cs="宋体"/>
        </w:rPr>
        <w:t>3.3按《特种设备安全监察条例》（国务院第549号令）规定，负责产品交付后的日常管理。</w:t>
      </w:r>
    </w:p>
    <w:p>
      <w:pPr>
        <w:spacing w:line="360" w:lineRule="auto"/>
        <w:ind w:firstLine="422" w:firstLineChars="200"/>
        <w:rPr>
          <w:rFonts w:ascii="宋体" w:hAnsi="宋体" w:eastAsia="宋体" w:cs="宋体"/>
          <w:b/>
        </w:rPr>
      </w:pPr>
      <w:r>
        <w:rPr>
          <w:rFonts w:hint="eastAsia" w:ascii="宋体" w:hAnsi="宋体" w:eastAsia="宋体" w:cs="宋体"/>
          <w:b/>
        </w:rPr>
        <w:t>二、乙方责任</w:t>
      </w:r>
    </w:p>
    <w:p>
      <w:pPr>
        <w:spacing w:line="360" w:lineRule="auto"/>
        <w:ind w:firstLine="420" w:firstLineChars="200"/>
        <w:rPr>
          <w:rFonts w:ascii="宋体" w:hAnsi="宋体" w:eastAsia="宋体" w:cs="宋体"/>
        </w:rPr>
      </w:pPr>
      <w:r>
        <w:rPr>
          <w:rFonts w:hint="eastAsia" w:ascii="宋体" w:hAnsi="宋体" w:eastAsia="宋体" w:cs="宋体"/>
        </w:rPr>
        <w:t>1、施工前</w:t>
      </w:r>
    </w:p>
    <w:p>
      <w:pPr>
        <w:spacing w:line="360" w:lineRule="auto"/>
        <w:ind w:left="430" w:leftChars="205" w:firstLine="420" w:firstLineChars="200"/>
        <w:rPr>
          <w:rFonts w:ascii="宋体" w:hAnsi="宋体" w:eastAsia="宋体" w:cs="宋体"/>
        </w:rPr>
      </w:pPr>
      <w:r>
        <w:rPr>
          <w:rFonts w:hint="eastAsia" w:ascii="宋体" w:hAnsi="宋体" w:eastAsia="宋体" w:cs="宋体"/>
        </w:rPr>
        <w:t>1.1乙方自行到项目所在地现场踏勘，了解工程实际进度情况，核实安装位置、层高、井道尺寸等各类电梯所需的相关数据，核实现场实际土建条件是否满足电梯相关规范、验收及投标产品的要求，以保证电梯在安装时正好适合使用位置的尺寸、在使用中完全符合甲方的实际需要，并保证不因为满足上述需求而追加任何费用。对现有电梯井道进行首次工勘后向甲方进行技术交底，并负责绘制《电梯井道土建图》。</w:t>
      </w:r>
    </w:p>
    <w:p>
      <w:pPr>
        <w:spacing w:line="360" w:lineRule="auto"/>
        <w:ind w:left="430" w:leftChars="205" w:firstLine="420" w:firstLineChars="200"/>
        <w:rPr>
          <w:rFonts w:ascii="宋体" w:hAnsi="宋体" w:eastAsia="宋体" w:cs="宋体"/>
        </w:rPr>
      </w:pPr>
      <w:r>
        <w:rPr>
          <w:rFonts w:hint="eastAsia" w:ascii="宋体" w:hAnsi="宋体" w:eastAsia="宋体" w:cs="宋体"/>
        </w:rPr>
        <w:t>1.2每月定期对现场进行土建勘测，确认施工条件，提供咨询服务和提出整改要求。</w:t>
      </w:r>
    </w:p>
    <w:p>
      <w:pPr>
        <w:spacing w:line="360" w:lineRule="auto"/>
        <w:ind w:left="430" w:leftChars="205" w:firstLine="420" w:firstLineChars="200"/>
        <w:rPr>
          <w:rFonts w:ascii="宋体" w:hAnsi="宋体" w:eastAsia="宋体" w:cs="宋体"/>
        </w:rPr>
      </w:pPr>
      <w:r>
        <w:rPr>
          <w:rFonts w:hint="eastAsia" w:ascii="宋体" w:hAnsi="宋体" w:eastAsia="宋体" w:cs="宋体"/>
        </w:rPr>
        <w:t>1.3负责与甲方商定具体开工和竣工日期并签订《安装联系单》。</w:t>
      </w:r>
    </w:p>
    <w:p>
      <w:pPr>
        <w:spacing w:line="360" w:lineRule="auto"/>
        <w:ind w:left="430" w:leftChars="205" w:firstLine="420" w:firstLineChars="200"/>
        <w:rPr>
          <w:rFonts w:ascii="宋体" w:hAnsi="宋体" w:eastAsia="宋体" w:cs="宋体"/>
        </w:rPr>
      </w:pPr>
      <w:r>
        <w:rPr>
          <w:rFonts w:hint="eastAsia" w:ascii="宋体" w:hAnsi="宋体" w:eastAsia="宋体" w:cs="宋体"/>
        </w:rPr>
        <w:t>1.4负责向电梯安装地特种设备检测机构办理电梯开工安装的申报手续。</w:t>
      </w:r>
    </w:p>
    <w:p>
      <w:pPr>
        <w:spacing w:line="360" w:lineRule="auto"/>
        <w:ind w:left="430" w:leftChars="205" w:firstLine="420" w:firstLineChars="200"/>
        <w:rPr>
          <w:rFonts w:ascii="宋体" w:hAnsi="宋体" w:eastAsia="宋体" w:cs="宋体"/>
        </w:rPr>
      </w:pPr>
      <w:r>
        <w:rPr>
          <w:rFonts w:hint="eastAsia" w:ascii="宋体" w:hAnsi="宋体" w:eastAsia="宋体" w:cs="宋体"/>
        </w:rPr>
        <w:t>1.5根据甲方提供的用电接驳点，负责安装调试及临时梯运行所用临时电缆，提供安装、调试用的动力和照明电源至电梯机房。</w:t>
      </w:r>
    </w:p>
    <w:p>
      <w:pPr>
        <w:spacing w:line="360" w:lineRule="auto"/>
        <w:ind w:left="430" w:leftChars="205" w:firstLine="420" w:firstLineChars="200"/>
        <w:rPr>
          <w:rFonts w:ascii="宋体" w:hAnsi="宋体" w:eastAsia="宋体" w:cs="宋体"/>
        </w:rPr>
      </w:pPr>
      <w:r>
        <w:rPr>
          <w:rFonts w:hint="eastAsia" w:ascii="宋体" w:hAnsi="宋体" w:eastAsia="宋体" w:cs="宋体"/>
        </w:rPr>
        <w:t>1.6设备进场后，负责保管安装的设备及部件，并承担一切费用和责任。</w:t>
      </w:r>
    </w:p>
    <w:p>
      <w:pPr>
        <w:spacing w:line="360" w:lineRule="auto"/>
        <w:ind w:left="430" w:leftChars="205" w:firstLine="420" w:firstLineChars="200"/>
        <w:rPr>
          <w:rFonts w:ascii="宋体" w:hAnsi="宋体" w:eastAsia="宋体" w:cs="宋体"/>
        </w:rPr>
      </w:pPr>
      <w:r>
        <w:rPr>
          <w:rFonts w:hint="eastAsia" w:ascii="宋体" w:hAnsi="宋体" w:eastAsia="宋体" w:cs="宋体"/>
        </w:rPr>
        <w:t>1.7负责为乙方现场施工人员配备劳务防护用品及购买劳动保险、人身保险及第三方责任险。若因乙方的施工人员违反法律规定或本合同约定，被相关职能部门处罚或者在施工中发生伤亡事故，由乙方自行负责，并承担所造成的全部损失。若给甲方造成损失的，甲方有权向乙方全额追偿。</w:t>
      </w:r>
    </w:p>
    <w:p>
      <w:pPr>
        <w:spacing w:line="360" w:lineRule="auto"/>
        <w:ind w:firstLine="420" w:firstLineChars="200"/>
        <w:rPr>
          <w:rFonts w:ascii="宋体" w:hAnsi="宋体" w:eastAsia="宋体" w:cs="宋体"/>
        </w:rPr>
      </w:pPr>
      <w:r>
        <w:rPr>
          <w:rFonts w:hint="eastAsia" w:ascii="宋体" w:hAnsi="宋体" w:eastAsia="宋体" w:cs="宋体"/>
        </w:rPr>
        <w:t>2、施工中</w:t>
      </w:r>
    </w:p>
    <w:p>
      <w:pPr>
        <w:spacing w:line="360" w:lineRule="auto"/>
        <w:ind w:left="430" w:leftChars="205" w:firstLine="420" w:firstLineChars="200"/>
        <w:rPr>
          <w:rFonts w:ascii="宋体" w:hAnsi="宋体" w:eastAsia="宋体" w:cs="宋体"/>
        </w:rPr>
      </w:pPr>
      <w:r>
        <w:rPr>
          <w:rFonts w:hint="eastAsia" w:ascii="宋体" w:hAnsi="宋体" w:eastAsia="宋体" w:cs="宋体"/>
        </w:rPr>
        <w:t>2.1负责产品的起重、分层、搬运、就位等工作。</w:t>
      </w:r>
    </w:p>
    <w:p>
      <w:pPr>
        <w:spacing w:line="360" w:lineRule="auto"/>
        <w:ind w:left="430" w:leftChars="205" w:firstLine="420" w:firstLineChars="200"/>
        <w:rPr>
          <w:rFonts w:ascii="宋体" w:hAnsi="宋体" w:eastAsia="宋体" w:cs="宋体"/>
        </w:rPr>
      </w:pPr>
      <w:r>
        <w:rPr>
          <w:rFonts w:hint="eastAsia" w:ascii="宋体" w:hAnsi="宋体" w:eastAsia="宋体" w:cs="宋体"/>
        </w:rPr>
        <w:t>2.2如采用脚手架施工，由乙方负责搭建符合国家安全规定和施工要求的井道脚手架。</w:t>
      </w:r>
    </w:p>
    <w:p>
      <w:pPr>
        <w:spacing w:line="360" w:lineRule="auto"/>
        <w:ind w:left="430" w:leftChars="205" w:firstLine="420" w:firstLineChars="200"/>
        <w:rPr>
          <w:rFonts w:ascii="宋体" w:hAnsi="宋体" w:eastAsia="宋体" w:cs="宋体"/>
        </w:rPr>
      </w:pPr>
      <w:r>
        <w:rPr>
          <w:rFonts w:hint="eastAsia" w:ascii="宋体" w:hAnsi="宋体" w:eastAsia="宋体" w:cs="宋体"/>
        </w:rPr>
        <w:t>2.3负责电梯井道内固定照明的材料、基坑内爬梯材料的提供及安装工作。</w:t>
      </w:r>
    </w:p>
    <w:p>
      <w:pPr>
        <w:spacing w:line="360" w:lineRule="auto"/>
        <w:ind w:left="430" w:leftChars="205" w:firstLine="420" w:firstLineChars="200"/>
        <w:rPr>
          <w:rFonts w:ascii="宋体" w:hAnsi="宋体" w:eastAsia="宋体" w:cs="宋体"/>
        </w:rPr>
      </w:pPr>
      <w:r>
        <w:rPr>
          <w:rFonts w:hint="eastAsia" w:ascii="宋体" w:hAnsi="宋体" w:eastAsia="宋体" w:cs="宋体"/>
        </w:rPr>
        <w:t>2.4按照国家规范和标准完成产品安装、调试、自检工作。</w:t>
      </w:r>
    </w:p>
    <w:p>
      <w:pPr>
        <w:spacing w:line="360" w:lineRule="auto"/>
        <w:ind w:left="430" w:leftChars="205" w:firstLine="420" w:firstLineChars="200"/>
        <w:rPr>
          <w:rFonts w:ascii="宋体" w:hAnsi="宋体" w:eastAsia="宋体" w:cs="宋体"/>
        </w:rPr>
      </w:pPr>
      <w:r>
        <w:rPr>
          <w:rFonts w:hint="eastAsia" w:ascii="宋体" w:hAnsi="宋体" w:eastAsia="宋体" w:cs="宋体"/>
        </w:rPr>
        <w:t>2.5严格遵守施工现场的有关规章制度，并服从配合总包单位做好安全文明施工相关工作。</w:t>
      </w:r>
    </w:p>
    <w:p>
      <w:pPr>
        <w:spacing w:line="360" w:lineRule="auto"/>
        <w:ind w:left="430" w:leftChars="205" w:firstLine="420" w:firstLineChars="200"/>
        <w:rPr>
          <w:rFonts w:ascii="宋体" w:hAnsi="宋体" w:eastAsia="宋体" w:cs="宋体"/>
        </w:rPr>
      </w:pPr>
      <w:r>
        <w:rPr>
          <w:rFonts w:hint="eastAsia" w:ascii="宋体" w:hAnsi="宋体" w:eastAsia="宋体" w:cs="宋体"/>
        </w:rPr>
        <w:t>2.6根据甲方的要求，出席甲方主持的现场施工协调会，落实协调会议的工作要求。</w:t>
      </w:r>
    </w:p>
    <w:p>
      <w:pPr>
        <w:spacing w:line="360" w:lineRule="auto"/>
        <w:ind w:left="430" w:leftChars="205" w:firstLine="420" w:firstLineChars="200"/>
        <w:rPr>
          <w:rFonts w:ascii="宋体" w:hAnsi="宋体" w:eastAsia="宋体" w:cs="宋体"/>
        </w:rPr>
      </w:pPr>
      <w:r>
        <w:rPr>
          <w:rFonts w:hint="eastAsia" w:ascii="宋体" w:hAnsi="宋体" w:eastAsia="宋体" w:cs="宋体"/>
        </w:rPr>
        <w:t>2.7负责由于安装质量问题造成的再次检验的整改和费用。</w:t>
      </w:r>
    </w:p>
    <w:p>
      <w:pPr>
        <w:spacing w:line="360" w:lineRule="auto"/>
        <w:ind w:left="430" w:leftChars="205" w:firstLine="420" w:firstLineChars="200"/>
        <w:rPr>
          <w:rFonts w:ascii="宋体" w:hAnsi="宋体" w:eastAsia="宋体" w:cs="宋体"/>
        </w:rPr>
      </w:pPr>
      <w:r>
        <w:rPr>
          <w:rFonts w:hint="eastAsia" w:ascii="宋体" w:hAnsi="宋体" w:eastAsia="宋体" w:cs="宋体"/>
        </w:rPr>
        <w:t>2.8负责电梯安装期间的现场安全防护、防火、防盗、并清除施工现场积水和杂物等工作。</w:t>
      </w:r>
    </w:p>
    <w:p>
      <w:pPr>
        <w:spacing w:line="360" w:lineRule="auto"/>
        <w:ind w:left="430" w:leftChars="205" w:firstLine="420" w:firstLineChars="200"/>
        <w:rPr>
          <w:rFonts w:ascii="宋体" w:hAnsi="宋体" w:eastAsia="宋体" w:cs="宋体"/>
        </w:rPr>
      </w:pPr>
      <w:r>
        <w:rPr>
          <w:rFonts w:hint="eastAsia" w:ascii="宋体" w:hAnsi="宋体" w:eastAsia="宋体" w:cs="宋体"/>
        </w:rPr>
        <w:t>2.9工程完成后，乙方须负责全部设备的保护和清洁工作，直至电梯安装地特种设备检验检测机构验收合格并取得合格证，且经甲方确认。在安装过程中，如由于乙方原因导致建筑结构或其它设备被损坏，乙方将要负责修理或赔偿损失。</w:t>
      </w:r>
    </w:p>
    <w:p>
      <w:pPr>
        <w:spacing w:line="360" w:lineRule="auto"/>
        <w:ind w:left="430" w:leftChars="205" w:firstLine="420" w:firstLineChars="200"/>
        <w:rPr>
          <w:rFonts w:ascii="宋体" w:hAnsi="宋体" w:eastAsia="宋体" w:cs="宋体"/>
        </w:rPr>
      </w:pPr>
      <w:r>
        <w:rPr>
          <w:rFonts w:hint="eastAsia" w:ascii="宋体" w:hAnsi="宋体" w:eastAsia="宋体" w:cs="宋体"/>
        </w:rPr>
        <w:t>2.10乙方按招标文件要求免费提供电梯轿厢成品保护工作。如需临时拆装轿顶，乙方不得收取临时拆装费。</w:t>
      </w:r>
    </w:p>
    <w:p>
      <w:pPr>
        <w:spacing w:line="360" w:lineRule="auto"/>
        <w:ind w:left="430" w:leftChars="205" w:firstLine="420" w:firstLineChars="200"/>
        <w:rPr>
          <w:rFonts w:ascii="宋体" w:hAnsi="宋体" w:eastAsia="宋体" w:cs="宋体"/>
        </w:rPr>
      </w:pPr>
      <w:r>
        <w:rPr>
          <w:rFonts w:hint="eastAsia" w:ascii="宋体" w:hAnsi="宋体" w:eastAsia="宋体" w:cs="宋体"/>
        </w:rPr>
        <w:t>2.11按招标文件、投标承诺及甲方要求履行其它义务。</w:t>
      </w:r>
    </w:p>
    <w:p>
      <w:pPr>
        <w:spacing w:line="360" w:lineRule="auto"/>
        <w:ind w:firstLine="420" w:firstLineChars="200"/>
        <w:rPr>
          <w:rFonts w:ascii="宋体" w:hAnsi="宋体" w:eastAsia="宋体" w:cs="宋体"/>
        </w:rPr>
      </w:pPr>
      <w:r>
        <w:rPr>
          <w:rFonts w:hint="eastAsia" w:ascii="宋体" w:hAnsi="宋体" w:eastAsia="宋体" w:cs="宋体"/>
        </w:rPr>
        <w:t>3、施工后</w:t>
      </w:r>
    </w:p>
    <w:p>
      <w:pPr>
        <w:spacing w:line="360" w:lineRule="auto"/>
        <w:ind w:left="430" w:leftChars="205" w:firstLine="420" w:firstLineChars="200"/>
        <w:rPr>
          <w:rFonts w:ascii="宋体" w:hAnsi="宋体" w:eastAsia="宋体" w:cs="宋体"/>
        </w:rPr>
      </w:pPr>
      <w:r>
        <w:rPr>
          <w:rFonts w:hint="eastAsia" w:ascii="宋体" w:hAnsi="宋体" w:eastAsia="宋体" w:cs="宋体"/>
        </w:rPr>
        <w:t>3.1配合甲方，做好电梯安装地特种设备检测机构使用许可验收工作。</w:t>
      </w:r>
    </w:p>
    <w:p>
      <w:pPr>
        <w:spacing w:line="360" w:lineRule="auto"/>
        <w:ind w:left="430" w:leftChars="205" w:firstLine="420" w:firstLineChars="200"/>
        <w:rPr>
          <w:rFonts w:ascii="宋体" w:hAnsi="宋体" w:eastAsia="宋体" w:cs="宋体"/>
        </w:rPr>
      </w:pPr>
      <w:r>
        <w:rPr>
          <w:rFonts w:hint="eastAsia" w:ascii="宋体" w:hAnsi="宋体" w:eastAsia="宋体" w:cs="宋体"/>
        </w:rPr>
        <w:t>3.2提供产品使用咨询及培训服务。</w:t>
      </w:r>
    </w:p>
    <w:p>
      <w:pPr>
        <w:spacing w:line="360" w:lineRule="auto"/>
        <w:ind w:left="430" w:leftChars="205" w:firstLine="420" w:firstLineChars="200"/>
        <w:rPr>
          <w:rFonts w:ascii="宋体" w:hAnsi="宋体" w:eastAsia="宋体" w:cs="宋体"/>
        </w:rPr>
      </w:pPr>
      <w:r>
        <w:rPr>
          <w:rFonts w:hint="eastAsia" w:ascii="宋体" w:hAnsi="宋体" w:eastAsia="宋体" w:cs="宋体"/>
        </w:rPr>
        <w:t>3.3工程完成后，乙方须负责全部设备的保管保护和清洁工作，在安装过程中，如建筑结构或其它设备因乙方原因被损坏，乙方将要负责修理或赔偿损失；项目全部正式移交前，乙方负责看管、维护与保养，一切费用由乙方负责。</w:t>
      </w:r>
    </w:p>
    <w:p>
      <w:pPr>
        <w:spacing w:line="360" w:lineRule="auto"/>
        <w:ind w:left="430" w:leftChars="205" w:firstLine="420" w:firstLineChars="200"/>
        <w:rPr>
          <w:rFonts w:ascii="宋体" w:hAnsi="宋体" w:eastAsia="宋体" w:cs="宋体"/>
        </w:rPr>
      </w:pPr>
      <w:r>
        <w:rPr>
          <w:rFonts w:hint="eastAsia" w:ascii="宋体" w:hAnsi="宋体" w:eastAsia="宋体" w:cs="宋体"/>
        </w:rPr>
        <w:t>3.3按照合同约定提供产品保修期内的服务。</w:t>
      </w:r>
    </w:p>
    <w:p>
      <w:pPr>
        <w:spacing w:line="360" w:lineRule="auto"/>
        <w:ind w:firstLine="420" w:firstLineChars="200"/>
        <w:rPr>
          <w:rFonts w:ascii="宋体" w:hAnsi="宋体" w:eastAsia="宋体" w:cs="宋体"/>
          <w:bCs/>
        </w:rPr>
      </w:pPr>
      <w:r>
        <w:rPr>
          <w:rFonts w:hint="eastAsia" w:ascii="宋体" w:hAnsi="宋体" w:eastAsia="宋体" w:cs="宋体"/>
          <w:bCs/>
        </w:rPr>
        <w:t>说明：以上未明确或与招标文件第五章冲突的，以招标文件第五章为准。</w:t>
      </w:r>
    </w:p>
    <w:p>
      <w:pPr>
        <w:spacing w:line="360" w:lineRule="auto"/>
        <w:ind w:firstLine="422" w:firstLineChars="200"/>
        <w:rPr>
          <w:rFonts w:ascii="宋体" w:hAnsi="宋体" w:eastAsia="宋体" w:cs="宋体"/>
          <w:b/>
        </w:rPr>
      </w:pPr>
    </w:p>
    <w:p>
      <w:pPr>
        <w:pStyle w:val="45"/>
        <w:rPr>
          <w:rFonts w:ascii="宋体" w:hAnsi="宋体" w:eastAsia="宋体" w:cs="宋体"/>
        </w:rPr>
      </w:pPr>
    </w:p>
    <w:p>
      <w:pPr>
        <w:spacing w:line="360" w:lineRule="auto"/>
        <w:ind w:firstLine="420" w:firstLineChars="200"/>
        <w:rPr>
          <w:rFonts w:ascii="宋体" w:hAnsi="宋体" w:eastAsia="宋体" w:cs="宋体"/>
        </w:rPr>
      </w:pPr>
      <w:r>
        <w:rPr>
          <w:rFonts w:hint="eastAsia" w:ascii="宋体" w:hAnsi="宋体" w:eastAsia="宋体" w:cs="宋体"/>
        </w:rPr>
        <w:t>甲 方                              乙 方</w:t>
      </w:r>
    </w:p>
    <w:p>
      <w:pPr>
        <w:spacing w:line="360" w:lineRule="auto"/>
        <w:ind w:firstLine="420" w:firstLineChars="200"/>
        <w:rPr>
          <w:rFonts w:ascii="宋体" w:hAnsi="宋体" w:eastAsia="宋体" w:cs="宋体"/>
        </w:rPr>
      </w:pPr>
      <w:r>
        <w:rPr>
          <w:rFonts w:hint="eastAsia" w:ascii="宋体" w:hAnsi="宋体" w:eastAsia="宋体" w:cs="宋体"/>
        </w:rPr>
        <w:t>单位名称：（盖单位章</w:t>
      </w:r>
      <w:r>
        <w:rPr>
          <w:rFonts w:hint="eastAsia" w:ascii="宋体" w:hAnsi="宋体" w:eastAsia="宋体" w:cs="宋体"/>
          <w:bCs/>
        </w:rPr>
        <w:t xml:space="preserve">） </w:t>
      </w:r>
      <w:r>
        <w:rPr>
          <w:rFonts w:hint="eastAsia" w:ascii="宋体" w:hAnsi="宋体" w:eastAsia="宋体" w:cs="宋体"/>
        </w:rPr>
        <w:t>单位名称：（盖单位章</w:t>
      </w:r>
      <w:r>
        <w:rPr>
          <w:rFonts w:hint="eastAsia" w:ascii="宋体" w:hAnsi="宋体" w:eastAsia="宋体" w:cs="宋体"/>
          <w:bCs/>
        </w:rPr>
        <w:t>）</w:t>
      </w:r>
    </w:p>
    <w:p>
      <w:pPr>
        <w:spacing w:line="360" w:lineRule="auto"/>
        <w:ind w:firstLine="420" w:firstLineChars="200"/>
        <w:rPr>
          <w:rFonts w:ascii="宋体" w:hAnsi="宋体" w:eastAsia="宋体" w:cs="宋体"/>
        </w:rPr>
      </w:pPr>
    </w:p>
    <w:p>
      <w:pPr>
        <w:spacing w:line="360" w:lineRule="auto"/>
        <w:ind w:firstLine="420" w:firstLineChars="200"/>
        <w:rPr>
          <w:rFonts w:ascii="宋体" w:hAnsi="宋体" w:eastAsia="宋体" w:cs="宋体"/>
        </w:rPr>
      </w:pPr>
      <w:r>
        <w:rPr>
          <w:rFonts w:hint="eastAsia" w:ascii="宋体" w:hAnsi="宋体" w:eastAsia="宋体" w:cs="宋体"/>
        </w:rPr>
        <w:t xml:space="preserve">法人或委托人：                     法人或委托人：    </w:t>
      </w:r>
    </w:p>
    <w:p>
      <w:pPr>
        <w:spacing w:line="360" w:lineRule="auto"/>
        <w:ind w:firstLine="420" w:firstLineChars="200"/>
        <w:rPr>
          <w:rFonts w:ascii="宋体" w:hAnsi="宋体" w:eastAsia="宋体" w:cs="宋体"/>
          <w:b/>
        </w:rPr>
      </w:pPr>
      <w:r>
        <w:rPr>
          <w:rFonts w:hint="eastAsia" w:ascii="宋体" w:hAnsi="宋体" w:eastAsia="宋体" w:cs="宋体"/>
        </w:rPr>
        <w:t>签字日期：                          签字日期：</w:t>
      </w:r>
    </w:p>
    <w:p>
      <w:pPr>
        <w:rPr>
          <w:rFonts w:ascii="宋体" w:hAnsi="宋体" w:eastAsia="宋体" w:cs="宋体"/>
          <w:b/>
        </w:rPr>
      </w:pPr>
      <w:r>
        <w:rPr>
          <w:rFonts w:hint="eastAsia" w:ascii="宋体" w:hAnsi="宋体" w:eastAsia="宋体" w:cs="宋体"/>
          <w:b/>
        </w:rPr>
        <w:br w:type="page"/>
      </w:r>
    </w:p>
    <w:p>
      <w:pPr>
        <w:spacing w:line="360" w:lineRule="auto"/>
        <w:rPr>
          <w:rFonts w:ascii="宋体" w:hAnsi="宋体" w:eastAsia="宋体" w:cs="宋体"/>
          <w:b/>
        </w:rPr>
      </w:pPr>
      <w:r>
        <w:rPr>
          <w:rFonts w:hint="eastAsia" w:ascii="宋体" w:hAnsi="宋体" w:eastAsia="宋体" w:cs="宋体"/>
          <w:b/>
        </w:rPr>
        <w:t>合同附件二</w:t>
      </w:r>
    </w:p>
    <w:p>
      <w:pPr>
        <w:spacing w:line="360" w:lineRule="auto"/>
        <w:jc w:val="center"/>
        <w:rPr>
          <w:rFonts w:ascii="宋体" w:hAnsi="宋体" w:eastAsia="宋体" w:cs="宋体"/>
          <w:b/>
        </w:rPr>
      </w:pPr>
      <w:r>
        <w:rPr>
          <w:rFonts w:hint="eastAsia" w:ascii="宋体" w:hAnsi="宋体" w:eastAsia="宋体" w:cs="宋体"/>
          <w:b/>
        </w:rPr>
        <w:t>质量保修书</w:t>
      </w:r>
    </w:p>
    <w:p>
      <w:pPr>
        <w:spacing w:line="400" w:lineRule="exact"/>
        <w:ind w:firstLine="425"/>
        <w:rPr>
          <w:rFonts w:ascii="宋体" w:hAnsi="宋体" w:eastAsia="宋体" w:cs="宋体"/>
        </w:rPr>
      </w:pPr>
      <w:r>
        <w:rPr>
          <w:rFonts w:hint="eastAsia" w:ascii="宋体" w:hAnsi="宋体" w:eastAsia="宋体" w:cs="宋体"/>
        </w:rPr>
        <w:t xml:space="preserve">甲方： </w:t>
      </w:r>
    </w:p>
    <w:p>
      <w:pPr>
        <w:spacing w:line="400" w:lineRule="exact"/>
        <w:ind w:firstLine="420" w:firstLineChars="200"/>
        <w:rPr>
          <w:rFonts w:ascii="宋体" w:hAnsi="宋体" w:eastAsia="宋体" w:cs="宋体"/>
          <w:u w:val="single"/>
        </w:rPr>
      </w:pPr>
      <w:r>
        <w:rPr>
          <w:rFonts w:hint="eastAsia" w:ascii="宋体" w:hAnsi="宋体" w:eastAsia="宋体" w:cs="宋体"/>
        </w:rPr>
        <w:t xml:space="preserve">乙方： </w:t>
      </w:r>
    </w:p>
    <w:p>
      <w:pPr>
        <w:spacing w:line="400" w:lineRule="exact"/>
        <w:ind w:firstLine="425"/>
        <w:rPr>
          <w:rFonts w:ascii="宋体" w:hAnsi="宋体" w:eastAsia="宋体" w:cs="宋体"/>
        </w:rPr>
      </w:pPr>
      <w:r>
        <w:rPr>
          <w:rFonts w:hint="eastAsia" w:ascii="宋体" w:hAnsi="宋体" w:eastAsia="宋体" w:cs="宋体"/>
        </w:rPr>
        <w:t>甲方、乙方根据《中华人民共和国建筑法》、《建设工程质量管理条例》和《房屋建筑工程质量保修办法》，经协商一致，对签订质量保修书。</w:t>
      </w:r>
    </w:p>
    <w:p>
      <w:pPr>
        <w:spacing w:line="400" w:lineRule="exact"/>
        <w:ind w:firstLine="425"/>
        <w:rPr>
          <w:rFonts w:ascii="宋体" w:hAnsi="宋体" w:eastAsia="宋体" w:cs="宋体"/>
        </w:rPr>
      </w:pPr>
    </w:p>
    <w:p>
      <w:pPr>
        <w:spacing w:line="400" w:lineRule="exact"/>
        <w:ind w:firstLine="425"/>
        <w:rPr>
          <w:rFonts w:ascii="宋体" w:hAnsi="宋体" w:eastAsia="宋体" w:cs="宋体"/>
          <w:b/>
        </w:rPr>
      </w:pPr>
      <w:r>
        <w:rPr>
          <w:rFonts w:hint="eastAsia" w:ascii="宋体" w:hAnsi="宋体" w:eastAsia="宋体" w:cs="宋体"/>
          <w:b/>
        </w:rPr>
        <w:t>一、工程质量保修范围和内容</w:t>
      </w:r>
    </w:p>
    <w:p>
      <w:pPr>
        <w:spacing w:line="400" w:lineRule="exact"/>
        <w:ind w:firstLine="425"/>
        <w:rPr>
          <w:rFonts w:ascii="宋体" w:hAnsi="宋体" w:eastAsia="宋体" w:cs="宋体"/>
        </w:rPr>
      </w:pPr>
      <w:r>
        <w:rPr>
          <w:rFonts w:hint="eastAsia" w:ascii="宋体" w:hAnsi="宋体" w:eastAsia="宋体" w:cs="宋体"/>
        </w:rPr>
        <w:t>乙方在质量保修期内，按照有关法律、法规、规章的管理规定和双方约定，承担本工程质量保修责任。</w:t>
      </w:r>
    </w:p>
    <w:p>
      <w:pPr>
        <w:spacing w:line="400" w:lineRule="exact"/>
        <w:ind w:firstLine="425"/>
        <w:rPr>
          <w:rFonts w:ascii="宋体" w:hAnsi="宋体" w:eastAsia="宋体" w:cs="宋体"/>
        </w:rPr>
      </w:pPr>
      <w:r>
        <w:rPr>
          <w:rFonts w:hint="eastAsia" w:ascii="宋体" w:hAnsi="宋体" w:eastAsia="宋体" w:cs="宋体"/>
        </w:rPr>
        <w:t>质量保修范围包括：电梯设备招标文件列明的电梯基本配置表内的设备以及构成设备运行的各类零配件，控制系统、电气管线系统、技术服务和维修，以及双方约定的其他项目。</w:t>
      </w:r>
    </w:p>
    <w:p>
      <w:pPr>
        <w:spacing w:line="400" w:lineRule="exact"/>
        <w:ind w:firstLine="425"/>
        <w:rPr>
          <w:rFonts w:ascii="宋体" w:hAnsi="宋体" w:eastAsia="宋体" w:cs="宋体"/>
        </w:rPr>
      </w:pPr>
      <w:r>
        <w:rPr>
          <w:rFonts w:hint="eastAsia" w:ascii="宋体" w:hAnsi="宋体" w:eastAsia="宋体" w:cs="宋体"/>
        </w:rPr>
        <w:t>具体保修的内容，双方约定如下：</w:t>
      </w:r>
      <w:r>
        <w:rPr>
          <w:rFonts w:hint="eastAsia" w:ascii="宋体" w:hAnsi="宋体" w:eastAsia="宋体" w:cs="宋体"/>
          <w:u w:val="single"/>
        </w:rPr>
        <w:t>乙方提供的电气管线系统、设备、包括各种部件及配件。</w:t>
      </w:r>
    </w:p>
    <w:p>
      <w:pPr>
        <w:spacing w:line="400" w:lineRule="exact"/>
        <w:ind w:firstLine="425"/>
        <w:jc w:val="right"/>
        <w:rPr>
          <w:rFonts w:ascii="宋体" w:hAnsi="宋体" w:eastAsia="宋体" w:cs="宋体"/>
        </w:rPr>
      </w:pPr>
    </w:p>
    <w:p>
      <w:pPr>
        <w:spacing w:line="400" w:lineRule="exact"/>
        <w:ind w:firstLine="425"/>
        <w:rPr>
          <w:rFonts w:ascii="宋体" w:hAnsi="宋体" w:eastAsia="宋体" w:cs="宋体"/>
          <w:b/>
        </w:rPr>
      </w:pPr>
      <w:r>
        <w:rPr>
          <w:rFonts w:hint="eastAsia" w:ascii="宋体" w:hAnsi="宋体" w:eastAsia="宋体" w:cs="宋体"/>
          <w:b/>
        </w:rPr>
        <w:t>二、质量保修期</w:t>
      </w:r>
    </w:p>
    <w:p>
      <w:pPr>
        <w:spacing w:line="400" w:lineRule="exact"/>
        <w:ind w:firstLine="425"/>
        <w:rPr>
          <w:rFonts w:ascii="宋体" w:hAnsi="宋体" w:eastAsia="宋体" w:cs="宋体"/>
        </w:rPr>
      </w:pPr>
      <w:r>
        <w:rPr>
          <w:rFonts w:hint="eastAsia" w:ascii="宋体" w:hAnsi="宋体" w:eastAsia="宋体" w:cs="宋体"/>
        </w:rPr>
        <w:t>双方根据《建设工程质量管理条例》及有关规定，约定本工程的质量保修期如下：</w:t>
      </w:r>
    </w:p>
    <w:p>
      <w:pPr>
        <w:spacing w:line="400" w:lineRule="exact"/>
        <w:ind w:firstLine="420" w:firstLineChars="200"/>
        <w:rPr>
          <w:rFonts w:ascii="宋体" w:hAnsi="宋体" w:eastAsia="宋体" w:cs="宋体"/>
        </w:rPr>
      </w:pPr>
      <w:r>
        <w:rPr>
          <w:rFonts w:hint="eastAsia" w:ascii="宋体" w:hAnsi="宋体" w:eastAsia="宋体" w:cs="宋体"/>
        </w:rPr>
        <w:t>1、乙方保证所提供的设备在正确安装、正常使用和维护保养的情况下，具有符合招投标文件及合同约定的使用性能和使用寿命。</w:t>
      </w:r>
    </w:p>
    <w:p>
      <w:pPr>
        <w:pStyle w:val="15"/>
        <w:spacing w:line="400" w:lineRule="exact"/>
        <w:ind w:firstLine="472" w:firstLineChars="225"/>
        <w:rPr>
          <w:rFonts w:hAnsi="宋体" w:eastAsia="宋体" w:cs="宋体"/>
          <w:u w:val="single"/>
        </w:rPr>
      </w:pPr>
      <w:r>
        <w:rPr>
          <w:rFonts w:hint="eastAsia" w:hAnsi="宋体" w:eastAsia="宋体" w:cs="宋体"/>
        </w:rPr>
        <w:t>2、本项目质量保修期为</w:t>
      </w:r>
      <w:r>
        <w:rPr>
          <w:rFonts w:hint="eastAsia" w:hAnsi="宋体" w:eastAsia="宋体" w:cs="宋体"/>
          <w:b/>
          <w:bCs/>
          <w:u w:val="single"/>
        </w:rPr>
        <w:t>【  】</w:t>
      </w:r>
      <w:r>
        <w:rPr>
          <w:rFonts w:hint="eastAsia" w:hAnsi="宋体" w:eastAsia="宋体" w:cs="宋体"/>
        </w:rPr>
        <w:t>个月，自电梯安装地特种设备检验检测机构验收合格并取得合格证之日算起计算。在保修期内因设备本身的质量问题发生故障，乙方应负责免费修理和更换零部件。对达不到使用要求者，经双方协商，可按以下办法处理：</w:t>
      </w:r>
    </w:p>
    <w:p>
      <w:pPr>
        <w:spacing w:line="400" w:lineRule="exact"/>
        <w:ind w:firstLine="420" w:firstLineChars="200"/>
        <w:rPr>
          <w:rFonts w:ascii="宋体" w:hAnsi="宋体" w:eastAsia="宋体" w:cs="宋体"/>
        </w:rPr>
      </w:pPr>
      <w:r>
        <w:rPr>
          <w:rFonts w:hint="eastAsia" w:ascii="宋体" w:hAnsi="宋体" w:eastAsia="宋体" w:cs="宋体"/>
        </w:rPr>
        <w:t>(1)退货处理：乙方应退还支付自电梯安装地特种设备检验检测机构验收合格并取得合格证的设备款，同时应承担该设备的直接费用(运输、保险、检验、安装调试、设备款利息及银行手续费等) 及间接费用。</w:t>
      </w:r>
    </w:p>
    <w:p>
      <w:pPr>
        <w:spacing w:line="400" w:lineRule="exact"/>
        <w:ind w:firstLine="420" w:firstLineChars="200"/>
        <w:rPr>
          <w:rFonts w:ascii="宋体" w:hAnsi="宋体" w:eastAsia="宋体" w:cs="宋体"/>
        </w:rPr>
      </w:pPr>
      <w:r>
        <w:rPr>
          <w:rFonts w:hint="eastAsia" w:ascii="宋体" w:hAnsi="宋体" w:eastAsia="宋体" w:cs="宋体"/>
        </w:rPr>
        <w:t>(2)更换设备</w:t>
      </w:r>
      <w:r>
        <w:rPr>
          <w:rFonts w:hint="eastAsia" w:ascii="宋体" w:hAnsi="宋体" w:eastAsia="宋体" w:cs="宋体"/>
          <w:szCs w:val="20"/>
          <w:lang w:val="zh-CN"/>
        </w:rPr>
        <w:t>：直至达到投标要求且通过当地质量技术监督管理部门验收，</w:t>
      </w:r>
      <w:r>
        <w:rPr>
          <w:rFonts w:hint="eastAsia" w:ascii="宋体" w:hAnsi="宋体" w:eastAsia="宋体" w:cs="宋体"/>
        </w:rPr>
        <w:t>由乙方承担所发生的直接费用。</w:t>
      </w:r>
    </w:p>
    <w:p>
      <w:pPr>
        <w:spacing w:line="400" w:lineRule="exact"/>
        <w:ind w:firstLine="420" w:firstLineChars="200"/>
        <w:rPr>
          <w:rFonts w:ascii="宋体" w:hAnsi="宋体" w:eastAsia="宋体" w:cs="宋体"/>
        </w:rPr>
      </w:pPr>
      <w:r>
        <w:rPr>
          <w:rFonts w:hint="eastAsia" w:ascii="宋体" w:hAnsi="宋体" w:eastAsia="宋体" w:cs="宋体"/>
        </w:rPr>
        <w:t>(3)贬值处理。</w:t>
      </w:r>
    </w:p>
    <w:p>
      <w:pPr>
        <w:spacing w:line="400" w:lineRule="exact"/>
        <w:ind w:firstLine="420" w:firstLineChars="200"/>
        <w:rPr>
          <w:rFonts w:ascii="宋体" w:hAnsi="宋体" w:eastAsia="宋体" w:cs="宋体"/>
        </w:rPr>
      </w:pPr>
      <w:r>
        <w:rPr>
          <w:rFonts w:hint="eastAsia" w:ascii="宋体" w:hAnsi="宋体" w:eastAsia="宋体" w:cs="宋体"/>
        </w:rPr>
        <w:t>3、在使用过程中如发生质量问题，乙方必须在接到甲方通知后30分钟内到达甲方现场。</w:t>
      </w:r>
    </w:p>
    <w:p>
      <w:pPr>
        <w:spacing w:line="400" w:lineRule="exact"/>
        <w:ind w:firstLine="425"/>
        <w:rPr>
          <w:rFonts w:ascii="宋体" w:hAnsi="宋体" w:eastAsia="宋体" w:cs="宋体"/>
          <w:b/>
        </w:rPr>
      </w:pPr>
      <w:r>
        <w:rPr>
          <w:rFonts w:hint="eastAsia" w:ascii="宋体" w:hAnsi="宋体" w:eastAsia="宋体" w:cs="宋体"/>
          <w:b/>
        </w:rPr>
        <w:t>三、质量保修责任</w:t>
      </w:r>
    </w:p>
    <w:p>
      <w:pPr>
        <w:spacing w:line="400" w:lineRule="exact"/>
        <w:ind w:firstLine="425"/>
        <w:rPr>
          <w:rFonts w:ascii="宋体" w:hAnsi="宋体" w:eastAsia="宋体" w:cs="宋体"/>
        </w:rPr>
      </w:pPr>
      <w:r>
        <w:rPr>
          <w:rFonts w:hint="eastAsia" w:ascii="宋体" w:hAnsi="宋体" w:eastAsia="宋体" w:cs="宋体"/>
        </w:rPr>
        <w:t>1、</w:t>
      </w:r>
      <w:r>
        <w:rPr>
          <w:rFonts w:hint="eastAsia" w:ascii="宋体" w:hAnsi="宋体" w:eastAsia="宋体" w:cs="宋体"/>
          <w:szCs w:val="20"/>
          <w:lang w:val="zh-CN"/>
        </w:rPr>
        <w:t>质量保证期内提供免费上门维护、升级服务。如设备出现故障，乙方在接到电话后，当即响应，在接到维修电话后需在30分钟内赶到现场，12小时内修复，并提供不间断的服务直到结束。现场不能修复的，必须采取无偿提供采购物品的易损件、备用件或整机等措施，以保证用户单位的正常使用。维修点提供足够的备件以适应维修需求。乙方不在约定期限内派人保修的，甲方可以委托他人修理（修理费用由乙方承担）。</w:t>
      </w:r>
      <w:r>
        <w:rPr>
          <w:rFonts w:hint="eastAsia" w:ascii="宋体" w:hAnsi="宋体" w:eastAsia="宋体" w:cs="宋体"/>
        </w:rPr>
        <w:t>如乙方逾期前往修理，每逾期一小时，应向甲方支付违约金1000元人民币。</w:t>
      </w:r>
    </w:p>
    <w:p>
      <w:pPr>
        <w:spacing w:line="400" w:lineRule="exact"/>
        <w:ind w:firstLine="425"/>
        <w:rPr>
          <w:rFonts w:ascii="宋体" w:hAnsi="宋体" w:eastAsia="宋体" w:cs="宋体"/>
        </w:rPr>
      </w:pPr>
      <w:r>
        <w:rPr>
          <w:rFonts w:hint="eastAsia" w:ascii="宋体" w:hAnsi="宋体" w:eastAsia="宋体" w:cs="宋体"/>
        </w:rPr>
        <w:t>2、发生紧急抢修事故的，乙方在接到事故通知后，应当立即到达事故现场抢修。</w:t>
      </w:r>
    </w:p>
    <w:p>
      <w:pPr>
        <w:spacing w:line="400" w:lineRule="exact"/>
        <w:ind w:firstLine="425"/>
        <w:rPr>
          <w:rFonts w:ascii="宋体" w:hAnsi="宋体" w:eastAsia="宋体" w:cs="宋体"/>
          <w:szCs w:val="20"/>
          <w:lang w:val="zh-CN"/>
        </w:rPr>
      </w:pPr>
      <w:r>
        <w:rPr>
          <w:rFonts w:hint="eastAsia" w:ascii="宋体" w:hAnsi="宋体" w:eastAsia="宋体" w:cs="宋体"/>
        </w:rPr>
        <w:t>3、质量保修完成后，由甲方组织验收。</w:t>
      </w:r>
      <w:r>
        <w:rPr>
          <w:rFonts w:hint="eastAsia" w:ascii="宋体" w:hAnsi="宋体" w:eastAsia="宋体" w:cs="宋体"/>
          <w:szCs w:val="20"/>
          <w:lang w:val="zh-CN"/>
        </w:rPr>
        <w:t>验收不合格的，乙方和安装方应立即派人维修，如无法在甲方要求的时间内修复的，甲方可委托第三方直接修理，全部修理费用由乙方承担。</w:t>
      </w:r>
    </w:p>
    <w:p>
      <w:pPr>
        <w:spacing w:line="400" w:lineRule="exact"/>
        <w:ind w:firstLine="420" w:firstLineChars="200"/>
        <w:rPr>
          <w:rFonts w:ascii="宋体" w:hAnsi="宋体" w:eastAsia="宋体" w:cs="宋体"/>
        </w:rPr>
      </w:pPr>
      <w:r>
        <w:rPr>
          <w:rFonts w:hint="eastAsia" w:ascii="宋体" w:hAnsi="宋体" w:eastAsia="宋体" w:cs="宋体"/>
        </w:rPr>
        <w:t>4、乙方积极配合甲方通过年检；负责完成年检中发生的属本合同范围内的整改工作；</w:t>
      </w:r>
    </w:p>
    <w:p>
      <w:pPr>
        <w:spacing w:line="400" w:lineRule="exact"/>
        <w:ind w:firstLine="359" w:firstLineChars="171"/>
        <w:rPr>
          <w:rFonts w:ascii="宋体" w:hAnsi="宋体" w:eastAsia="宋体" w:cs="宋体"/>
        </w:rPr>
      </w:pPr>
      <w:r>
        <w:rPr>
          <w:rFonts w:hint="eastAsia" w:ascii="宋体" w:hAnsi="宋体" w:eastAsia="宋体" w:cs="宋体"/>
        </w:rPr>
        <w:t>5、乙方将随时听取甲方的反馈，对不正常的运行状况，做认真分析及纠正。</w:t>
      </w:r>
    </w:p>
    <w:p>
      <w:pPr>
        <w:spacing w:line="400" w:lineRule="exact"/>
        <w:ind w:firstLine="420" w:firstLineChars="200"/>
        <w:rPr>
          <w:rFonts w:ascii="宋体" w:hAnsi="宋体" w:eastAsia="宋体" w:cs="宋体"/>
        </w:rPr>
      </w:pPr>
      <w:r>
        <w:rPr>
          <w:rFonts w:hint="eastAsia" w:ascii="宋体" w:hAnsi="宋体" w:eastAsia="宋体" w:cs="宋体"/>
        </w:rPr>
        <w:t>6、对于未能明显察觉到的故障所引起的设备损失或人身伤亡由政府有关部门鉴定并确定责任。执行合同过程中由于乙方工作人员过失而造成的直接的可预见的延误、人身伤亡或经济损失，由乙方承担。</w:t>
      </w:r>
    </w:p>
    <w:p>
      <w:pPr>
        <w:spacing w:line="400" w:lineRule="exact"/>
        <w:ind w:firstLine="420" w:firstLineChars="200"/>
        <w:rPr>
          <w:rFonts w:ascii="宋体" w:hAnsi="宋体" w:eastAsia="宋体" w:cs="宋体"/>
        </w:rPr>
      </w:pPr>
      <w:r>
        <w:rPr>
          <w:rFonts w:hint="eastAsia" w:ascii="宋体" w:hAnsi="宋体" w:eastAsia="宋体" w:cs="宋体"/>
        </w:rPr>
        <w:t>7、电梯故障修好后，乙方需一式两份报告给甲方，包括故障原因，解决措施，完成修理所费时间及恢复正常运行日期。</w:t>
      </w:r>
    </w:p>
    <w:p>
      <w:pPr>
        <w:spacing w:line="400" w:lineRule="exact"/>
        <w:ind w:firstLine="420" w:firstLineChars="200"/>
        <w:rPr>
          <w:rFonts w:ascii="宋体" w:hAnsi="宋体" w:eastAsia="宋体" w:cs="宋体"/>
        </w:rPr>
      </w:pPr>
      <w:r>
        <w:rPr>
          <w:rFonts w:hint="eastAsia" w:ascii="宋体" w:hAnsi="宋体" w:eastAsia="宋体" w:cs="宋体"/>
        </w:rPr>
        <w:t>8、在质量保修结束前，须有专业工程师对电梯进行一次专项检测，任何故障须由乙方自行解决并取得甲方的同意。</w:t>
      </w:r>
    </w:p>
    <w:p>
      <w:pPr>
        <w:spacing w:line="400" w:lineRule="exact"/>
        <w:ind w:firstLine="425"/>
        <w:rPr>
          <w:rFonts w:ascii="宋体" w:hAnsi="宋体" w:eastAsia="宋体" w:cs="宋体"/>
          <w:b/>
        </w:rPr>
      </w:pPr>
      <w:r>
        <w:rPr>
          <w:rFonts w:hint="eastAsia" w:ascii="宋体" w:hAnsi="宋体" w:eastAsia="宋体" w:cs="宋体"/>
          <w:b/>
        </w:rPr>
        <w:t>四、保修费用</w:t>
      </w:r>
    </w:p>
    <w:p>
      <w:pPr>
        <w:spacing w:line="400" w:lineRule="exact"/>
        <w:ind w:firstLine="425"/>
        <w:rPr>
          <w:rFonts w:ascii="宋体" w:hAnsi="宋体" w:eastAsia="宋体" w:cs="宋体"/>
        </w:rPr>
      </w:pPr>
      <w:r>
        <w:rPr>
          <w:rFonts w:hint="eastAsia" w:ascii="宋体" w:hAnsi="宋体" w:eastAsia="宋体" w:cs="宋体"/>
        </w:rPr>
        <w:t>保修费用由造成质量缺陷的责任方承担。</w:t>
      </w:r>
    </w:p>
    <w:p>
      <w:pPr>
        <w:spacing w:line="400" w:lineRule="exact"/>
        <w:ind w:firstLine="425"/>
        <w:rPr>
          <w:rFonts w:ascii="宋体" w:hAnsi="宋体" w:eastAsia="宋体" w:cs="宋体"/>
          <w:b/>
        </w:rPr>
      </w:pPr>
      <w:r>
        <w:rPr>
          <w:rFonts w:hint="eastAsia" w:ascii="宋体" w:hAnsi="宋体" w:eastAsia="宋体" w:cs="宋体"/>
          <w:b/>
        </w:rPr>
        <w:t>五、其他</w:t>
      </w:r>
    </w:p>
    <w:p>
      <w:pPr>
        <w:spacing w:line="400" w:lineRule="exact"/>
        <w:ind w:firstLine="420" w:firstLineChars="200"/>
        <w:rPr>
          <w:rFonts w:ascii="宋体" w:hAnsi="宋体" w:eastAsia="宋体" w:cs="宋体"/>
        </w:rPr>
      </w:pPr>
      <w:r>
        <w:rPr>
          <w:rFonts w:hint="eastAsia" w:ascii="宋体" w:hAnsi="宋体" w:eastAsia="宋体" w:cs="宋体"/>
        </w:rPr>
        <w:t>双方约定的其他工程质量保修事项：</w:t>
      </w:r>
    </w:p>
    <w:p>
      <w:pPr>
        <w:spacing w:line="400" w:lineRule="exact"/>
        <w:ind w:firstLine="420" w:firstLineChars="200"/>
        <w:rPr>
          <w:rFonts w:ascii="宋体" w:hAnsi="宋体" w:eastAsia="宋体" w:cs="宋体"/>
          <w:b/>
          <w:u w:val="single"/>
        </w:rPr>
      </w:pPr>
      <w:r>
        <w:rPr>
          <w:rFonts w:hint="eastAsia" w:ascii="宋体" w:hAnsi="宋体" w:eastAsia="宋体" w:cs="宋体"/>
        </w:rPr>
        <w:t>质量保修金金额：无；</w:t>
      </w:r>
    </w:p>
    <w:p>
      <w:pPr>
        <w:spacing w:line="400" w:lineRule="exact"/>
        <w:ind w:firstLine="420" w:firstLineChars="200"/>
        <w:rPr>
          <w:rFonts w:ascii="宋体" w:hAnsi="宋体" w:eastAsia="宋体" w:cs="宋体"/>
          <w:b/>
          <w:u w:val="single"/>
        </w:rPr>
      </w:pPr>
      <w:r>
        <w:rPr>
          <w:rFonts w:hint="eastAsia" w:ascii="宋体" w:hAnsi="宋体" w:eastAsia="宋体" w:cs="宋体"/>
        </w:rPr>
        <w:t>质量保修金退还方法：</w:t>
      </w:r>
      <w:r>
        <w:rPr>
          <w:rFonts w:hint="eastAsia" w:ascii="宋体" w:hAnsi="宋体" w:eastAsia="宋体" w:cs="宋体"/>
          <w:u w:val="single"/>
        </w:rPr>
        <w:t>质量保证金在质保期满后经甲方确认或第三方检测单位确认无质量和服务问题15天内无息支付，如质保期内未履行承诺的质量、服务，将按实扣除相应违约金。</w:t>
      </w:r>
    </w:p>
    <w:p>
      <w:pPr>
        <w:spacing w:line="400" w:lineRule="exact"/>
        <w:ind w:firstLine="425"/>
        <w:rPr>
          <w:rFonts w:ascii="宋体" w:hAnsi="宋体" w:eastAsia="宋体" w:cs="宋体"/>
        </w:rPr>
      </w:pPr>
      <w:r>
        <w:rPr>
          <w:rFonts w:hint="eastAsia" w:ascii="宋体" w:hAnsi="宋体" w:eastAsia="宋体" w:cs="宋体"/>
        </w:rPr>
        <w:t>本工程质量保修书，由本设备甲方、乙方双方在竣工验收前共同签署，作为合同附件，其有效期限至保修期满。</w:t>
      </w:r>
    </w:p>
    <w:p>
      <w:pPr>
        <w:spacing w:line="400" w:lineRule="exact"/>
        <w:rPr>
          <w:rFonts w:ascii="宋体" w:hAnsi="宋体" w:eastAsia="宋体" w:cs="宋体"/>
        </w:rPr>
      </w:pPr>
      <w:r>
        <w:rPr>
          <w:rFonts w:hint="eastAsia" w:ascii="宋体" w:hAnsi="宋体" w:eastAsia="宋体" w:cs="宋体"/>
        </w:rPr>
        <w:t>甲方：（盖单位章</w:t>
      </w:r>
      <w:r>
        <w:rPr>
          <w:rFonts w:hint="eastAsia" w:ascii="宋体" w:hAnsi="宋体" w:eastAsia="宋体" w:cs="宋体"/>
          <w:bCs/>
        </w:rPr>
        <w:t xml:space="preserve">） </w:t>
      </w:r>
      <w:r>
        <w:rPr>
          <w:rFonts w:hint="eastAsia" w:ascii="宋体" w:hAnsi="宋体" w:eastAsia="宋体" w:cs="宋体"/>
        </w:rPr>
        <w:t xml:space="preserve">                        乙方：（盖单位章</w:t>
      </w:r>
      <w:r>
        <w:rPr>
          <w:rFonts w:hint="eastAsia" w:ascii="宋体" w:hAnsi="宋体" w:eastAsia="宋体" w:cs="宋体"/>
          <w:bCs/>
        </w:rPr>
        <w:t xml:space="preserve">） </w:t>
      </w:r>
    </w:p>
    <w:p>
      <w:pPr>
        <w:spacing w:line="400" w:lineRule="exact"/>
        <w:rPr>
          <w:rFonts w:ascii="宋体" w:hAnsi="宋体" w:eastAsia="宋体" w:cs="宋体"/>
        </w:rPr>
      </w:pPr>
      <w:r>
        <w:rPr>
          <w:rFonts w:hint="eastAsia" w:ascii="宋体" w:hAnsi="宋体" w:eastAsia="宋体" w:cs="宋体"/>
        </w:rPr>
        <w:t>委托代理人：                           委托代理人：</w:t>
      </w:r>
    </w:p>
    <w:p>
      <w:pPr>
        <w:spacing w:line="400" w:lineRule="exact"/>
        <w:rPr>
          <w:rFonts w:ascii="宋体" w:hAnsi="宋体" w:eastAsia="宋体" w:cs="宋体"/>
        </w:rPr>
      </w:pPr>
      <w:r>
        <w:rPr>
          <w:rFonts w:hint="eastAsia" w:ascii="宋体" w:hAnsi="宋体" w:eastAsia="宋体" w:cs="宋体"/>
        </w:rPr>
        <w:t>日期：    年   月   日                 日期：   年   月    日</w:t>
      </w:r>
    </w:p>
    <w:p>
      <w:pPr>
        <w:rPr>
          <w:rFonts w:ascii="宋体" w:hAnsi="宋体" w:eastAsia="宋体" w:cs="宋体"/>
          <w:b/>
        </w:rPr>
      </w:pPr>
      <w:r>
        <w:rPr>
          <w:rFonts w:hint="eastAsia" w:ascii="宋体" w:hAnsi="宋体" w:eastAsia="宋体" w:cs="宋体"/>
          <w:b/>
        </w:rPr>
        <w:br w:type="page"/>
      </w:r>
    </w:p>
    <w:p>
      <w:pPr>
        <w:spacing w:line="360" w:lineRule="auto"/>
        <w:rPr>
          <w:rFonts w:ascii="宋体" w:hAnsi="宋体" w:eastAsia="宋体" w:cs="宋体"/>
          <w:b/>
        </w:rPr>
      </w:pPr>
      <w:r>
        <w:rPr>
          <w:rFonts w:hint="eastAsia" w:ascii="宋体" w:hAnsi="宋体" w:eastAsia="宋体" w:cs="宋体"/>
          <w:b/>
        </w:rPr>
        <w:t>合同附件三</w:t>
      </w:r>
    </w:p>
    <w:p>
      <w:pPr>
        <w:spacing w:line="360" w:lineRule="auto"/>
        <w:jc w:val="center"/>
        <w:rPr>
          <w:rFonts w:ascii="宋体" w:hAnsi="宋体" w:eastAsia="宋体" w:cs="宋体"/>
          <w:b/>
        </w:rPr>
      </w:pPr>
      <w:r>
        <w:rPr>
          <w:rFonts w:hint="eastAsia" w:ascii="宋体" w:hAnsi="宋体" w:eastAsia="宋体" w:cs="宋体"/>
          <w:b/>
        </w:rPr>
        <w:t>廉政责任协议书</w:t>
      </w:r>
    </w:p>
    <w:p>
      <w:pPr>
        <w:widowControl w:val="0"/>
        <w:kinsoku/>
        <w:autoSpaceDE/>
        <w:autoSpaceDN/>
        <w:spacing w:line="400" w:lineRule="atLeast"/>
        <w:rPr>
          <w:rFonts w:ascii="宋体" w:hAnsi="宋体" w:eastAsia="宋体" w:cs="宋体"/>
        </w:rPr>
      </w:pPr>
      <w:r>
        <w:rPr>
          <w:rFonts w:hint="eastAsia" w:ascii="宋体" w:hAnsi="宋体" w:eastAsia="宋体" w:cs="宋体"/>
        </w:rPr>
        <w:t xml:space="preserve">甲方（发包人）： </w:t>
      </w:r>
    </w:p>
    <w:p>
      <w:pPr>
        <w:widowControl w:val="0"/>
        <w:kinsoku/>
        <w:autoSpaceDE/>
        <w:autoSpaceDN/>
        <w:spacing w:line="400" w:lineRule="atLeast"/>
        <w:rPr>
          <w:rFonts w:ascii="宋体" w:hAnsi="宋体" w:eastAsia="宋体" w:cs="宋体"/>
        </w:rPr>
      </w:pPr>
      <w:r>
        <w:rPr>
          <w:rFonts w:hint="eastAsia" w:ascii="宋体" w:hAnsi="宋体" w:eastAsia="宋体" w:cs="宋体"/>
        </w:rPr>
        <w:t>乙方（中标供应商）：</w:t>
      </w:r>
    </w:p>
    <w:p>
      <w:pPr>
        <w:widowControl w:val="0"/>
        <w:kinsoku/>
        <w:topLinePunct/>
        <w:autoSpaceDE/>
        <w:autoSpaceDN/>
        <w:spacing w:line="400" w:lineRule="atLeast"/>
        <w:rPr>
          <w:rFonts w:ascii="宋体" w:hAnsi="宋体" w:eastAsia="宋体" w:cs="宋体"/>
        </w:rPr>
      </w:pPr>
      <w:r>
        <w:rPr>
          <w:rFonts w:hint="eastAsia" w:ascii="宋体" w:hAnsi="宋体" w:eastAsia="宋体" w:cs="宋体"/>
        </w:rPr>
        <w:t>项目名称：诸暨市人民医院二期建设工程—医疗综合体扩改建工程电梯设备采购及安装项目</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为了在工程建设中保持廉政自律的工作作风，防止各种不正当行为的发生，根据国家和省市有关建设工程承发包和廉政建设的各项规定，结合工程建设的特点，订立本协议如下：</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一、甲乙双方应当自觉遵守国家、省、市关于建设工程承发包工作规则以及有关廉政建设的各项规定。</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二、甲方及其工作人员不得以任何形式向乙方索取和收受回扣等好处费。</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三、甲方工作人员应当保持与乙方的正常业务交往，不得接受乙方的现金、有价证券和贵重物品，不得在乙方报销任何应有个人支付的费用。</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四、甲方工作人员不得参加可能对公正执行公务有影响的宴请和娱乐活动。</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五、甲方工作人员不得要求接受乙方为其住房装修、婚丧嫁娶、家属和子女的工作安排以及出国等提供方便。</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六、甲方工作人员不得向乙方介绍家属或者亲友从事与甲方工程有关的材料设备供应、工程分包等经济活动。</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七、乙方应当通过正常途径开展相对业务：不得为获取某些不正当利益而向甲方工作人员赠送礼金、有价证券和贵重物品等。</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八、乙方不得为谋取私利擅自与甲方人员就工程承包、工程费用、材料设备供应、工程量变动、工程验收、工程质量问题处理等进行私下商谈或者达成默契。</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九、乙方不得以洽谈业务、签订经济合同为借口，邀请甲方工作人员外出旅游和进入高档娱乐性场所。</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十、乙方不得为甲方和个人购置或者提供通讯工具、家电、高档办公用品等物品。</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十一、乙方如发现甲方工作人员有违反上述协议者，应向甲方领导或者甲方上级单位举报。甲方不得找任何借口对乙方进行报复。甲方对举报属实和严格遵守廉政协议的乙方，在同等条件下给予承接后续工程的优先邀请投标权。</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十二、甲方发现乙方有违反本协议或者采用不正当的手段行贿甲方工作人员，甲方根据具体情节和造成的后果追究乙方工程合同造价l％-5％的违约金，由此给甲方造成的损失均由乙方承担，乙方用不正当的手段获取的非法所得由甲方单位予以追缴。</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十三、严格执行中纪委下发的中纪发【2007】7号《中共中央纪委关于严格禁止利用职务上的便利谋取不正当利益的若干规定》。</w:t>
      </w:r>
    </w:p>
    <w:p>
      <w:pPr>
        <w:widowControl w:val="0"/>
        <w:kinsoku/>
        <w:autoSpaceDE/>
        <w:autoSpaceDN/>
        <w:spacing w:line="400" w:lineRule="atLeast"/>
        <w:ind w:firstLine="420" w:firstLineChars="200"/>
        <w:rPr>
          <w:rFonts w:ascii="宋体" w:hAnsi="宋体" w:eastAsia="宋体" w:cs="宋体"/>
        </w:rPr>
      </w:pPr>
      <w:r>
        <w:rPr>
          <w:rFonts w:hint="eastAsia" w:ascii="宋体" w:hAnsi="宋体" w:eastAsia="宋体" w:cs="宋体"/>
        </w:rPr>
        <w:t>十四、本廉政协议作为工程承发包合同的附件，与工程发包合同具有同等法律效力，经协议双方签署后立即生效。</w:t>
      </w:r>
    </w:p>
    <w:p>
      <w:pPr>
        <w:widowControl w:val="0"/>
        <w:kinsoku/>
        <w:autoSpaceDE/>
        <w:autoSpaceDN/>
        <w:spacing w:line="400" w:lineRule="atLeast"/>
        <w:rPr>
          <w:rFonts w:ascii="宋体" w:hAnsi="宋体" w:eastAsia="宋体" w:cs="宋体"/>
        </w:rPr>
      </w:pPr>
      <w:r>
        <w:rPr>
          <w:rFonts w:hint="eastAsia" w:ascii="宋体" w:hAnsi="宋体" w:eastAsia="宋体" w:cs="宋体"/>
        </w:rPr>
        <w:t>甲方（盖单位章</w:t>
      </w:r>
      <w:r>
        <w:rPr>
          <w:rFonts w:hint="eastAsia" w:ascii="宋体" w:hAnsi="宋体" w:eastAsia="宋体" w:cs="宋体"/>
          <w:bCs/>
        </w:rPr>
        <w:t xml:space="preserve">） </w:t>
      </w:r>
      <w:r>
        <w:rPr>
          <w:rFonts w:hint="eastAsia" w:ascii="宋体" w:hAnsi="宋体" w:eastAsia="宋体" w:cs="宋体"/>
        </w:rPr>
        <w:t>：                        乙方（盖单位章</w:t>
      </w:r>
      <w:r>
        <w:rPr>
          <w:rFonts w:hint="eastAsia" w:ascii="宋体" w:hAnsi="宋体" w:eastAsia="宋体" w:cs="宋体"/>
          <w:bCs/>
        </w:rPr>
        <w:t xml:space="preserve">） </w:t>
      </w:r>
      <w:r>
        <w:rPr>
          <w:rFonts w:hint="eastAsia" w:ascii="宋体" w:hAnsi="宋体" w:eastAsia="宋体" w:cs="宋体"/>
        </w:rPr>
        <w:t>：</w:t>
      </w:r>
    </w:p>
    <w:p>
      <w:pPr>
        <w:widowControl w:val="0"/>
        <w:kinsoku/>
        <w:autoSpaceDE/>
        <w:autoSpaceDN/>
        <w:spacing w:line="400" w:lineRule="atLeast"/>
        <w:rPr>
          <w:rFonts w:ascii="宋体" w:hAnsi="宋体" w:eastAsia="宋体" w:cs="宋体"/>
        </w:rPr>
      </w:pPr>
      <w:r>
        <w:rPr>
          <w:rFonts w:hint="eastAsia" w:ascii="宋体" w:hAnsi="宋体" w:eastAsia="宋体" w:cs="宋体"/>
        </w:rPr>
        <w:t>法定代表人：                               法定代表人：</w:t>
      </w:r>
    </w:p>
    <w:p>
      <w:pPr>
        <w:widowControl w:val="0"/>
        <w:kinsoku/>
        <w:autoSpaceDE/>
        <w:autoSpaceDN/>
        <w:spacing w:line="400" w:lineRule="atLeast"/>
        <w:rPr>
          <w:rFonts w:ascii="宋体" w:hAnsi="宋体" w:eastAsia="宋体" w:cs="宋体"/>
        </w:rPr>
      </w:pPr>
      <w:r>
        <w:rPr>
          <w:rFonts w:hint="eastAsia" w:ascii="宋体" w:hAnsi="宋体" w:eastAsia="宋体" w:cs="宋体"/>
        </w:rPr>
        <w:t>或委托代表人：                             或委托代表人：</w:t>
      </w:r>
    </w:p>
    <w:p>
      <w:pPr>
        <w:widowControl w:val="0"/>
        <w:kinsoku/>
        <w:autoSpaceDE/>
        <w:autoSpaceDN/>
        <w:spacing w:line="400" w:lineRule="atLeast"/>
        <w:rPr>
          <w:rFonts w:ascii="宋体" w:hAnsi="宋体" w:eastAsia="宋体" w:cs="宋体"/>
          <w:b/>
        </w:rPr>
      </w:pPr>
      <w:r>
        <w:rPr>
          <w:rFonts w:hint="eastAsia" w:ascii="宋体" w:hAnsi="宋体" w:eastAsia="宋体" w:cs="宋体"/>
        </w:rPr>
        <w:t xml:space="preserve">    年  月   日                                  年   月   日</w:t>
      </w:r>
      <w:r>
        <w:rPr>
          <w:rFonts w:hint="eastAsia" w:ascii="宋体" w:hAnsi="宋体" w:eastAsia="宋体" w:cs="宋体"/>
        </w:rPr>
        <w:br w:type="page"/>
      </w:r>
      <w:r>
        <w:rPr>
          <w:rFonts w:hint="eastAsia" w:ascii="宋体" w:hAnsi="宋体" w:eastAsia="宋体" w:cs="宋体"/>
          <w:b/>
        </w:rPr>
        <w:t>合同附件四</w:t>
      </w:r>
    </w:p>
    <w:p>
      <w:pPr>
        <w:pStyle w:val="48"/>
        <w:widowControl w:val="0"/>
        <w:spacing w:before="0" w:line="360" w:lineRule="auto"/>
        <w:ind w:left="480" w:hanging="480"/>
        <w:rPr>
          <w:rFonts w:ascii="宋体" w:eastAsia="宋体" w:cs="宋体"/>
          <w:b/>
          <w:color w:val="auto"/>
          <w:szCs w:val="21"/>
        </w:rPr>
      </w:pPr>
      <w:r>
        <w:rPr>
          <w:rFonts w:hint="eastAsia" w:ascii="宋体" w:eastAsia="宋体" w:cs="宋体"/>
          <w:b/>
          <w:color w:val="auto"/>
          <w:szCs w:val="21"/>
        </w:rPr>
        <w:t>安全生产合同</w:t>
      </w:r>
    </w:p>
    <w:p>
      <w:pPr>
        <w:pStyle w:val="48"/>
        <w:spacing w:before="0" w:line="360" w:lineRule="auto"/>
        <w:ind w:firstLine="420" w:firstLineChars="200"/>
        <w:rPr>
          <w:rFonts w:ascii="宋体" w:eastAsia="宋体" w:cs="宋体"/>
          <w:color w:val="auto"/>
          <w:szCs w:val="21"/>
        </w:rPr>
      </w:pPr>
    </w:p>
    <w:p>
      <w:pPr>
        <w:topLinePunct/>
        <w:spacing w:line="360" w:lineRule="auto"/>
        <w:ind w:firstLine="420" w:firstLineChars="200"/>
        <w:rPr>
          <w:rFonts w:ascii="宋体" w:hAnsi="宋体" w:eastAsia="宋体" w:cs="宋体"/>
        </w:rPr>
      </w:pPr>
      <w:r>
        <w:rPr>
          <w:rFonts w:hint="eastAsia" w:ascii="宋体" w:hAnsi="宋体" w:eastAsia="宋体" w:cs="宋体"/>
        </w:rPr>
        <w:t>为在诸暨市人民医院二期建设工程—医疗综合体扩改建工程电梯设备采购及安装项目合同的实施过程中创造安全、高效的施工环境，切实搞好本项目的安全管理工作，本项目发包人（发包人名称，以下简称“发包人”）与中标供应商（中标供应商名称，以下简称“中标供应商”）特此签订安全生产合同：</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1、发包人职责</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（1）严格遵守国家有关安全生产的法律法规，认真执行工程承包合同中的有关安全要求。</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（2）按照“安全第一、预防为主、综合治理”和坚持“管生产必须管安全”的原则进行安全生产管理，做到生产与安全工作同时计划、布置、检查、总结和评比。</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（3）重要的安全设施必须坚持与主体工程“三同时”的原则，即：同时设计、审批，同时施工，同时验收，投入使用。</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（4）定期召开安全生产调度会，及时传达中央及地方有关安全生产的精神。</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（5）组织对中标供应商施工现场进行安全生产检查，监督中标供应商及时处理发现的各种安全隐患。</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2、中标供应商职责</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（1）严格遵守《中华人民共和国安全生产法》、《建设工程安全生产管理条例》等国家有关安全生产的法律法规，认真执行工程承包合同中的有关安全要求。</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中标供应商应按设置安全机构及配备专职安全生产管理人员，专职负责所有员工的安全和治安保卫工作及预防事故的发生。安全机构人员有权按有关规定发布指令，并采取保护性措施防止事故发生。</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（4）中标供应商在任何时候都应采取各种合理的预防措施，防止其员工发生任何违法、违禁、暴力或妨碍治安的行为。</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5）中标供应商必须具有劳动安全管理部门颁发的安全生产证书，参加施工的人员，必须接受安全技术教育，熟知和遵守本工种的各项安全技术操作规程，定期进行安全技术考核，合格者方准上岗操作。对于从事电气、起重、建筑登高架设作业、压力容器、焊接等特殊工种的人员，经过专业培训，依法取得《职业资格证书》和《特种作业操作证》后，方准持证上岗。施工现场如出现特种作业无证操作现象时，项目负责人必须承担管理责任。</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6）对于易燃易爆的材料除应专门妥善保管之外，还应配备有足够的消防设施，所有施工人员都应熟悉消防设备的性能和使用方法；中标供应商不得将任何种类的爆炸物给予、易货或以其他方式转让给任何其他人，或允许、容忍上述同样行为。</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（7）操作人员上岗，必须按规定穿戴防护用品。施工负责人和安全检查员应随时检查劳动防护用品的穿戴情况，不按规定穿戴防护用品的人员不得上岗。</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（8）所有施工机具设备和高空作业的设备均应定期检查，并有安全员的签字记录，保证其经常处于完好状态；不合格的机具、设备和劳动保护用品严禁使用。</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（9）施工中采用新技术、新工艺、新设备、新材料时，必须制定相应的安全技术措施，施工现场必须具有相关的安全标志牌。</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10）中标供应商必须按照本工程项目特点，组织制定本工程实施中的生产安全事故应急救援预案；如果发生安全事故，应按照《生产安全事故报告和调查处理条例》（国务院令第493号）以及其它有关规定，及时上报有关部门，并坚持“四不放过”的原则，严肃处理相关责任人。</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（11）安全生产费用按照国家有关法律、法规进行使用和管理。</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3、违约责任</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如因发包人或中标供应商违约造成安全事故，将依法追究责任。</w:t>
      </w:r>
    </w:p>
    <w:p>
      <w:pPr>
        <w:pStyle w:val="48"/>
        <w:spacing w:before="0" w:line="360" w:lineRule="auto"/>
        <w:ind w:firstLine="420" w:firstLineChars="200"/>
        <w:jc w:val="left"/>
        <w:rPr>
          <w:rFonts w:ascii="宋体" w:eastAsia="宋体" w:cs="宋体"/>
          <w:color w:val="auto"/>
          <w:szCs w:val="21"/>
        </w:rPr>
      </w:pPr>
      <w:r>
        <w:rPr>
          <w:rFonts w:hint="eastAsia" w:ascii="宋体" w:eastAsia="宋体" w:cs="宋体"/>
          <w:color w:val="auto"/>
          <w:szCs w:val="21"/>
        </w:rPr>
        <w:t>4、本合同由双方法定代表人或其授权的代理人签署并加盖单位章后生效，全部工程竣工验收后失效。</w:t>
      </w:r>
    </w:p>
    <w:p>
      <w:pPr>
        <w:pStyle w:val="48"/>
        <w:widowControl w:val="0"/>
        <w:spacing w:before="0" w:line="360" w:lineRule="auto"/>
        <w:ind w:left="480" w:hanging="480"/>
        <w:jc w:val="both"/>
        <w:rPr>
          <w:rFonts w:ascii="宋体" w:eastAsia="宋体" w:cs="宋体"/>
          <w:color w:val="auto"/>
          <w:szCs w:val="21"/>
        </w:rPr>
      </w:pPr>
    </w:p>
    <w:p>
      <w:pPr>
        <w:pStyle w:val="48"/>
        <w:widowControl w:val="0"/>
        <w:spacing w:before="0" w:line="360" w:lineRule="auto"/>
        <w:ind w:left="480" w:hanging="480"/>
        <w:jc w:val="both"/>
        <w:rPr>
          <w:rFonts w:ascii="宋体" w:eastAsia="宋体" w:cs="宋体"/>
          <w:color w:val="auto"/>
          <w:szCs w:val="21"/>
        </w:rPr>
      </w:pPr>
      <w:r>
        <w:rPr>
          <w:rFonts w:hint="eastAsia" w:ascii="宋体" w:eastAsia="宋体" w:cs="宋体"/>
          <w:color w:val="auto"/>
          <w:szCs w:val="21"/>
        </w:rPr>
        <w:t>发包人：（盖单位章）                  中标供应商：（盖单位章）</w:t>
      </w:r>
    </w:p>
    <w:p>
      <w:pPr>
        <w:pStyle w:val="48"/>
        <w:widowControl w:val="0"/>
        <w:spacing w:before="0" w:line="360" w:lineRule="auto"/>
        <w:ind w:left="480" w:hanging="480"/>
        <w:jc w:val="both"/>
        <w:rPr>
          <w:rFonts w:ascii="宋体" w:eastAsia="宋体" w:cs="宋体"/>
          <w:color w:val="auto"/>
          <w:szCs w:val="21"/>
        </w:rPr>
      </w:pPr>
      <w:r>
        <w:rPr>
          <w:rFonts w:hint="eastAsia" w:ascii="宋体" w:eastAsia="宋体" w:cs="宋体"/>
          <w:color w:val="auto"/>
          <w:szCs w:val="21"/>
        </w:rPr>
        <w:t>法定代表人或其委托代理人：（签字）    法定代表人或其委托代理人：（签字）</w:t>
      </w:r>
    </w:p>
    <w:p>
      <w:pPr>
        <w:pStyle w:val="45"/>
        <w:rPr>
          <w:rFonts w:ascii="宋体" w:hAnsi="宋体" w:eastAsia="宋体" w:cs="宋体"/>
        </w:rPr>
      </w:pPr>
      <w:r>
        <w:rPr>
          <w:rFonts w:hint="eastAsia" w:ascii="宋体" w:hAnsi="宋体" w:eastAsia="宋体" w:cs="宋体"/>
          <w:szCs w:val="21"/>
        </w:rPr>
        <w:t xml:space="preserve">      年   月   日                             年  月   日</w:t>
      </w:r>
    </w:p>
    <w:p>
      <w:pPr>
        <w:rPr>
          <w:rFonts w:ascii="宋体" w:hAnsi="宋体" w:eastAsia="宋体" w:cs="宋体"/>
        </w:rPr>
      </w:pPr>
    </w:p>
    <w:p>
      <w:pPr>
        <w:pStyle w:val="45"/>
        <w:rPr>
          <w:rFonts w:ascii="宋体" w:hAnsi="宋体" w:eastAsia="宋体" w:cs="宋体"/>
        </w:rPr>
      </w:pPr>
    </w:p>
    <w:p>
      <w:pPr>
        <w:rPr>
          <w:rFonts w:ascii="宋体" w:hAnsi="宋体" w:eastAsia="宋体" w:cs="宋体"/>
          <w:b/>
        </w:rPr>
      </w:pPr>
      <w:r>
        <w:rPr>
          <w:rFonts w:hint="eastAsia" w:ascii="宋体" w:hAnsi="宋体" w:eastAsia="宋体" w:cs="宋体"/>
          <w:b/>
        </w:rPr>
        <w:br w:type="page"/>
      </w:r>
    </w:p>
    <w:p>
      <w:pPr>
        <w:ind w:firstLine="480" w:firstLineChars="200"/>
        <w:rPr>
          <w:rFonts w:ascii="宋体" w:hAnsi="宋体" w:eastAsia="宋体" w:cs="宋体"/>
          <w:sz w:val="24"/>
        </w:rPr>
      </w:pPr>
      <w:r>
        <w:rPr>
          <w:rFonts w:hint="eastAsia" w:ascii="宋体" w:hAnsi="宋体" w:eastAsia="宋体" w:cs="宋体"/>
          <w:sz w:val="24"/>
        </w:rPr>
        <w:t>合同附件五：</w:t>
      </w:r>
    </w:p>
    <w:p>
      <w:pPr>
        <w:ind w:firstLine="562" w:firstLineChars="200"/>
        <w:jc w:val="center"/>
        <w:rPr>
          <w:rFonts w:ascii="宋体" w:hAnsi="宋体" w:eastAsia="宋体" w:cs="宋体"/>
          <w:b/>
          <w:bCs/>
          <w:sz w:val="28"/>
          <w:szCs w:val="28"/>
        </w:rPr>
      </w:pPr>
      <w:r>
        <w:rPr>
          <w:rFonts w:hint="eastAsia" w:ascii="宋体" w:hAnsi="宋体" w:eastAsia="宋体" w:cs="宋体"/>
          <w:b/>
          <w:bCs/>
          <w:sz w:val="28"/>
          <w:szCs w:val="28"/>
        </w:rPr>
        <w:t>招标内容和技术要求</w:t>
      </w:r>
    </w:p>
    <w:p>
      <w:pPr>
        <w:ind w:firstLine="480" w:firstLineChars="200"/>
        <w:jc w:val="center"/>
        <w:rPr>
          <w:rFonts w:ascii="宋体" w:hAnsi="宋体" w:eastAsia="宋体" w:cs="宋体"/>
          <w:sz w:val="24"/>
        </w:rPr>
      </w:pPr>
    </w:p>
    <w:p>
      <w:pPr>
        <w:ind w:firstLine="480" w:firstLineChars="200"/>
        <w:jc w:val="center"/>
        <w:rPr>
          <w:rFonts w:ascii="宋体" w:hAnsi="宋体" w:eastAsia="宋体" w:cs="宋体"/>
          <w:sz w:val="24"/>
        </w:rPr>
      </w:pPr>
      <w:r>
        <w:rPr>
          <w:rFonts w:hint="eastAsia" w:ascii="宋体" w:hAnsi="宋体" w:eastAsia="宋体" w:cs="宋体"/>
          <w:sz w:val="24"/>
        </w:rPr>
        <w:t>（详见招标文件第五章）</w:t>
      </w:r>
    </w:p>
    <w:p>
      <w:pPr>
        <w:ind w:firstLine="480" w:firstLineChars="200"/>
        <w:rPr>
          <w:rFonts w:ascii="宋体" w:hAnsi="宋体" w:eastAsia="宋体" w:cs="宋体"/>
          <w:sz w:val="24"/>
        </w:rPr>
      </w:pPr>
    </w:p>
    <w:p>
      <w:pPr>
        <w:rPr>
          <w:color w:val="000000" w:themeColor="text1"/>
          <w14:textFill>
            <w14:solidFill>
              <w14:schemeClr w14:val="tx1"/>
            </w14:solidFill>
          </w14:textFill>
        </w:rPr>
      </w:pPr>
      <w:r>
        <w:rPr>
          <w:color w:val="000000" w:themeColor="text1"/>
          <w14:textFill>
            <w14:solidFill>
              <w14:schemeClr w14:val="tx1"/>
            </w14:solidFill>
          </w14:textFill>
        </w:rPr>
        <w:br w:type="page"/>
      </w:r>
    </w:p>
    <w:p>
      <w:pPr>
        <w:spacing w:before="63" w:line="225" w:lineRule="auto"/>
        <w:jc w:val="center"/>
        <w:rPr>
          <w:rFonts w:ascii="宋体" w:hAnsi="宋体" w:eastAsia="宋体" w:cs="宋体"/>
          <w:color w:val="000000" w:themeColor="text1"/>
          <w:sz w:val="31"/>
          <w:szCs w:val="31"/>
          <w14:textFill>
            <w14:solidFill>
              <w14:schemeClr w14:val="tx1"/>
            </w14:solidFill>
          </w14:textFill>
        </w:rPr>
      </w:pPr>
      <w:bookmarkStart w:id="58" w:name="_bookmark13"/>
      <w:bookmarkEnd w:id="58"/>
      <w:r>
        <w:rPr>
          <w:rFonts w:ascii="宋体" w:hAnsi="宋体" w:eastAsia="宋体" w:cs="宋体"/>
          <w:color w:val="000000" w:themeColor="text1"/>
          <w:sz w:val="31"/>
          <w:szCs w:val="31"/>
          <w14:textOutline w14:w="5791" w14:cap="sq" w14:cmpd="sng" w14:algn="ctr">
            <w14:solidFill>
              <w14:srgbClr w14:val="000000"/>
            </w14:solidFill>
            <w14:prstDash w14:val="solid"/>
            <w14:bevel/>
          </w14:textOutline>
          <w14:textFill>
            <w14:solidFill>
              <w14:schemeClr w14:val="tx1"/>
            </w14:solidFill>
          </w14:textFill>
        </w:rPr>
        <w:t>第五章</w:t>
      </w:r>
      <w:r>
        <w:rPr>
          <w:rFonts w:hint="eastAsia" w:ascii="宋体" w:hAnsi="宋体" w:eastAsia="宋体" w:cs="宋体"/>
          <w:color w:val="000000" w:themeColor="text1"/>
          <w:sz w:val="31"/>
          <w:szCs w:val="31"/>
          <w14:textOutline w14:w="5791" w14:cap="sq" w14:cmpd="sng" w14:algn="ctr">
            <w14:solidFill>
              <w14:srgbClr w14:val="000000"/>
            </w14:solidFill>
            <w14:prstDash w14:val="solid"/>
            <w14:bevel/>
          </w14:textOutline>
          <w14:textFill>
            <w14:solidFill>
              <w14:schemeClr w14:val="tx1"/>
            </w14:solidFill>
          </w14:textFill>
        </w:rPr>
        <w:t xml:space="preserve"> </w:t>
      </w:r>
      <w:r>
        <w:rPr>
          <w:rFonts w:ascii="宋体" w:hAnsi="宋体" w:eastAsia="宋体" w:cs="宋体"/>
          <w:color w:val="000000" w:themeColor="text1"/>
          <w:sz w:val="31"/>
          <w:szCs w:val="31"/>
          <w14:textOutline w14:w="5791" w14:cap="sq" w14:cmpd="sng" w14:algn="ctr">
            <w14:solidFill>
              <w14:srgbClr w14:val="000000"/>
            </w14:solidFill>
            <w14:prstDash w14:val="solid"/>
            <w14:bevel/>
          </w14:textOutline>
          <w14:textFill>
            <w14:solidFill>
              <w14:schemeClr w14:val="tx1"/>
            </w14:solidFill>
          </w14:textFill>
        </w:rPr>
        <w:t>招标内容和技术要求</w:t>
      </w:r>
    </w:p>
    <w:p>
      <w:pPr>
        <w:jc w:val="both"/>
        <w:rPr>
          <w:color w:val="000000" w:themeColor="text1"/>
          <w14:textFill>
            <w14:solidFill>
              <w14:schemeClr w14:val="tx1"/>
            </w14:solidFill>
          </w14:textFill>
        </w:rPr>
      </w:pPr>
    </w:p>
    <w:p>
      <w:pPr>
        <w:tabs>
          <w:tab w:val="left" w:pos="0"/>
        </w:tabs>
        <w:spacing w:line="360" w:lineRule="auto"/>
        <w:ind w:firstLine="480"/>
        <w:rPr>
          <w:rFonts w:ascii="宋体" w:hAnsi="宋体" w:eastAsia="宋体" w:cs="宋体"/>
          <w:b/>
          <w:sz w:val="24"/>
        </w:rPr>
      </w:pPr>
      <w:r>
        <w:rPr>
          <w:rFonts w:hint="eastAsia" w:ascii="宋体" w:hAnsi="宋体" w:eastAsia="宋体" w:cs="宋体"/>
          <w:b/>
          <w:sz w:val="24"/>
        </w:rPr>
        <w:t>一、总则</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1.如本次采购提供的材料设备技术参数或图纸中出现具有唯一性的品牌，仅作为参考，在满足设计要求、本技术规格书和提供的参考品牌表（如有）的基础上自行提供。</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2.这份规格书只是对主要设备、材料及安装的一些原则性规定，并不是详尽的要求，供应商有责任对设备设计符合技术规格书要求负责。</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3.整套设备、材料及其主要部件的原产地须明晰地标明在投标（响应）文件中，供货前须向招标人提供原产地的生产许可证和相关文件，禁止使用贴牌产品。</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4.垂直电梯和扶梯须为同一品牌。</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5.在确定认可的材质、工艺要求前提下，电梯（包括扶梯）的外观质量和舒适感应有可比性的优越。</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6.本技术要求不允许负偏离，供应商应当完全响应或优于本技术要求，否则其投标文件将被否决。</w:t>
      </w:r>
    </w:p>
    <w:p>
      <w:pPr>
        <w:tabs>
          <w:tab w:val="left" w:pos="0"/>
        </w:tabs>
        <w:spacing w:line="360" w:lineRule="auto"/>
        <w:ind w:firstLine="480"/>
        <w:rPr>
          <w:rFonts w:ascii="宋体" w:hAnsi="宋体" w:eastAsia="宋体" w:cs="宋体"/>
          <w:b/>
          <w:sz w:val="24"/>
        </w:rPr>
      </w:pPr>
      <w:r>
        <w:rPr>
          <w:rFonts w:hint="eastAsia" w:ascii="宋体" w:hAnsi="宋体" w:eastAsia="宋体" w:cs="宋体"/>
          <w:b/>
          <w:sz w:val="24"/>
        </w:rPr>
        <w:t>二、招标范围及内容</w:t>
      </w:r>
    </w:p>
    <w:p>
      <w:pPr>
        <w:tabs>
          <w:tab w:val="left" w:pos="0"/>
        </w:tabs>
        <w:spacing w:line="360" w:lineRule="auto"/>
        <w:ind w:firstLine="480"/>
        <w:rPr>
          <w:rFonts w:ascii="宋体" w:hAnsi="宋体" w:eastAsia="宋体" w:cs="宋体"/>
          <w:b/>
          <w:bCs/>
          <w:sz w:val="24"/>
        </w:rPr>
      </w:pPr>
      <w:r>
        <w:rPr>
          <w:rFonts w:hint="eastAsia" w:ascii="宋体" w:hAnsi="宋体" w:eastAsia="宋体" w:cs="宋体"/>
          <w:b/>
          <w:bCs/>
          <w:sz w:val="24"/>
        </w:rPr>
        <w:t>1.招标范围及内容概述</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本次招标范围为诸暨市人民医院二期建设工程—医疗综合体扩改建工程范围内的电梯设备采购及安装。主要招标内容为：医疗综合楼27部垂直电梯、2部扶梯，发热门诊楼4部垂直电梯，共计31部垂直电梯、2部扶梯。主要工作内容包含：电梯的设计、制造、仓储、运输、二次搬运、装卸、安装、调试、检测检验、委托监检、成品保护、权威部门验收、培训、交付使用、售后服务，以及向招标人提供全过程形成的图纸、记录、档案资料、质保期内的维保服务和其他相关服务等，即交钥匙项目。</w:t>
      </w:r>
    </w:p>
    <w:p>
      <w:pPr>
        <w:tabs>
          <w:tab w:val="left" w:pos="0"/>
        </w:tabs>
        <w:spacing w:line="360" w:lineRule="auto"/>
        <w:ind w:firstLine="480"/>
        <w:rPr>
          <w:rFonts w:ascii="宋体" w:hAnsi="宋体" w:eastAsia="宋体" w:cs="宋体"/>
          <w:b/>
          <w:bCs/>
          <w:sz w:val="24"/>
        </w:rPr>
      </w:pPr>
      <w:r>
        <w:rPr>
          <w:rFonts w:hint="eastAsia" w:ascii="宋体" w:hAnsi="宋体" w:eastAsia="宋体" w:cs="宋体"/>
          <w:b/>
          <w:bCs/>
          <w:sz w:val="24"/>
        </w:rPr>
        <w:t>2.电梯施工界面范围</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本项目的供应商须按以下界面范围完成相应工作：</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1）负责电梯的设计、制造、仓储、运输、二次搬运、装卸、安装、调试、检测检验（含特种设备检测验收）、委托监检、成品保护、权威部门验收、培训、交付使用、售后服务，以及向招标人提供全过程形成的图纸、记录、档案资料和其他相关服务等；</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2）有机房电梯电源，总包单位负责提供机房内电源箱及进线电源，本项目供应商负责电源箱出线至电梯自带控制柜的布管接线；无机房电梯电源，总承包单位负责提供电源至电梯控制柜接线端，本项目供应商负责配合接线。同时，本项目供应商负责电梯井道照明以及检修插座的施工。</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（3）负责配合土建进行预埋工作，及时提供预埋件，做好土建的交底和监督工作，并负责复核土建井道及预埋尺寸。</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（4）从电梯机房到消防控制中心（或电梯控制中心）的管线、线缆敷设由招标人委托智能化施工单位实施，供应商提供相应的配合工作，除此之外的线缆敷设及五方对讲设备安装调试由供应商负责。</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5）负责轿厢顶视频监控机孔的预留，视频监控的随行电缆施工至轿厢内视频监控的安装位置，随行电缆附监控视频、音频、网络线、监控电源线及反馈线电缆；随行电缆附带的弱电系统线缆规格型号由智能化专业明确，轿厢中的视频监控由智能化施工单位负责。</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（6）供应商开放所有电梯运行数据（BA接口）。梯控要求：所有垂直电梯在轿厢内预留刷卡位置，提供一组WDZ-RVVSP2*1.0随行电缆，并配合智能化专业完成梯控系统。</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（7）提供电梯相关的深化设计图，由设计院确认。</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8）应按招标人要求提供不少于6台临时用梯供装修等施工单位使用，正式电源通电前，临时施工电梯所需电缆由电梯单位提供，电源为现场施工电源，并完成电梯具备验收条件的所有工作。临梯使用期间应派专人进行管理，临时用梯使用完毕后电梯单位负责做一次大修及大保，更换所有损伤件，同时应做好相关安全巡视、保养、维修等工作（除第三方对临时电梯造成的故意损坏以外，全部由供应商负责维修保养），费用由供应商综合考虑计入总报价。</w:t>
      </w:r>
    </w:p>
    <w:p>
      <w:pPr>
        <w:tabs>
          <w:tab w:val="left" w:pos="0"/>
        </w:tabs>
        <w:spacing w:line="360" w:lineRule="auto"/>
        <w:ind w:firstLine="480"/>
        <w:rPr>
          <w:rFonts w:ascii="宋体" w:hAnsi="宋体" w:eastAsia="宋体" w:cs="宋体"/>
          <w:b/>
          <w:sz w:val="24"/>
        </w:rPr>
      </w:pPr>
      <w:r>
        <w:rPr>
          <w:rFonts w:hint="eastAsia" w:ascii="宋体" w:hAnsi="宋体" w:eastAsia="宋体" w:cs="宋体"/>
          <w:b/>
          <w:sz w:val="24"/>
        </w:rPr>
        <w:t>3.承包方式和报价方式</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按交钥匙工程承包并报价。所有与交钥匙工程方式完成本项目需要发生的和可能发生的一切费用均包含在报价中。除招标人协助提供的设备存放场地（水电费、场地租赁、建筑垃圾清理等发生的费用均由供应商承担）外，报价包括完成全部采购内容所发生的和可能发生的一切成本和相关费用，包括采购文件虽未明示，但供应商应当预计到的费用等。</w:t>
      </w:r>
    </w:p>
    <w:p>
      <w:pPr>
        <w:pStyle w:val="9"/>
        <w:rPr>
          <w:rFonts w:ascii="宋体" w:hAnsi="宋体" w:eastAsia="宋体" w:cs="宋体"/>
        </w:rPr>
      </w:pPr>
    </w:p>
    <w:p>
      <w:pPr>
        <w:tabs>
          <w:tab w:val="left" w:pos="0"/>
        </w:tabs>
        <w:spacing w:line="360" w:lineRule="auto"/>
        <w:ind w:firstLine="480"/>
        <w:rPr>
          <w:rFonts w:ascii="宋体" w:hAnsi="宋体" w:eastAsia="宋体" w:cs="宋体"/>
          <w:b/>
          <w:sz w:val="24"/>
        </w:rPr>
        <w:sectPr>
          <w:pgSz w:w="11907" w:h="16840"/>
          <w:pgMar w:top="1134" w:right="1080" w:bottom="1134" w:left="1080" w:header="851" w:footer="851" w:gutter="0"/>
          <w:cols w:space="720" w:num="1"/>
        </w:sectPr>
      </w:pPr>
    </w:p>
    <w:p>
      <w:pPr>
        <w:tabs>
          <w:tab w:val="left" w:pos="0"/>
        </w:tabs>
        <w:spacing w:line="360" w:lineRule="auto"/>
        <w:ind w:firstLine="480"/>
        <w:rPr>
          <w:rFonts w:ascii="宋体" w:hAnsi="宋体" w:eastAsia="宋体" w:cs="宋体"/>
          <w:b/>
          <w:sz w:val="24"/>
        </w:rPr>
      </w:pPr>
      <w:r>
        <w:rPr>
          <w:rFonts w:hint="eastAsia" w:ascii="宋体" w:hAnsi="宋体" w:eastAsia="宋体" w:cs="宋体"/>
          <w:b/>
          <w:sz w:val="24"/>
        </w:rPr>
        <w:t>三、技术要求</w:t>
      </w:r>
    </w:p>
    <w:p>
      <w:pPr>
        <w:tabs>
          <w:tab w:val="left" w:pos="0"/>
        </w:tabs>
        <w:spacing w:line="360" w:lineRule="auto"/>
        <w:ind w:firstLine="480"/>
        <w:rPr>
          <w:rFonts w:ascii="宋体" w:hAnsi="宋体" w:eastAsia="宋体" w:cs="宋体"/>
          <w:b/>
          <w:bCs/>
          <w:sz w:val="24"/>
        </w:rPr>
      </w:pPr>
      <w:r>
        <w:rPr>
          <w:rFonts w:hint="eastAsia" w:ascii="宋体" w:hAnsi="宋体" w:eastAsia="宋体" w:cs="宋体"/>
          <w:b/>
          <w:bCs/>
          <w:sz w:val="24"/>
        </w:rPr>
        <w:t>（一）技术数据表</w:t>
      </w:r>
    </w:p>
    <w:p>
      <w:pPr>
        <w:tabs>
          <w:tab w:val="left" w:pos="0"/>
        </w:tabs>
        <w:spacing w:line="360" w:lineRule="auto"/>
        <w:ind w:firstLine="480"/>
        <w:jc w:val="center"/>
        <w:rPr>
          <w:rFonts w:ascii="宋体" w:hAnsi="宋体" w:eastAsia="宋体" w:cs="宋体"/>
          <w:sz w:val="24"/>
        </w:rPr>
      </w:pPr>
      <w:r>
        <w:rPr>
          <w:rFonts w:hint="eastAsia" w:ascii="宋体" w:hAnsi="宋体" w:eastAsia="宋体" w:cs="宋体"/>
          <w:b/>
          <w:bCs/>
          <w:sz w:val="24"/>
        </w:rPr>
        <w:t>表1-1  医疗综合大楼电梯技术数据表</w:t>
      </w:r>
    </w:p>
    <w:tbl>
      <w:tblPr>
        <w:tblStyle w:val="27"/>
        <w:tblW w:w="488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
      <w:tblGrid>
        <w:gridCol w:w="450"/>
        <w:gridCol w:w="803"/>
        <w:gridCol w:w="770"/>
        <w:gridCol w:w="723"/>
        <w:gridCol w:w="747"/>
        <w:gridCol w:w="744"/>
        <w:gridCol w:w="744"/>
        <w:gridCol w:w="971"/>
        <w:gridCol w:w="467"/>
        <w:gridCol w:w="808"/>
        <w:gridCol w:w="566"/>
        <w:gridCol w:w="689"/>
        <w:gridCol w:w="808"/>
        <w:gridCol w:w="811"/>
        <w:gridCol w:w="799"/>
        <w:gridCol w:w="1001"/>
        <w:gridCol w:w="679"/>
        <w:gridCol w:w="758"/>
        <w:gridCol w:w="670"/>
        <w:gridCol w:w="56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87" w:hRule="atLeast"/>
          <w:tblHeader/>
          <w:jc w:val="center"/>
        </w:trPr>
        <w:tc>
          <w:tcPr>
            <w:tcW w:w="154"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序号</w:t>
            </w:r>
          </w:p>
        </w:tc>
        <w:tc>
          <w:tcPr>
            <w:tcW w:w="275"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电梯编号</w:t>
            </w:r>
          </w:p>
        </w:tc>
        <w:tc>
          <w:tcPr>
            <w:tcW w:w="264"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电梯</w:t>
            </w:r>
          </w:p>
          <w:p>
            <w:pPr>
              <w:jc w:val="center"/>
              <w:rPr>
                <w:rFonts w:ascii="宋体" w:hAnsi="宋体" w:eastAsia="宋体" w:cs="宋体"/>
                <w:b/>
                <w:bCs/>
              </w:rPr>
            </w:pPr>
            <w:r>
              <w:rPr>
                <w:rFonts w:hint="eastAsia" w:ascii="宋体" w:hAnsi="宋体" w:eastAsia="宋体" w:cs="宋体"/>
                <w:b/>
                <w:bCs/>
              </w:rPr>
              <w:t>功能</w:t>
            </w:r>
          </w:p>
        </w:tc>
        <w:tc>
          <w:tcPr>
            <w:tcW w:w="248" w:type="pct"/>
            <w:tcBorders>
              <w:tl2br w:val="nil"/>
              <w:tr2bl w:val="nil"/>
            </w:tcBorders>
            <w:shd w:val="clear" w:color="auto" w:fill="DCD8C2" w:themeFill="background2" w:themeFillShade="E5"/>
            <w:vAlign w:val="center"/>
          </w:tcPr>
          <w:p>
            <w:pPr>
              <w:jc w:val="center"/>
              <w:rPr>
                <w:rFonts w:ascii="宋体" w:hAnsi="宋体" w:eastAsia="宋体" w:cs="宋体"/>
                <w:b/>
                <w:bCs/>
              </w:rPr>
            </w:pPr>
            <w:r>
              <w:rPr>
                <w:rFonts w:hint="eastAsia" w:ascii="宋体" w:hAnsi="宋体" w:eastAsia="宋体" w:cs="宋体"/>
                <w:b/>
                <w:bCs/>
              </w:rPr>
              <w:t>载重量</w:t>
            </w:r>
          </w:p>
          <w:p>
            <w:pPr>
              <w:rPr>
                <w:rFonts w:ascii="宋体" w:hAnsi="宋体" w:eastAsia="宋体" w:cs="宋体"/>
                <w:b/>
                <w:bCs/>
              </w:rPr>
            </w:pPr>
            <w:r>
              <w:rPr>
                <w:rFonts w:hint="eastAsia" w:ascii="宋体" w:hAnsi="宋体" w:eastAsia="宋体" w:cs="宋体"/>
                <w:b/>
                <w:bCs/>
              </w:rPr>
              <w:t>（kg）</w:t>
            </w:r>
          </w:p>
        </w:tc>
        <w:tc>
          <w:tcPr>
            <w:tcW w:w="256" w:type="pct"/>
            <w:tcBorders>
              <w:tl2br w:val="nil"/>
              <w:tr2bl w:val="nil"/>
            </w:tcBorders>
            <w:shd w:val="clear" w:color="auto" w:fill="DCD8C2" w:themeFill="background2" w:themeFillShade="E5"/>
            <w:vAlign w:val="center"/>
          </w:tcPr>
          <w:p>
            <w:pPr>
              <w:jc w:val="center"/>
              <w:rPr>
                <w:rFonts w:ascii="宋体" w:hAnsi="宋体" w:eastAsia="宋体" w:cs="宋体"/>
                <w:b/>
                <w:bCs/>
              </w:rPr>
            </w:pPr>
            <w:r>
              <w:rPr>
                <w:rFonts w:hint="eastAsia" w:ascii="宋体" w:hAnsi="宋体" w:eastAsia="宋体" w:cs="宋体"/>
                <w:b/>
                <w:bCs/>
              </w:rPr>
              <w:t>速度</w:t>
            </w:r>
          </w:p>
          <w:p>
            <w:pPr>
              <w:jc w:val="center"/>
              <w:rPr>
                <w:rFonts w:ascii="宋体" w:hAnsi="宋体" w:eastAsia="宋体" w:cs="宋体"/>
                <w:b/>
                <w:bCs/>
              </w:rPr>
            </w:pPr>
            <w:r>
              <w:rPr>
                <w:rFonts w:hint="eastAsia" w:ascii="宋体" w:hAnsi="宋体" w:eastAsia="宋体" w:cs="宋体"/>
                <w:b/>
                <w:bCs/>
              </w:rPr>
              <w:t>（m/s）</w:t>
            </w:r>
          </w:p>
        </w:tc>
        <w:tc>
          <w:tcPr>
            <w:tcW w:w="255" w:type="pct"/>
            <w:tcBorders>
              <w:tl2br w:val="nil"/>
              <w:tr2bl w:val="nil"/>
            </w:tcBorders>
            <w:shd w:val="clear" w:color="auto" w:fill="DCD8C2" w:themeFill="background2" w:themeFillShade="E5"/>
            <w:vAlign w:val="center"/>
          </w:tcPr>
          <w:p>
            <w:pPr>
              <w:jc w:val="center"/>
              <w:rPr>
                <w:rFonts w:ascii="宋体" w:hAnsi="宋体" w:eastAsia="宋体" w:cs="宋体"/>
                <w:b/>
                <w:bCs/>
              </w:rPr>
            </w:pPr>
            <w:r>
              <w:rPr>
                <w:rFonts w:hint="eastAsia" w:ascii="宋体" w:hAnsi="宋体" w:eastAsia="宋体" w:cs="宋体"/>
                <w:b/>
                <w:bCs/>
              </w:rPr>
              <w:t>井道尺寸</w:t>
            </w:r>
          </w:p>
          <w:p>
            <w:pPr>
              <w:jc w:val="center"/>
              <w:rPr>
                <w:rFonts w:ascii="宋体" w:hAnsi="宋体" w:eastAsia="宋体" w:cs="宋体"/>
                <w:b/>
                <w:bCs/>
              </w:rPr>
            </w:pPr>
            <w:r>
              <w:rPr>
                <w:rFonts w:hint="eastAsia" w:ascii="宋体" w:hAnsi="宋体" w:eastAsia="宋体" w:cs="宋体"/>
                <w:b/>
                <w:bCs/>
              </w:rPr>
              <w:t>（宽x深）</w:t>
            </w:r>
          </w:p>
          <w:p>
            <w:pPr>
              <w:jc w:val="center"/>
              <w:rPr>
                <w:rFonts w:ascii="宋体" w:hAnsi="宋体" w:eastAsia="宋体" w:cs="宋体"/>
                <w:b/>
                <w:bCs/>
              </w:rPr>
            </w:pPr>
            <w:r>
              <w:rPr>
                <w:rFonts w:hint="eastAsia" w:ascii="宋体" w:hAnsi="宋体" w:eastAsia="宋体" w:cs="宋体"/>
                <w:b/>
                <w:bCs/>
              </w:rPr>
              <w:t>（mm）</w:t>
            </w:r>
          </w:p>
        </w:tc>
        <w:tc>
          <w:tcPr>
            <w:tcW w:w="255" w:type="pct"/>
            <w:tcBorders>
              <w:tl2br w:val="nil"/>
              <w:tr2bl w:val="nil"/>
            </w:tcBorders>
            <w:shd w:val="clear" w:color="auto" w:fill="DCD8C2" w:themeFill="background2" w:themeFillShade="E5"/>
            <w:vAlign w:val="center"/>
          </w:tcPr>
          <w:p>
            <w:pPr>
              <w:jc w:val="center"/>
              <w:rPr>
                <w:rFonts w:ascii="宋体" w:hAnsi="宋体" w:eastAsia="宋体" w:cs="宋体"/>
                <w:b/>
                <w:bCs/>
              </w:rPr>
            </w:pPr>
            <w:r>
              <w:rPr>
                <w:rFonts w:hint="eastAsia" w:ascii="宋体" w:hAnsi="宋体" w:eastAsia="宋体" w:cs="宋体"/>
                <w:b/>
                <w:bCs/>
              </w:rPr>
              <w:t>轿厢尺寸</w:t>
            </w:r>
          </w:p>
          <w:p>
            <w:pPr>
              <w:jc w:val="center"/>
              <w:rPr>
                <w:rFonts w:ascii="宋体" w:hAnsi="宋体" w:eastAsia="宋体" w:cs="宋体"/>
                <w:b/>
                <w:bCs/>
              </w:rPr>
            </w:pPr>
            <w:r>
              <w:rPr>
                <w:rFonts w:hint="eastAsia" w:ascii="宋体" w:hAnsi="宋体" w:eastAsia="宋体" w:cs="宋体"/>
                <w:b/>
                <w:bCs/>
              </w:rPr>
              <w:t>（宽x深）</w:t>
            </w:r>
          </w:p>
          <w:p>
            <w:pPr>
              <w:jc w:val="center"/>
              <w:rPr>
                <w:rFonts w:ascii="宋体" w:hAnsi="宋体" w:eastAsia="宋体" w:cs="宋体"/>
                <w:b/>
                <w:bCs/>
              </w:rPr>
            </w:pPr>
            <w:r>
              <w:rPr>
                <w:rFonts w:hint="eastAsia" w:ascii="宋体" w:hAnsi="宋体" w:eastAsia="宋体" w:cs="宋体"/>
                <w:b/>
                <w:bCs/>
              </w:rPr>
              <w:t>（mm）</w:t>
            </w:r>
          </w:p>
        </w:tc>
        <w:tc>
          <w:tcPr>
            <w:tcW w:w="333" w:type="pct"/>
            <w:tcBorders>
              <w:tl2br w:val="nil"/>
              <w:tr2bl w:val="nil"/>
            </w:tcBorders>
            <w:shd w:val="clear" w:color="auto" w:fill="DCD8C2" w:themeFill="background2" w:themeFillShade="E5"/>
            <w:vAlign w:val="center"/>
          </w:tcPr>
          <w:p>
            <w:pPr>
              <w:jc w:val="center"/>
              <w:rPr>
                <w:rFonts w:ascii="宋体" w:hAnsi="宋体" w:eastAsia="宋体" w:cs="宋体"/>
                <w:b/>
                <w:bCs/>
              </w:rPr>
            </w:pPr>
            <w:r>
              <w:rPr>
                <w:rFonts w:hint="eastAsia" w:ascii="宋体" w:hAnsi="宋体" w:eastAsia="宋体" w:cs="宋体"/>
                <w:b/>
                <w:bCs/>
              </w:rPr>
              <w:t>门洞结构尺寸</w:t>
            </w:r>
          </w:p>
          <w:p>
            <w:pPr>
              <w:jc w:val="center"/>
              <w:rPr>
                <w:rFonts w:ascii="宋体" w:hAnsi="宋体" w:eastAsia="宋体" w:cs="宋体"/>
                <w:b/>
                <w:bCs/>
              </w:rPr>
            </w:pPr>
            <w:r>
              <w:rPr>
                <w:rFonts w:hint="eastAsia" w:ascii="宋体" w:hAnsi="宋体" w:eastAsia="宋体" w:cs="宋体"/>
                <w:b/>
                <w:bCs/>
              </w:rPr>
              <w:t>（宽x高）</w:t>
            </w:r>
          </w:p>
          <w:p>
            <w:pPr>
              <w:jc w:val="center"/>
              <w:rPr>
                <w:rFonts w:ascii="宋体" w:hAnsi="宋体" w:eastAsia="宋体" w:cs="宋体"/>
                <w:b/>
                <w:bCs/>
              </w:rPr>
            </w:pPr>
            <w:r>
              <w:rPr>
                <w:rFonts w:hint="eastAsia" w:ascii="宋体" w:hAnsi="宋体" w:eastAsia="宋体" w:cs="宋体"/>
                <w:b/>
                <w:bCs/>
              </w:rPr>
              <w:t>（mm）</w:t>
            </w:r>
          </w:p>
        </w:tc>
        <w:tc>
          <w:tcPr>
            <w:tcW w:w="160"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控制方式</w:t>
            </w:r>
          </w:p>
        </w:tc>
        <w:tc>
          <w:tcPr>
            <w:tcW w:w="277"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开门净尺寸</w:t>
            </w:r>
          </w:p>
        </w:tc>
        <w:tc>
          <w:tcPr>
            <w:tcW w:w="194"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行程</w:t>
            </w:r>
          </w:p>
        </w:tc>
        <w:tc>
          <w:tcPr>
            <w:tcW w:w="236"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开门方式</w:t>
            </w:r>
          </w:p>
        </w:tc>
        <w:tc>
          <w:tcPr>
            <w:tcW w:w="277"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顶层高度</w:t>
            </w:r>
          </w:p>
          <w:p>
            <w:pPr>
              <w:jc w:val="center"/>
              <w:rPr>
                <w:rFonts w:ascii="宋体" w:hAnsi="宋体" w:eastAsia="宋体" w:cs="宋体"/>
                <w:b/>
                <w:bCs/>
              </w:rPr>
            </w:pPr>
            <w:r>
              <w:rPr>
                <w:rFonts w:hint="eastAsia" w:ascii="宋体" w:hAnsi="宋体" w:eastAsia="宋体" w:cs="宋体"/>
                <w:b/>
                <w:bCs/>
              </w:rPr>
              <w:t>（mm）</w:t>
            </w:r>
          </w:p>
        </w:tc>
        <w:tc>
          <w:tcPr>
            <w:tcW w:w="278" w:type="pct"/>
            <w:tcBorders>
              <w:tl2br w:val="nil"/>
              <w:tr2bl w:val="nil"/>
            </w:tcBorders>
            <w:shd w:val="clear" w:color="auto" w:fill="DCD8C2" w:themeFill="background2" w:themeFillShade="E5"/>
            <w:vAlign w:val="center"/>
          </w:tcPr>
          <w:p>
            <w:pPr>
              <w:jc w:val="center"/>
              <w:rPr>
                <w:rFonts w:ascii="宋体" w:hAnsi="宋体" w:eastAsia="宋体" w:cs="宋体"/>
                <w:b/>
                <w:bCs/>
              </w:rPr>
            </w:pPr>
            <w:r>
              <w:rPr>
                <w:rFonts w:hint="eastAsia" w:ascii="宋体" w:hAnsi="宋体" w:eastAsia="宋体" w:cs="宋体"/>
                <w:b/>
                <w:bCs/>
              </w:rPr>
              <w:t>底坑深度</w:t>
            </w:r>
          </w:p>
          <w:p>
            <w:pPr>
              <w:jc w:val="center"/>
              <w:rPr>
                <w:rFonts w:ascii="宋体" w:hAnsi="宋体" w:eastAsia="宋体" w:cs="宋体"/>
                <w:b/>
                <w:bCs/>
              </w:rPr>
            </w:pPr>
            <w:r>
              <w:rPr>
                <w:rFonts w:hint="eastAsia" w:ascii="宋体" w:hAnsi="宋体" w:eastAsia="宋体" w:cs="宋体"/>
                <w:b/>
                <w:bCs/>
              </w:rPr>
              <w:t>（mm）</w:t>
            </w:r>
          </w:p>
        </w:tc>
        <w:tc>
          <w:tcPr>
            <w:tcW w:w="274"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是否有机房电梯</w:t>
            </w:r>
          </w:p>
        </w:tc>
        <w:tc>
          <w:tcPr>
            <w:tcW w:w="343" w:type="pct"/>
            <w:tcBorders>
              <w:tl2br w:val="nil"/>
              <w:tr2bl w:val="nil"/>
            </w:tcBorders>
            <w:shd w:val="clear" w:color="auto" w:fill="DCD8C2" w:themeFill="background2" w:themeFillShade="E5"/>
            <w:vAlign w:val="center"/>
          </w:tcPr>
          <w:p>
            <w:pPr>
              <w:jc w:val="center"/>
              <w:rPr>
                <w:rFonts w:ascii="宋体" w:hAnsi="宋体" w:eastAsia="宋体" w:cs="宋体"/>
                <w:b/>
                <w:bCs/>
              </w:rPr>
            </w:pPr>
            <w:r>
              <w:rPr>
                <w:rFonts w:hint="eastAsia" w:ascii="宋体" w:hAnsi="宋体" w:eastAsia="宋体" w:cs="宋体"/>
                <w:b/>
                <w:bCs/>
              </w:rPr>
              <w:t>是否设置对重安全钳</w:t>
            </w:r>
          </w:p>
        </w:tc>
        <w:tc>
          <w:tcPr>
            <w:tcW w:w="233"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机房位置</w:t>
            </w:r>
          </w:p>
        </w:tc>
        <w:tc>
          <w:tcPr>
            <w:tcW w:w="260"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是否消防电梯</w:t>
            </w:r>
          </w:p>
        </w:tc>
        <w:tc>
          <w:tcPr>
            <w:tcW w:w="230"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是否无障碍电梯</w:t>
            </w:r>
          </w:p>
        </w:tc>
        <w:tc>
          <w:tcPr>
            <w:tcW w:w="192"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DT-1</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2.0</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1400x2350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1300x2300</w:t>
            </w:r>
          </w:p>
        </w:tc>
        <w:tc>
          <w:tcPr>
            <w:tcW w:w="160" w:type="pct"/>
            <w:vMerge w:val="restart"/>
            <w:tcBorders>
              <w:tl2br w:val="nil"/>
              <w:tr2bl w:val="nil"/>
            </w:tcBorders>
            <w:shd w:val="clear" w:color="auto" w:fill="FFFFFF" w:themeFill="background1"/>
            <w:noWrap/>
            <w:vAlign w:val="center"/>
          </w:tcPr>
          <w:p>
            <w:pPr>
              <w:jc w:val="center"/>
              <w:rPr>
                <w:rFonts w:ascii="宋体" w:hAnsi="宋体" w:eastAsia="宋体" w:cs="宋体"/>
              </w:rPr>
            </w:pPr>
          </w:p>
          <w:p>
            <w:pPr>
              <w:jc w:val="center"/>
              <w:rPr>
                <w:rFonts w:ascii="宋体" w:hAnsi="宋体" w:eastAsia="宋体" w:cs="宋体"/>
              </w:rPr>
            </w:pPr>
          </w:p>
          <w:p>
            <w:pPr>
              <w:jc w:val="center"/>
              <w:rPr>
                <w:rFonts w:ascii="宋体" w:hAnsi="宋体" w:eastAsia="宋体" w:cs="宋体"/>
              </w:rPr>
            </w:pPr>
          </w:p>
          <w:p>
            <w:pPr>
              <w:jc w:val="center"/>
              <w:rPr>
                <w:rFonts w:ascii="宋体" w:hAnsi="宋体" w:eastAsia="宋体" w:cs="宋体"/>
              </w:rPr>
            </w:pPr>
          </w:p>
          <w:p>
            <w:pPr>
              <w:jc w:val="center"/>
              <w:rPr>
                <w:rFonts w:ascii="宋体" w:hAnsi="宋体" w:eastAsia="宋体" w:cs="宋体"/>
              </w:rPr>
            </w:pPr>
          </w:p>
          <w:p>
            <w:pPr>
              <w:jc w:val="center"/>
              <w:rPr>
                <w:rFonts w:ascii="宋体" w:hAnsi="宋体" w:eastAsia="宋体" w:cs="宋体"/>
              </w:rPr>
            </w:pPr>
          </w:p>
          <w:p>
            <w:pPr>
              <w:jc w:val="center"/>
              <w:rPr>
                <w:rFonts w:ascii="宋体" w:hAnsi="宋体" w:eastAsia="宋体" w:cs="宋体"/>
              </w:rPr>
            </w:pPr>
          </w:p>
          <w:p>
            <w:pPr>
              <w:jc w:val="center"/>
              <w:rPr>
                <w:rFonts w:ascii="宋体" w:hAnsi="宋体" w:eastAsia="宋体" w:cs="宋体"/>
              </w:rPr>
            </w:pPr>
            <w:r>
              <w:rPr>
                <w:rFonts w:hint="eastAsia" w:ascii="宋体" w:hAnsi="宋体" w:eastAsia="宋体" w:cs="宋体"/>
              </w:rPr>
              <w:t>一组群控</w:t>
            </w:r>
          </w:p>
          <w:p>
            <w:pPr>
              <w:jc w:val="center"/>
              <w:rPr>
                <w:rFonts w:ascii="宋体" w:hAnsi="宋体" w:eastAsia="宋体" w:cs="宋体"/>
              </w:rPr>
            </w:pPr>
          </w:p>
          <w:p>
            <w:pPr>
              <w:jc w:val="center"/>
              <w:rPr>
                <w:rFonts w:ascii="宋体" w:hAnsi="宋体" w:eastAsia="宋体" w:cs="宋体"/>
              </w:rPr>
            </w:pPr>
          </w:p>
          <w:p>
            <w:pPr>
              <w:jc w:val="center"/>
              <w:rPr>
                <w:rFonts w:ascii="宋体" w:hAnsi="宋体" w:eastAsia="宋体" w:cs="宋体"/>
              </w:rPr>
            </w:pPr>
          </w:p>
          <w:p>
            <w:pPr>
              <w:jc w:val="center"/>
              <w:rPr>
                <w:rFonts w:ascii="宋体" w:hAnsi="宋体" w:eastAsia="宋体" w:cs="宋体"/>
              </w:rPr>
            </w:pPr>
          </w:p>
          <w:p>
            <w:pPr>
              <w:jc w:val="center"/>
              <w:rPr>
                <w:rFonts w:ascii="宋体" w:hAnsi="宋体" w:eastAsia="宋体" w:cs="宋体"/>
              </w:rPr>
            </w:pPr>
          </w:p>
          <w:p>
            <w:pPr>
              <w:jc w:val="center"/>
              <w:rPr>
                <w:rFonts w:ascii="宋体" w:hAnsi="宋体" w:eastAsia="宋体" w:cs="宋体"/>
              </w:rPr>
            </w:pPr>
          </w:p>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B2-F22</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5000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屋顶层</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DT-2</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2.0</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1400x2350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1300x2300</w:t>
            </w:r>
          </w:p>
        </w:tc>
        <w:tc>
          <w:tcPr>
            <w:tcW w:w="160" w:type="pct"/>
            <w:vMerge w:val="continue"/>
            <w:tcBorders>
              <w:tl2br w:val="nil"/>
              <w:tr2bl w:val="nil"/>
            </w:tcBorders>
            <w:shd w:val="clear" w:color="auto" w:fill="FFFFFF" w:themeFill="background1"/>
            <w:noWrap/>
            <w:vAlign w:val="center"/>
          </w:tcPr>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B2-F22</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5000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屋顶层</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3</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DT-3</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2.0</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1400x2350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1300x2300</w:t>
            </w:r>
          </w:p>
        </w:tc>
        <w:tc>
          <w:tcPr>
            <w:tcW w:w="160" w:type="pct"/>
            <w:vMerge w:val="continue"/>
            <w:tcBorders>
              <w:tl2br w:val="nil"/>
              <w:tr2bl w:val="nil"/>
            </w:tcBorders>
            <w:shd w:val="clear" w:color="auto" w:fill="FFFFFF" w:themeFill="background1"/>
            <w:noWrap/>
            <w:vAlign w:val="center"/>
          </w:tcPr>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B2-F22</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5000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屋顶层</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4</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DT-4</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2.0</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1400x2350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1300x2300</w:t>
            </w:r>
          </w:p>
        </w:tc>
        <w:tc>
          <w:tcPr>
            <w:tcW w:w="160" w:type="pct"/>
            <w:vMerge w:val="continue"/>
            <w:tcBorders>
              <w:tl2br w:val="nil"/>
              <w:tr2bl w:val="nil"/>
            </w:tcBorders>
            <w:shd w:val="clear" w:color="auto" w:fill="FFFFFF" w:themeFill="background1"/>
            <w:noWrap/>
            <w:vAlign w:val="center"/>
          </w:tcPr>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B2-F22</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5000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屋顶层</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贯通梯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DT-5</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2.0</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1400x2350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1300x2300</w:t>
            </w:r>
          </w:p>
        </w:tc>
        <w:tc>
          <w:tcPr>
            <w:tcW w:w="160" w:type="pct"/>
            <w:vMerge w:val="continue"/>
            <w:tcBorders>
              <w:tl2br w:val="nil"/>
              <w:tr2bl w:val="nil"/>
            </w:tcBorders>
            <w:shd w:val="clear" w:color="auto" w:fill="FFFFFF" w:themeFill="background1"/>
            <w:noWrap/>
            <w:vAlign w:val="center"/>
          </w:tcPr>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B2-F22</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5000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屋顶层</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6</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DT-6</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2.0</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1400x2350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1300x2300</w:t>
            </w:r>
          </w:p>
        </w:tc>
        <w:tc>
          <w:tcPr>
            <w:tcW w:w="160" w:type="pct"/>
            <w:vMerge w:val="continue"/>
            <w:tcBorders>
              <w:tl2br w:val="nil"/>
              <w:tr2bl w:val="nil"/>
            </w:tcBorders>
            <w:shd w:val="clear" w:color="auto" w:fill="FFFFFF" w:themeFill="background1"/>
            <w:noWrap/>
            <w:vAlign w:val="center"/>
          </w:tcPr>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B2-F22</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5000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屋顶层</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7</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DT-7</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2.0</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1400x2350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1300x2300</w:t>
            </w:r>
          </w:p>
        </w:tc>
        <w:tc>
          <w:tcPr>
            <w:tcW w:w="160" w:type="pct"/>
            <w:vMerge w:val="continue"/>
            <w:tcBorders>
              <w:tl2br w:val="nil"/>
              <w:tr2bl w:val="nil"/>
            </w:tcBorders>
            <w:shd w:val="clear" w:color="auto" w:fill="FFFFFF" w:themeFill="background1"/>
            <w:noWrap/>
            <w:vAlign w:val="center"/>
          </w:tcPr>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B2-F22</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5000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屋顶层</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8</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DT-8</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2.0</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1400x2350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1300x2300</w:t>
            </w:r>
          </w:p>
        </w:tc>
        <w:tc>
          <w:tcPr>
            <w:tcW w:w="160" w:type="pct"/>
            <w:vMerge w:val="continue"/>
            <w:tcBorders>
              <w:tl2br w:val="nil"/>
              <w:tr2bl w:val="nil"/>
            </w:tcBorders>
            <w:shd w:val="clear" w:color="auto" w:fill="FFFFFF" w:themeFill="background1"/>
            <w:noWrap/>
            <w:vAlign w:val="center"/>
          </w:tcPr>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B2-F22</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5000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屋顶层</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9</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DT-9</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2.0</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1450x2350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1300x2300</w:t>
            </w:r>
          </w:p>
        </w:tc>
        <w:tc>
          <w:tcPr>
            <w:tcW w:w="1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B2-F22</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5000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屋顶层</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10</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DT-10</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客梯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1000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2.0</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2200x2200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1600x1400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1100x2300</w:t>
            </w:r>
          </w:p>
        </w:tc>
        <w:tc>
          <w:tcPr>
            <w:tcW w:w="160" w:type="pct"/>
            <w:vMerge w:val="restart"/>
            <w:tcBorders>
              <w:tl2br w:val="nil"/>
              <w:tr2bl w:val="nil"/>
            </w:tcBorders>
            <w:shd w:val="clear" w:color="auto" w:fill="FFFFFF" w:themeFill="background1"/>
            <w:noWrap/>
            <w:vAlign w:val="center"/>
          </w:tcPr>
          <w:p>
            <w:pPr>
              <w:jc w:val="center"/>
              <w:rPr>
                <w:rFonts w:ascii="宋体" w:hAnsi="宋体" w:eastAsia="宋体" w:cs="宋体"/>
              </w:rPr>
            </w:pPr>
          </w:p>
          <w:p>
            <w:pPr>
              <w:jc w:val="center"/>
              <w:rPr>
                <w:rFonts w:ascii="宋体" w:hAnsi="宋体" w:eastAsia="宋体" w:cs="宋体"/>
              </w:rPr>
            </w:pPr>
            <w:r>
              <w:rPr>
                <w:rFonts w:hint="eastAsia" w:ascii="宋体" w:hAnsi="宋体" w:eastAsia="宋体" w:cs="宋体"/>
              </w:rPr>
              <w:t>并联</w:t>
            </w:r>
          </w:p>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9</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B2-F22</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中分双开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5000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屋顶层</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11</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DT-11</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客梯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1000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2.0</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2200x2200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1600x1400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1100x2300</w:t>
            </w:r>
          </w:p>
        </w:tc>
        <w:tc>
          <w:tcPr>
            <w:tcW w:w="160" w:type="pct"/>
            <w:vMerge w:val="continue"/>
            <w:tcBorders>
              <w:tl2br w:val="nil"/>
              <w:tr2bl w:val="nil"/>
            </w:tcBorders>
            <w:shd w:val="clear" w:color="auto" w:fill="FFFFFF" w:themeFill="background1"/>
            <w:noWrap/>
            <w:vAlign w:val="center"/>
          </w:tcPr>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9</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B2-F22</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中分双开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5000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屋顶层</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DT-12</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客梯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1350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1.75</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2550x2350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2000x1500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1300x2300</w:t>
            </w:r>
          </w:p>
        </w:tc>
        <w:tc>
          <w:tcPr>
            <w:tcW w:w="160" w:type="pct"/>
            <w:vMerge w:val="restar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并联</w:t>
            </w:r>
          </w:p>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10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B2-F6</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中分双开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5100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DT-13</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客梯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1350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1.75</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2550x2350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2000x1500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1300x2300</w:t>
            </w:r>
          </w:p>
        </w:tc>
        <w:tc>
          <w:tcPr>
            <w:tcW w:w="160" w:type="pct"/>
            <w:vMerge w:val="continue"/>
            <w:tcBorders>
              <w:tl2br w:val="nil"/>
              <w:tr2bl w:val="nil"/>
            </w:tcBorders>
            <w:shd w:val="clear" w:color="auto" w:fill="FFFFFF" w:themeFill="background1"/>
            <w:noWrap/>
            <w:vAlign w:val="center"/>
          </w:tcPr>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10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B2-F6</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中分双开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5100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14</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DT-14</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1.75</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1400x2400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4</w:t>
            </w:r>
            <w:r>
              <w:rPr>
                <w:rFonts w:hint="eastAsia" w:ascii="宋体" w:hAnsi="宋体" w:eastAsia="宋体" w:cs="宋体"/>
              </w:rPr>
              <w:t>00x2300</w:t>
            </w:r>
          </w:p>
        </w:tc>
        <w:tc>
          <w:tcPr>
            <w:tcW w:w="160" w:type="pct"/>
            <w:vMerge w:val="restar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并联</w:t>
            </w:r>
          </w:p>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B2-F3</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4800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15</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DT-15</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1.75</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1400x2400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4</w:t>
            </w:r>
            <w:r>
              <w:rPr>
                <w:rFonts w:hint="eastAsia" w:ascii="宋体" w:hAnsi="宋体" w:eastAsia="宋体" w:cs="宋体"/>
              </w:rPr>
              <w:t>00x2300</w:t>
            </w:r>
          </w:p>
        </w:tc>
        <w:tc>
          <w:tcPr>
            <w:tcW w:w="160" w:type="pct"/>
            <w:vMerge w:val="continue"/>
            <w:tcBorders>
              <w:tl2br w:val="nil"/>
              <w:tr2bl w:val="nil"/>
            </w:tcBorders>
            <w:shd w:val="clear" w:color="auto" w:fill="FFFFFF" w:themeFill="background1"/>
            <w:noWrap/>
            <w:vAlign w:val="center"/>
          </w:tcPr>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B2-F3</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4800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DT-16</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客梯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1350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1.75</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2350x2550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1500x2000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2</w:t>
            </w:r>
            <w:r>
              <w:rPr>
                <w:rFonts w:hint="eastAsia" w:ascii="宋体" w:hAnsi="宋体" w:eastAsia="宋体" w:cs="宋体"/>
              </w:rPr>
              <w:t>00x2300</w:t>
            </w:r>
          </w:p>
        </w:tc>
        <w:tc>
          <w:tcPr>
            <w:tcW w:w="160" w:type="pct"/>
            <w:vMerge w:val="restar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并联</w:t>
            </w:r>
          </w:p>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00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B2-F3</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中分双开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4800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贯通梯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DT-17</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客梯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1350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1.75</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2550x2350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1500x2000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2</w:t>
            </w:r>
            <w:r>
              <w:rPr>
                <w:rFonts w:hint="eastAsia" w:ascii="宋体" w:hAnsi="宋体" w:eastAsia="宋体" w:cs="宋体"/>
              </w:rPr>
              <w:t>00x2300</w:t>
            </w:r>
          </w:p>
        </w:tc>
        <w:tc>
          <w:tcPr>
            <w:tcW w:w="160" w:type="pct"/>
            <w:vMerge w:val="continue"/>
            <w:tcBorders>
              <w:tl2br w:val="nil"/>
              <w:tr2bl w:val="nil"/>
            </w:tcBorders>
            <w:shd w:val="clear" w:color="auto" w:fill="FFFFFF" w:themeFill="background1"/>
            <w:noWrap/>
            <w:vAlign w:val="center"/>
          </w:tcPr>
          <w:p>
            <w:pPr>
              <w:jc w:val="center"/>
              <w:rPr>
                <w:rFonts w:ascii="宋体" w:hAnsi="宋体" w:eastAsia="宋体" w:cs="宋体"/>
              </w:rPr>
            </w:pP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00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B2-F5</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中分双开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4800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贯通梯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18</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DT-18</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1.75</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1400x2400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4</w:t>
            </w:r>
            <w:r>
              <w:rPr>
                <w:rFonts w:hint="eastAsia" w:ascii="宋体" w:hAnsi="宋体" w:eastAsia="宋体" w:cs="宋体"/>
              </w:rPr>
              <w:t>00x2300</w:t>
            </w:r>
          </w:p>
        </w:tc>
        <w:tc>
          <w:tcPr>
            <w:tcW w:w="1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F1-F4</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5700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19</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DT-19</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客梯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800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1.75</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2200x1900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1350x1400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1</w:t>
            </w:r>
            <w:r>
              <w:rPr>
                <w:rFonts w:hint="eastAsia" w:ascii="宋体" w:hAnsi="宋体" w:eastAsia="宋体" w:cs="宋体"/>
              </w:rPr>
              <w:t>00x2300</w:t>
            </w:r>
          </w:p>
        </w:tc>
        <w:tc>
          <w:tcPr>
            <w:tcW w:w="1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9</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F3-F5</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中分双开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4800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20</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DT-20</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客梯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1000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1.75</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2200x2200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1600x1400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1</w:t>
            </w:r>
            <w:r>
              <w:rPr>
                <w:rFonts w:hint="eastAsia" w:ascii="宋体" w:hAnsi="宋体" w:eastAsia="宋体" w:cs="宋体"/>
              </w:rPr>
              <w:t>00x2300</w:t>
            </w:r>
          </w:p>
        </w:tc>
        <w:tc>
          <w:tcPr>
            <w:tcW w:w="1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ascii="宋体" w:hAnsi="宋体" w:eastAsia="宋体" w:cs="宋体"/>
              </w:rPr>
              <w:t>90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B2-F6</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中分双开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5100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DT-21</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客梯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1350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1.75</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2550x2350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2000x1500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1300x2300</w:t>
            </w:r>
          </w:p>
        </w:tc>
        <w:tc>
          <w:tcPr>
            <w:tcW w:w="1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10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B1-F2</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中分双开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4800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22</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DT-22</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1.0</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1400x2400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4</w:t>
            </w:r>
            <w:r>
              <w:rPr>
                <w:rFonts w:hint="eastAsia" w:ascii="宋体" w:hAnsi="宋体" w:eastAsia="宋体" w:cs="宋体"/>
              </w:rPr>
              <w:t>00x2300</w:t>
            </w:r>
          </w:p>
        </w:tc>
        <w:tc>
          <w:tcPr>
            <w:tcW w:w="1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F3-F4</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5700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23</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DT-23</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客梯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35</w:t>
            </w:r>
            <w:r>
              <w:rPr>
                <w:rFonts w:hint="eastAsia" w:ascii="宋体" w:hAnsi="宋体" w:eastAsia="宋体" w:cs="宋体"/>
              </w:rPr>
              <w:t>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1.0</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2400x2400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1500x1950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1200x2300</w:t>
            </w:r>
          </w:p>
        </w:tc>
        <w:tc>
          <w:tcPr>
            <w:tcW w:w="1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10</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F3-F4</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中分双开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5700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贯通梯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DT-24</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1.75</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1400x2350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4</w:t>
            </w:r>
            <w:r>
              <w:rPr>
                <w:rFonts w:hint="eastAsia" w:ascii="宋体" w:hAnsi="宋体" w:eastAsia="宋体" w:cs="宋体"/>
              </w:rPr>
              <w:t>00x2300</w:t>
            </w:r>
          </w:p>
        </w:tc>
        <w:tc>
          <w:tcPr>
            <w:tcW w:w="1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B1-F4</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5700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贯通梯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25</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DT-25</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1.75</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1400x2400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4</w:t>
            </w:r>
            <w:r>
              <w:rPr>
                <w:rFonts w:hint="eastAsia" w:ascii="宋体" w:hAnsi="宋体" w:eastAsia="宋体" w:cs="宋体"/>
              </w:rPr>
              <w:t>00x2300</w:t>
            </w:r>
          </w:p>
        </w:tc>
        <w:tc>
          <w:tcPr>
            <w:tcW w:w="1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B2-F6</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5100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26</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DDT-1</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客梯</w:t>
            </w:r>
          </w:p>
        </w:tc>
        <w:tc>
          <w:tcPr>
            <w:tcW w:w="24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1350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1.75</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2700x2350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1950x1500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4</w:t>
            </w:r>
            <w:r>
              <w:rPr>
                <w:rFonts w:hint="eastAsia" w:ascii="宋体" w:hAnsi="宋体" w:eastAsia="宋体" w:cs="宋体"/>
              </w:rPr>
              <w:t>00x2300</w:t>
            </w:r>
          </w:p>
        </w:tc>
        <w:tc>
          <w:tcPr>
            <w:tcW w:w="1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12</w:t>
            </w:r>
            <w:r>
              <w:rPr>
                <w:rFonts w:ascii="宋体" w:hAnsi="宋体" w:eastAsia="宋体" w:cs="宋体"/>
              </w:rPr>
              <w:t>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B2-F1</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中分双开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5400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jc w:val="center"/>
        </w:trPr>
        <w:tc>
          <w:tcPr>
            <w:tcW w:w="15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27</w:t>
            </w:r>
          </w:p>
        </w:tc>
        <w:tc>
          <w:tcPr>
            <w:tcW w:w="27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DDT-2</w:t>
            </w:r>
          </w:p>
        </w:tc>
        <w:tc>
          <w:tcPr>
            <w:tcW w:w="26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客梯</w:t>
            </w:r>
          </w:p>
        </w:tc>
        <w:tc>
          <w:tcPr>
            <w:tcW w:w="248" w:type="pct"/>
            <w:tcBorders>
              <w:tl2br w:val="nil"/>
              <w:tr2bl w:val="nil"/>
            </w:tcBorders>
            <w:shd w:val="clear" w:color="auto" w:fill="FFFFFF" w:themeFill="background1"/>
            <w:vAlign w:val="center"/>
          </w:tcPr>
          <w:p>
            <w:pPr>
              <w:jc w:val="center"/>
              <w:rPr>
                <w:rFonts w:ascii="宋体" w:hAnsi="宋体" w:eastAsia="宋体" w:cs="宋体"/>
              </w:rPr>
            </w:pPr>
            <w:r>
              <w:rPr>
                <w:rFonts w:hint="eastAsia" w:ascii="宋体" w:hAnsi="宋体" w:eastAsia="宋体" w:cs="宋体"/>
              </w:rPr>
              <w:t>1350</w:t>
            </w:r>
          </w:p>
        </w:tc>
        <w:tc>
          <w:tcPr>
            <w:tcW w:w="25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1.75</w:t>
            </w:r>
          </w:p>
        </w:tc>
        <w:tc>
          <w:tcPr>
            <w:tcW w:w="25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2400x2400</w:t>
            </w:r>
          </w:p>
        </w:tc>
        <w:tc>
          <w:tcPr>
            <w:tcW w:w="255" w:type="pct"/>
            <w:tcBorders>
              <w:tl2br w:val="nil"/>
              <w:tr2bl w:val="nil"/>
            </w:tcBorders>
            <w:shd w:val="clear" w:color="auto" w:fill="FFFFFF" w:themeFill="background1"/>
            <w:noWrap/>
            <w:vAlign w:val="center"/>
          </w:tcPr>
          <w:p>
            <w:pPr>
              <w:jc w:val="center"/>
              <w:rPr>
                <w:rFonts w:hint="eastAsia" w:ascii="宋体" w:hAnsi="宋体" w:eastAsia="宋体" w:cs="宋体"/>
              </w:rPr>
            </w:pPr>
            <w:r>
              <w:rPr>
                <w:rFonts w:hint="eastAsia" w:ascii="宋体" w:hAnsi="宋体" w:eastAsia="宋体" w:cs="宋体"/>
              </w:rPr>
              <w:t>1500x1950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3</w:t>
            </w:r>
            <w:r>
              <w:rPr>
                <w:rFonts w:hint="eastAsia" w:ascii="宋体" w:hAnsi="宋体" w:eastAsia="宋体" w:cs="宋体"/>
              </w:rPr>
              <w:t>00x2300</w:t>
            </w:r>
          </w:p>
        </w:tc>
        <w:tc>
          <w:tcPr>
            <w:tcW w:w="1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10</w:t>
            </w:r>
            <w:r>
              <w:rPr>
                <w:rFonts w:hint="eastAsia" w:ascii="宋体" w:hAnsi="宋体" w:eastAsia="宋体" w:cs="宋体"/>
              </w:rPr>
              <w:t>0x2200</w:t>
            </w:r>
          </w:p>
        </w:tc>
        <w:tc>
          <w:tcPr>
            <w:tcW w:w="19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B2-F1</w:t>
            </w:r>
          </w:p>
        </w:tc>
        <w:tc>
          <w:tcPr>
            <w:tcW w:w="23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中分双开</w:t>
            </w:r>
          </w:p>
        </w:tc>
        <w:tc>
          <w:tcPr>
            <w:tcW w:w="27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5400</w:t>
            </w:r>
          </w:p>
        </w:tc>
        <w:tc>
          <w:tcPr>
            <w:tcW w:w="27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4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2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23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92" w:type="pct"/>
            <w:tcBorders>
              <w:tl2br w:val="nil"/>
              <w:tr2bl w:val="nil"/>
            </w:tcBorders>
            <w:shd w:val="clear" w:color="auto" w:fill="FFFFFF" w:themeFill="background1"/>
            <w:noWrap/>
            <w:vAlign w:val="center"/>
          </w:tcPr>
          <w:p>
            <w:pPr>
              <w:jc w:val="center"/>
              <w:rPr>
                <w:rFonts w:ascii="宋体" w:hAnsi="宋体" w:eastAsia="宋体" w:cs="宋体"/>
              </w:rPr>
            </w:pPr>
          </w:p>
        </w:tc>
      </w:tr>
    </w:tbl>
    <w:p>
      <w:pPr>
        <w:ind w:firstLine="210" w:firstLineChars="100"/>
        <w:rPr>
          <w:rFonts w:ascii="宋体" w:hAnsi="宋体" w:eastAsia="宋体" w:cs="宋体"/>
          <w:sz w:val="24"/>
        </w:rPr>
      </w:pPr>
      <w:r>
        <w:rPr>
          <w:rFonts w:hint="eastAsia" w:ascii="宋体" w:hAnsi="宋体" w:eastAsia="宋体" w:cs="宋体"/>
          <w:color w:val="000000" w:themeColor="text1"/>
          <w14:textFill>
            <w14:solidFill>
              <w14:schemeClr w14:val="tx1"/>
            </w14:solidFill>
          </w14:textFill>
        </w:rPr>
        <w:t>备注</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轿厢</w:t>
      </w:r>
      <w:r>
        <w:rPr>
          <w:rFonts w:ascii="宋体" w:hAnsi="宋体" w:eastAsia="宋体" w:cs="宋体"/>
          <w:color w:val="000000" w:themeColor="text1"/>
          <w14:textFill>
            <w14:solidFill>
              <w14:schemeClr w14:val="tx1"/>
            </w14:solidFill>
          </w14:textFill>
        </w:rPr>
        <w:t>尺寸大小</w:t>
      </w:r>
      <w:r>
        <w:rPr>
          <w:rFonts w:hint="eastAsia" w:ascii="宋体" w:hAnsi="宋体" w:eastAsia="宋体" w:cs="宋体"/>
          <w:color w:val="000000" w:themeColor="text1"/>
          <w14:textFill>
            <w14:solidFill>
              <w14:schemeClr w14:val="tx1"/>
            </w14:solidFill>
          </w14:textFill>
        </w:rPr>
        <w:t>，各</w:t>
      </w:r>
      <w:r>
        <w:rPr>
          <w:rFonts w:ascii="宋体" w:hAnsi="宋体" w:eastAsia="宋体" w:cs="宋体"/>
          <w:color w:val="000000" w:themeColor="text1"/>
          <w14:textFill>
            <w14:solidFill>
              <w14:schemeClr w14:val="tx1"/>
            </w14:solidFill>
          </w14:textFill>
        </w:rPr>
        <w:t>投标单位</w:t>
      </w:r>
      <w:r>
        <w:rPr>
          <w:rFonts w:hint="eastAsia" w:ascii="宋体" w:hAnsi="宋体" w:eastAsia="宋体" w:cs="宋体"/>
          <w:color w:val="000000" w:themeColor="text1"/>
          <w14:textFill>
            <w14:solidFill>
              <w14:schemeClr w14:val="tx1"/>
            </w14:solidFill>
          </w14:textFill>
        </w:rPr>
        <w:t>可根据载重量、井道尺寸等按自身产品的最大尺寸提供。</w:t>
      </w:r>
      <w:r>
        <w:rPr>
          <w:rFonts w:hint="eastAsia" w:ascii="宋体" w:hAnsi="宋体" w:eastAsia="宋体" w:cs="宋体"/>
          <w:sz w:val="24"/>
        </w:rPr>
        <w:br w:type="page"/>
      </w:r>
      <w:r>
        <w:rPr>
          <w:rFonts w:hint="eastAsia" w:ascii="宋体" w:hAnsi="宋体" w:eastAsia="宋体" w:cs="宋体"/>
          <w:b/>
          <w:bCs/>
          <w:sz w:val="24"/>
        </w:rPr>
        <w:t>表1-2  发热门诊楼电梯技术数据表</w:t>
      </w:r>
    </w:p>
    <w:tbl>
      <w:tblPr>
        <w:tblStyle w:val="2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
      <w:tblGrid>
        <w:gridCol w:w="471"/>
        <w:gridCol w:w="731"/>
        <w:gridCol w:w="655"/>
        <w:gridCol w:w="680"/>
        <w:gridCol w:w="667"/>
        <w:gridCol w:w="792"/>
        <w:gridCol w:w="1073"/>
        <w:gridCol w:w="992"/>
        <w:gridCol w:w="709"/>
        <w:gridCol w:w="706"/>
        <w:gridCol w:w="569"/>
        <w:gridCol w:w="709"/>
        <w:gridCol w:w="789"/>
        <w:gridCol w:w="601"/>
        <w:gridCol w:w="1114"/>
        <w:gridCol w:w="342"/>
        <w:gridCol w:w="730"/>
        <w:gridCol w:w="986"/>
        <w:gridCol w:w="1114"/>
        <w:gridCol w:w="46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68" w:hRule="atLeast"/>
          <w:jc w:val="center"/>
        </w:trPr>
        <w:tc>
          <w:tcPr>
            <w:tcW w:w="158"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序号</w:t>
            </w:r>
          </w:p>
        </w:tc>
        <w:tc>
          <w:tcPr>
            <w:tcW w:w="245"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电梯编号</w:t>
            </w:r>
          </w:p>
        </w:tc>
        <w:tc>
          <w:tcPr>
            <w:tcW w:w="220"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电梯功能</w:t>
            </w:r>
          </w:p>
        </w:tc>
        <w:tc>
          <w:tcPr>
            <w:tcW w:w="228" w:type="pct"/>
            <w:tcBorders>
              <w:tl2br w:val="nil"/>
              <w:tr2bl w:val="nil"/>
            </w:tcBorders>
            <w:shd w:val="clear" w:color="auto" w:fill="DCD8C2" w:themeFill="background2" w:themeFillShade="E5"/>
            <w:vAlign w:val="center"/>
          </w:tcPr>
          <w:p>
            <w:pPr>
              <w:jc w:val="center"/>
              <w:rPr>
                <w:rFonts w:ascii="宋体" w:hAnsi="宋体" w:eastAsia="宋体" w:cs="宋体"/>
                <w:b/>
                <w:bCs/>
              </w:rPr>
            </w:pPr>
            <w:r>
              <w:rPr>
                <w:rFonts w:hint="eastAsia" w:ascii="宋体" w:hAnsi="宋体" w:eastAsia="宋体" w:cs="宋体"/>
                <w:b/>
                <w:bCs/>
              </w:rPr>
              <w:t>载重量</w:t>
            </w:r>
          </w:p>
          <w:p>
            <w:pPr>
              <w:jc w:val="center"/>
              <w:rPr>
                <w:rFonts w:ascii="宋体" w:hAnsi="宋体" w:eastAsia="宋体" w:cs="宋体"/>
                <w:b/>
                <w:bCs/>
              </w:rPr>
            </w:pPr>
            <w:r>
              <w:rPr>
                <w:rFonts w:hint="eastAsia" w:ascii="宋体" w:hAnsi="宋体" w:eastAsia="宋体" w:cs="宋体"/>
                <w:b/>
                <w:bCs/>
              </w:rPr>
              <w:t>（kg）</w:t>
            </w:r>
          </w:p>
        </w:tc>
        <w:tc>
          <w:tcPr>
            <w:tcW w:w="224" w:type="pct"/>
            <w:tcBorders>
              <w:tl2br w:val="nil"/>
              <w:tr2bl w:val="nil"/>
            </w:tcBorders>
            <w:shd w:val="clear" w:color="auto" w:fill="DCD8C2" w:themeFill="background2" w:themeFillShade="E5"/>
            <w:vAlign w:val="center"/>
          </w:tcPr>
          <w:p>
            <w:pPr>
              <w:jc w:val="center"/>
              <w:rPr>
                <w:rFonts w:ascii="宋体" w:hAnsi="宋体" w:eastAsia="宋体" w:cs="宋体"/>
                <w:b/>
                <w:bCs/>
              </w:rPr>
            </w:pPr>
            <w:r>
              <w:rPr>
                <w:rFonts w:hint="eastAsia" w:ascii="宋体" w:hAnsi="宋体" w:eastAsia="宋体" w:cs="宋体"/>
                <w:b/>
                <w:bCs/>
              </w:rPr>
              <w:t>速度</w:t>
            </w:r>
          </w:p>
          <w:p>
            <w:pPr>
              <w:jc w:val="center"/>
              <w:rPr>
                <w:rFonts w:ascii="宋体" w:hAnsi="宋体" w:eastAsia="宋体" w:cs="宋体"/>
                <w:b/>
                <w:bCs/>
              </w:rPr>
            </w:pPr>
            <w:r>
              <w:rPr>
                <w:rFonts w:hint="eastAsia" w:ascii="宋体" w:hAnsi="宋体" w:eastAsia="宋体" w:cs="宋体"/>
                <w:b/>
                <w:bCs/>
              </w:rPr>
              <w:t>（m/s）</w:t>
            </w:r>
          </w:p>
        </w:tc>
        <w:tc>
          <w:tcPr>
            <w:tcW w:w="266" w:type="pct"/>
            <w:tcBorders>
              <w:tl2br w:val="nil"/>
              <w:tr2bl w:val="nil"/>
            </w:tcBorders>
            <w:shd w:val="clear" w:color="auto" w:fill="DCD8C2" w:themeFill="background2" w:themeFillShade="E5"/>
            <w:vAlign w:val="center"/>
          </w:tcPr>
          <w:p>
            <w:pPr>
              <w:jc w:val="center"/>
              <w:rPr>
                <w:rFonts w:ascii="宋体" w:hAnsi="宋体" w:eastAsia="宋体" w:cs="宋体"/>
                <w:b/>
                <w:bCs/>
              </w:rPr>
            </w:pPr>
            <w:r>
              <w:rPr>
                <w:rFonts w:hint="eastAsia" w:ascii="宋体" w:hAnsi="宋体" w:eastAsia="宋体" w:cs="宋体"/>
                <w:b/>
                <w:bCs/>
              </w:rPr>
              <w:t>井道尺寸</w:t>
            </w:r>
          </w:p>
          <w:p>
            <w:pPr>
              <w:jc w:val="center"/>
              <w:rPr>
                <w:rFonts w:ascii="宋体" w:hAnsi="宋体" w:eastAsia="宋体" w:cs="宋体"/>
                <w:b/>
                <w:bCs/>
              </w:rPr>
            </w:pPr>
            <w:r>
              <w:rPr>
                <w:rFonts w:hint="eastAsia" w:ascii="宋体" w:hAnsi="宋体" w:eastAsia="宋体" w:cs="宋体"/>
                <w:b/>
                <w:bCs/>
              </w:rPr>
              <w:t>（宽x深）</w:t>
            </w:r>
          </w:p>
          <w:p>
            <w:pPr>
              <w:jc w:val="center"/>
              <w:rPr>
                <w:rFonts w:ascii="宋体" w:hAnsi="宋体" w:eastAsia="宋体" w:cs="宋体"/>
                <w:b/>
                <w:bCs/>
              </w:rPr>
            </w:pPr>
            <w:r>
              <w:rPr>
                <w:rFonts w:hint="eastAsia" w:ascii="宋体" w:hAnsi="宋体" w:eastAsia="宋体" w:cs="宋体"/>
                <w:b/>
                <w:bCs/>
              </w:rPr>
              <w:t>（mm）</w:t>
            </w:r>
          </w:p>
        </w:tc>
        <w:tc>
          <w:tcPr>
            <w:tcW w:w="360" w:type="pct"/>
            <w:tcBorders>
              <w:tl2br w:val="nil"/>
              <w:tr2bl w:val="nil"/>
            </w:tcBorders>
            <w:shd w:val="clear" w:color="auto" w:fill="DCD8C2" w:themeFill="background2" w:themeFillShade="E5"/>
            <w:vAlign w:val="center"/>
          </w:tcPr>
          <w:p>
            <w:pPr>
              <w:jc w:val="center"/>
              <w:rPr>
                <w:rFonts w:ascii="宋体" w:hAnsi="宋体" w:eastAsia="宋体" w:cs="宋体"/>
                <w:b/>
                <w:bCs/>
              </w:rPr>
            </w:pPr>
            <w:r>
              <w:rPr>
                <w:rFonts w:hint="eastAsia" w:ascii="宋体" w:hAnsi="宋体" w:eastAsia="宋体" w:cs="宋体"/>
                <w:b/>
                <w:bCs/>
              </w:rPr>
              <w:t>轿厢尺寸</w:t>
            </w:r>
          </w:p>
          <w:p>
            <w:pPr>
              <w:jc w:val="center"/>
              <w:rPr>
                <w:rFonts w:ascii="宋体" w:hAnsi="宋体" w:eastAsia="宋体" w:cs="宋体"/>
                <w:b/>
                <w:bCs/>
              </w:rPr>
            </w:pPr>
            <w:r>
              <w:rPr>
                <w:rFonts w:hint="eastAsia" w:ascii="宋体" w:hAnsi="宋体" w:eastAsia="宋体" w:cs="宋体"/>
                <w:b/>
                <w:bCs/>
              </w:rPr>
              <w:t>（宽x深）</w:t>
            </w:r>
          </w:p>
          <w:p>
            <w:pPr>
              <w:jc w:val="center"/>
              <w:rPr>
                <w:rFonts w:ascii="宋体" w:hAnsi="宋体" w:eastAsia="宋体" w:cs="宋体"/>
                <w:b/>
                <w:bCs/>
              </w:rPr>
            </w:pPr>
            <w:r>
              <w:rPr>
                <w:rFonts w:hint="eastAsia" w:ascii="宋体" w:hAnsi="宋体" w:eastAsia="宋体" w:cs="宋体"/>
                <w:b/>
                <w:bCs/>
              </w:rPr>
              <w:t>（mm）</w:t>
            </w:r>
          </w:p>
        </w:tc>
        <w:tc>
          <w:tcPr>
            <w:tcW w:w="333" w:type="pct"/>
            <w:tcBorders>
              <w:tl2br w:val="nil"/>
              <w:tr2bl w:val="nil"/>
            </w:tcBorders>
            <w:shd w:val="clear" w:color="auto" w:fill="DCD8C2" w:themeFill="background2" w:themeFillShade="E5"/>
            <w:vAlign w:val="center"/>
          </w:tcPr>
          <w:p>
            <w:pPr>
              <w:jc w:val="center"/>
              <w:rPr>
                <w:rFonts w:ascii="宋体" w:hAnsi="宋体" w:eastAsia="宋体" w:cs="宋体"/>
                <w:b/>
                <w:bCs/>
              </w:rPr>
            </w:pPr>
            <w:r>
              <w:rPr>
                <w:rFonts w:hint="eastAsia" w:ascii="宋体" w:hAnsi="宋体" w:eastAsia="宋体" w:cs="宋体"/>
                <w:b/>
                <w:bCs/>
              </w:rPr>
              <w:t>门洞结构尺寸</w:t>
            </w:r>
          </w:p>
          <w:p>
            <w:pPr>
              <w:jc w:val="center"/>
              <w:rPr>
                <w:rFonts w:ascii="宋体" w:hAnsi="宋体" w:eastAsia="宋体" w:cs="宋体"/>
                <w:b/>
                <w:bCs/>
              </w:rPr>
            </w:pPr>
            <w:r>
              <w:rPr>
                <w:rFonts w:hint="eastAsia" w:ascii="宋体" w:hAnsi="宋体" w:eastAsia="宋体" w:cs="宋体"/>
                <w:b/>
                <w:bCs/>
              </w:rPr>
              <w:t>（宽x高）</w:t>
            </w:r>
          </w:p>
          <w:p>
            <w:pPr>
              <w:jc w:val="center"/>
              <w:rPr>
                <w:rFonts w:ascii="宋体" w:hAnsi="宋体" w:eastAsia="宋体" w:cs="宋体"/>
                <w:b/>
                <w:bCs/>
              </w:rPr>
            </w:pPr>
            <w:r>
              <w:rPr>
                <w:rFonts w:hint="eastAsia" w:ascii="宋体" w:hAnsi="宋体" w:eastAsia="宋体" w:cs="宋体"/>
                <w:b/>
                <w:bCs/>
              </w:rPr>
              <w:t>（mm）</w:t>
            </w:r>
          </w:p>
        </w:tc>
        <w:tc>
          <w:tcPr>
            <w:tcW w:w="238"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控制方式</w:t>
            </w:r>
          </w:p>
        </w:tc>
        <w:tc>
          <w:tcPr>
            <w:tcW w:w="237"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开门净尺寸</w:t>
            </w:r>
          </w:p>
        </w:tc>
        <w:tc>
          <w:tcPr>
            <w:tcW w:w="191"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行程</w:t>
            </w:r>
          </w:p>
        </w:tc>
        <w:tc>
          <w:tcPr>
            <w:tcW w:w="238"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开门方式</w:t>
            </w:r>
          </w:p>
        </w:tc>
        <w:tc>
          <w:tcPr>
            <w:tcW w:w="265"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顶层高度（mm）</w:t>
            </w:r>
          </w:p>
        </w:tc>
        <w:tc>
          <w:tcPr>
            <w:tcW w:w="202" w:type="pct"/>
            <w:tcBorders>
              <w:tl2br w:val="nil"/>
              <w:tr2bl w:val="nil"/>
            </w:tcBorders>
            <w:shd w:val="clear" w:color="auto" w:fill="DCD8C2" w:themeFill="background2" w:themeFillShade="E5"/>
            <w:vAlign w:val="center"/>
          </w:tcPr>
          <w:p>
            <w:pPr>
              <w:jc w:val="center"/>
              <w:rPr>
                <w:rFonts w:ascii="宋体" w:hAnsi="宋体" w:eastAsia="宋体" w:cs="宋体"/>
                <w:b/>
                <w:bCs/>
              </w:rPr>
            </w:pPr>
            <w:r>
              <w:rPr>
                <w:rFonts w:hint="eastAsia" w:ascii="宋体" w:hAnsi="宋体" w:eastAsia="宋体" w:cs="宋体"/>
                <w:b/>
                <w:bCs/>
              </w:rPr>
              <w:t>底坑深度</w:t>
            </w:r>
          </w:p>
          <w:p>
            <w:pPr>
              <w:jc w:val="center"/>
              <w:rPr>
                <w:rFonts w:ascii="宋体" w:hAnsi="宋体" w:eastAsia="宋体" w:cs="宋体"/>
                <w:b/>
                <w:bCs/>
              </w:rPr>
            </w:pPr>
            <w:r>
              <w:rPr>
                <w:rFonts w:hint="eastAsia" w:ascii="宋体" w:hAnsi="宋体" w:eastAsia="宋体" w:cs="宋体"/>
                <w:b/>
                <w:bCs/>
              </w:rPr>
              <w:t>（mm）</w:t>
            </w:r>
          </w:p>
        </w:tc>
        <w:tc>
          <w:tcPr>
            <w:tcW w:w="374"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是否有机房电梯</w:t>
            </w:r>
          </w:p>
        </w:tc>
        <w:tc>
          <w:tcPr>
            <w:tcW w:w="115" w:type="pct"/>
            <w:tcBorders>
              <w:tl2br w:val="nil"/>
              <w:tr2bl w:val="nil"/>
            </w:tcBorders>
            <w:shd w:val="clear" w:color="auto" w:fill="DCD8C2" w:themeFill="background2" w:themeFillShade="E5"/>
            <w:vAlign w:val="center"/>
          </w:tcPr>
          <w:p>
            <w:pPr>
              <w:jc w:val="center"/>
              <w:rPr>
                <w:rFonts w:ascii="宋体" w:hAnsi="宋体" w:eastAsia="宋体" w:cs="宋体"/>
                <w:b/>
                <w:bCs/>
              </w:rPr>
            </w:pPr>
            <w:r>
              <w:rPr>
                <w:rFonts w:hint="eastAsia" w:ascii="宋体" w:hAnsi="宋体" w:eastAsia="宋体" w:cs="宋体"/>
                <w:b/>
                <w:bCs/>
              </w:rPr>
              <w:t>是否设置安全钳</w:t>
            </w:r>
          </w:p>
        </w:tc>
        <w:tc>
          <w:tcPr>
            <w:tcW w:w="245"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机房位置</w:t>
            </w:r>
          </w:p>
        </w:tc>
        <w:tc>
          <w:tcPr>
            <w:tcW w:w="331"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是否消防电梯</w:t>
            </w:r>
          </w:p>
        </w:tc>
        <w:tc>
          <w:tcPr>
            <w:tcW w:w="374"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是否无障碍电梯</w:t>
            </w:r>
          </w:p>
        </w:tc>
        <w:tc>
          <w:tcPr>
            <w:tcW w:w="155" w:type="pct"/>
            <w:tcBorders>
              <w:tl2br w:val="nil"/>
              <w:tr2bl w:val="nil"/>
            </w:tcBorders>
            <w:shd w:val="clear" w:color="auto" w:fill="DCD8C2" w:themeFill="background2" w:themeFillShade="E5"/>
            <w:noWrap/>
            <w:vAlign w:val="center"/>
          </w:tcPr>
          <w:p>
            <w:pPr>
              <w:jc w:val="center"/>
              <w:rPr>
                <w:rFonts w:ascii="宋体" w:hAnsi="宋体" w:eastAsia="宋体" w:cs="宋体"/>
                <w:b/>
                <w:bCs/>
              </w:rPr>
            </w:pPr>
            <w:r>
              <w:rPr>
                <w:rFonts w:hint="eastAsia" w:ascii="宋体" w:hAnsi="宋体" w:eastAsia="宋体" w:cs="宋体"/>
                <w:b/>
                <w:bCs/>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73" w:hRule="atLeast"/>
          <w:jc w:val="center"/>
        </w:trPr>
        <w:tc>
          <w:tcPr>
            <w:tcW w:w="15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p>
        </w:tc>
        <w:tc>
          <w:tcPr>
            <w:tcW w:w="24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DT-1</w:t>
            </w:r>
          </w:p>
        </w:tc>
        <w:tc>
          <w:tcPr>
            <w:tcW w:w="22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2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2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1.0</w:t>
            </w:r>
          </w:p>
        </w:tc>
        <w:tc>
          <w:tcPr>
            <w:tcW w:w="26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3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1400x</w:t>
            </w:r>
          </w:p>
          <w:p>
            <w:pPr>
              <w:jc w:val="center"/>
              <w:rPr>
                <w:rFonts w:ascii="宋体" w:hAnsi="宋体" w:eastAsia="宋体" w:cs="宋体"/>
              </w:rPr>
            </w:pPr>
            <w:r>
              <w:rPr>
                <w:rFonts w:hint="eastAsia" w:ascii="宋体" w:hAnsi="宋体" w:eastAsia="宋体" w:cs="宋体"/>
              </w:rPr>
              <w:t>2350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1500x2300</w:t>
            </w:r>
          </w:p>
        </w:tc>
        <w:tc>
          <w:tcPr>
            <w:tcW w:w="23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3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1300x2200</w:t>
            </w:r>
          </w:p>
        </w:tc>
        <w:tc>
          <w:tcPr>
            <w:tcW w:w="191"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1F-2F</w:t>
            </w:r>
          </w:p>
        </w:tc>
        <w:tc>
          <w:tcPr>
            <w:tcW w:w="23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6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5100</w:t>
            </w:r>
          </w:p>
        </w:tc>
        <w:tc>
          <w:tcPr>
            <w:tcW w:w="202"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3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1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4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331"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55"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74" w:hRule="atLeast"/>
          <w:jc w:val="center"/>
        </w:trPr>
        <w:tc>
          <w:tcPr>
            <w:tcW w:w="15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w:t>
            </w:r>
          </w:p>
        </w:tc>
        <w:tc>
          <w:tcPr>
            <w:tcW w:w="24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DT-2</w:t>
            </w:r>
          </w:p>
        </w:tc>
        <w:tc>
          <w:tcPr>
            <w:tcW w:w="22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客梯</w:t>
            </w:r>
          </w:p>
        </w:tc>
        <w:tc>
          <w:tcPr>
            <w:tcW w:w="22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1350</w:t>
            </w:r>
          </w:p>
        </w:tc>
        <w:tc>
          <w:tcPr>
            <w:tcW w:w="22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1.0</w:t>
            </w:r>
          </w:p>
        </w:tc>
        <w:tc>
          <w:tcPr>
            <w:tcW w:w="26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2350x2550</w:t>
            </w:r>
          </w:p>
        </w:tc>
        <w:tc>
          <w:tcPr>
            <w:tcW w:w="3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1500x</w:t>
            </w:r>
          </w:p>
          <w:p>
            <w:pPr>
              <w:jc w:val="center"/>
              <w:rPr>
                <w:rFonts w:hint="eastAsia" w:ascii="宋体" w:hAnsi="宋体" w:eastAsia="宋体" w:cs="宋体"/>
              </w:rPr>
            </w:pPr>
            <w:r>
              <w:rPr>
                <w:rFonts w:hint="eastAsia" w:ascii="宋体" w:hAnsi="宋体" w:eastAsia="宋体" w:cs="宋体"/>
              </w:rPr>
              <w:t>2000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w:t>
            </w:r>
            <w:r>
              <w:rPr>
                <w:rFonts w:ascii="宋体" w:hAnsi="宋体" w:eastAsia="宋体" w:cs="宋体"/>
              </w:rPr>
              <w:t>2</w:t>
            </w:r>
            <w:r>
              <w:rPr>
                <w:rFonts w:hint="eastAsia" w:ascii="宋体" w:hAnsi="宋体" w:eastAsia="宋体" w:cs="宋体"/>
              </w:rPr>
              <w:t>00x2300</w:t>
            </w:r>
          </w:p>
        </w:tc>
        <w:tc>
          <w:tcPr>
            <w:tcW w:w="23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3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1000x2200</w:t>
            </w:r>
          </w:p>
        </w:tc>
        <w:tc>
          <w:tcPr>
            <w:tcW w:w="191"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1F-2F</w:t>
            </w:r>
          </w:p>
        </w:tc>
        <w:tc>
          <w:tcPr>
            <w:tcW w:w="23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中分双开</w:t>
            </w:r>
          </w:p>
        </w:tc>
        <w:tc>
          <w:tcPr>
            <w:tcW w:w="26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5100</w:t>
            </w:r>
          </w:p>
        </w:tc>
        <w:tc>
          <w:tcPr>
            <w:tcW w:w="202"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3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1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4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331"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55"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74" w:hRule="atLeast"/>
          <w:jc w:val="center"/>
        </w:trPr>
        <w:tc>
          <w:tcPr>
            <w:tcW w:w="15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3</w:t>
            </w:r>
          </w:p>
        </w:tc>
        <w:tc>
          <w:tcPr>
            <w:tcW w:w="24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DT-3</w:t>
            </w:r>
          </w:p>
        </w:tc>
        <w:tc>
          <w:tcPr>
            <w:tcW w:w="22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2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2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1.0</w:t>
            </w:r>
          </w:p>
        </w:tc>
        <w:tc>
          <w:tcPr>
            <w:tcW w:w="26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3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1400x</w:t>
            </w:r>
          </w:p>
          <w:p>
            <w:pPr>
              <w:jc w:val="center"/>
              <w:rPr>
                <w:rFonts w:hint="eastAsia" w:ascii="宋体" w:hAnsi="宋体" w:eastAsia="宋体" w:cs="宋体"/>
              </w:rPr>
            </w:pPr>
            <w:r>
              <w:rPr>
                <w:rFonts w:hint="eastAsia" w:ascii="宋体" w:hAnsi="宋体" w:eastAsia="宋体" w:cs="宋体"/>
              </w:rPr>
              <w:t>2350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1500x2300</w:t>
            </w:r>
          </w:p>
        </w:tc>
        <w:tc>
          <w:tcPr>
            <w:tcW w:w="23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3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1300x2200</w:t>
            </w:r>
          </w:p>
        </w:tc>
        <w:tc>
          <w:tcPr>
            <w:tcW w:w="191"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1F-2F</w:t>
            </w:r>
          </w:p>
        </w:tc>
        <w:tc>
          <w:tcPr>
            <w:tcW w:w="23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6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5100</w:t>
            </w:r>
          </w:p>
        </w:tc>
        <w:tc>
          <w:tcPr>
            <w:tcW w:w="202"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3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1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4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331"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55" w:type="pct"/>
            <w:tcBorders>
              <w:tl2br w:val="nil"/>
              <w:tr2bl w:val="nil"/>
            </w:tcBorders>
            <w:shd w:val="clear" w:color="auto" w:fill="FFFFFF" w:themeFill="background1"/>
            <w:noWrap/>
            <w:vAlign w:val="center"/>
          </w:tcPr>
          <w:p>
            <w:pPr>
              <w:jc w:val="center"/>
              <w:rPr>
                <w:rFonts w:ascii="宋体" w:hAnsi="宋体" w:eastAsia="宋体" w:cs="宋体"/>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74" w:hRule="atLeast"/>
          <w:jc w:val="center"/>
        </w:trPr>
        <w:tc>
          <w:tcPr>
            <w:tcW w:w="15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4</w:t>
            </w:r>
          </w:p>
        </w:tc>
        <w:tc>
          <w:tcPr>
            <w:tcW w:w="24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DT-4</w:t>
            </w:r>
          </w:p>
        </w:tc>
        <w:tc>
          <w:tcPr>
            <w:tcW w:w="22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医梯</w:t>
            </w:r>
          </w:p>
        </w:tc>
        <w:tc>
          <w:tcPr>
            <w:tcW w:w="22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1600</w:t>
            </w:r>
          </w:p>
        </w:tc>
        <w:tc>
          <w:tcPr>
            <w:tcW w:w="22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1.0</w:t>
            </w:r>
          </w:p>
        </w:tc>
        <w:tc>
          <w:tcPr>
            <w:tcW w:w="266"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2400x3000</w:t>
            </w:r>
          </w:p>
        </w:tc>
        <w:tc>
          <w:tcPr>
            <w:tcW w:w="360"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1400x</w:t>
            </w:r>
          </w:p>
          <w:p>
            <w:pPr>
              <w:jc w:val="center"/>
              <w:rPr>
                <w:rFonts w:hint="eastAsia" w:ascii="宋体" w:hAnsi="宋体" w:eastAsia="宋体" w:cs="宋体"/>
              </w:rPr>
            </w:pPr>
            <w:r>
              <w:rPr>
                <w:rFonts w:hint="eastAsia" w:ascii="宋体" w:hAnsi="宋体" w:eastAsia="宋体" w:cs="宋体"/>
              </w:rPr>
              <w:t>2350</w:t>
            </w:r>
          </w:p>
        </w:tc>
        <w:tc>
          <w:tcPr>
            <w:tcW w:w="333"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1500x2300</w:t>
            </w:r>
          </w:p>
        </w:tc>
        <w:tc>
          <w:tcPr>
            <w:tcW w:w="23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单控</w:t>
            </w:r>
          </w:p>
        </w:tc>
        <w:tc>
          <w:tcPr>
            <w:tcW w:w="237"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1300x2200</w:t>
            </w:r>
          </w:p>
        </w:tc>
        <w:tc>
          <w:tcPr>
            <w:tcW w:w="191"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1F-2F</w:t>
            </w:r>
          </w:p>
        </w:tc>
        <w:tc>
          <w:tcPr>
            <w:tcW w:w="238"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旁开</w:t>
            </w:r>
          </w:p>
        </w:tc>
        <w:tc>
          <w:tcPr>
            <w:tcW w:w="26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5100</w:t>
            </w:r>
          </w:p>
        </w:tc>
        <w:tc>
          <w:tcPr>
            <w:tcW w:w="202"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2100</w:t>
            </w:r>
          </w:p>
        </w:tc>
        <w:tc>
          <w:tcPr>
            <w:tcW w:w="3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11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245"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w:t>
            </w:r>
          </w:p>
        </w:tc>
        <w:tc>
          <w:tcPr>
            <w:tcW w:w="331"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否</w:t>
            </w:r>
          </w:p>
        </w:tc>
        <w:tc>
          <w:tcPr>
            <w:tcW w:w="374" w:type="pct"/>
            <w:tcBorders>
              <w:tl2br w:val="nil"/>
              <w:tr2bl w:val="nil"/>
            </w:tcBorders>
            <w:shd w:val="clear" w:color="auto" w:fill="FFFFFF" w:themeFill="background1"/>
            <w:noWrap/>
            <w:vAlign w:val="center"/>
          </w:tcPr>
          <w:p>
            <w:pPr>
              <w:jc w:val="center"/>
              <w:rPr>
                <w:rFonts w:ascii="宋体" w:hAnsi="宋体" w:eastAsia="宋体" w:cs="宋体"/>
              </w:rPr>
            </w:pPr>
            <w:r>
              <w:rPr>
                <w:rFonts w:hint="eastAsia" w:ascii="宋体" w:hAnsi="宋体" w:eastAsia="宋体" w:cs="宋体"/>
              </w:rPr>
              <w:t>是</w:t>
            </w:r>
          </w:p>
        </w:tc>
        <w:tc>
          <w:tcPr>
            <w:tcW w:w="155" w:type="pct"/>
            <w:tcBorders>
              <w:tl2br w:val="nil"/>
              <w:tr2bl w:val="nil"/>
            </w:tcBorders>
            <w:shd w:val="clear" w:color="auto" w:fill="FFFFFF" w:themeFill="background1"/>
            <w:noWrap/>
            <w:vAlign w:val="center"/>
          </w:tcPr>
          <w:p>
            <w:pPr>
              <w:jc w:val="center"/>
              <w:rPr>
                <w:rFonts w:ascii="宋体" w:hAnsi="宋体" w:eastAsia="宋体" w:cs="宋体"/>
              </w:rPr>
            </w:pPr>
          </w:p>
        </w:tc>
      </w:tr>
    </w:tbl>
    <w:p>
      <w:pPr>
        <w:tabs>
          <w:tab w:val="left" w:pos="0"/>
        </w:tabs>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备注</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轿厢</w:t>
      </w:r>
      <w:r>
        <w:rPr>
          <w:rFonts w:ascii="宋体" w:hAnsi="宋体" w:eastAsia="宋体" w:cs="宋体"/>
          <w:color w:val="000000" w:themeColor="text1"/>
          <w14:textFill>
            <w14:solidFill>
              <w14:schemeClr w14:val="tx1"/>
            </w14:solidFill>
          </w14:textFill>
        </w:rPr>
        <w:t>尺寸大小</w:t>
      </w:r>
      <w:r>
        <w:rPr>
          <w:rFonts w:hint="eastAsia" w:ascii="宋体" w:hAnsi="宋体" w:eastAsia="宋体" w:cs="宋体"/>
          <w:color w:val="000000" w:themeColor="text1"/>
          <w14:textFill>
            <w14:solidFill>
              <w14:schemeClr w14:val="tx1"/>
            </w14:solidFill>
          </w14:textFill>
        </w:rPr>
        <w:t>，各</w:t>
      </w:r>
      <w:r>
        <w:rPr>
          <w:rFonts w:ascii="宋体" w:hAnsi="宋体" w:eastAsia="宋体" w:cs="宋体"/>
          <w:color w:val="000000" w:themeColor="text1"/>
          <w14:textFill>
            <w14:solidFill>
              <w14:schemeClr w14:val="tx1"/>
            </w14:solidFill>
          </w14:textFill>
        </w:rPr>
        <w:t>投标单位</w:t>
      </w:r>
      <w:r>
        <w:rPr>
          <w:rFonts w:hint="eastAsia" w:ascii="宋体" w:hAnsi="宋体" w:eastAsia="宋体" w:cs="宋体"/>
          <w:color w:val="000000" w:themeColor="text1"/>
          <w14:textFill>
            <w14:solidFill>
              <w14:schemeClr w14:val="tx1"/>
            </w14:solidFill>
          </w14:textFill>
        </w:rPr>
        <w:t>可根据载重量、井道尺寸等按自身产品的最大尺寸提供。</w:t>
      </w:r>
    </w:p>
    <w:p>
      <w:pPr>
        <w:pStyle w:val="2"/>
        <w:rPr>
          <w:rFonts w:hint="eastAsia"/>
          <w:lang w:val="en-US"/>
        </w:rPr>
      </w:pPr>
    </w:p>
    <w:p>
      <w:pPr>
        <w:tabs>
          <w:tab w:val="left" w:pos="0"/>
        </w:tabs>
        <w:spacing w:line="360" w:lineRule="auto"/>
        <w:ind w:firstLine="480"/>
        <w:jc w:val="center"/>
        <w:rPr>
          <w:rFonts w:ascii="宋体" w:hAnsi="宋体" w:eastAsia="宋体" w:cs="宋体"/>
          <w:sz w:val="24"/>
        </w:rPr>
      </w:pPr>
      <w:r>
        <w:rPr>
          <w:rFonts w:hint="eastAsia" w:ascii="宋体" w:hAnsi="宋体" w:eastAsia="宋体" w:cs="宋体"/>
          <w:sz w:val="24"/>
        </w:rPr>
        <w:t>表1-3 医疗综合大楼扶梯技术数据表</w:t>
      </w:r>
    </w:p>
    <w:tbl>
      <w:tblPr>
        <w:tblStyle w:val="27"/>
        <w:tblW w:w="1387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426"/>
        <w:gridCol w:w="1378"/>
        <w:gridCol w:w="843"/>
        <w:gridCol w:w="1450"/>
        <w:gridCol w:w="848"/>
        <w:gridCol w:w="849"/>
        <w:gridCol w:w="1385"/>
        <w:gridCol w:w="1188"/>
        <w:gridCol w:w="2256"/>
        <w:gridCol w:w="225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0" w:hRule="atLeast"/>
          <w:jc w:val="center"/>
        </w:trPr>
        <w:tc>
          <w:tcPr>
            <w:tcW w:w="1426" w:type="dxa"/>
            <w:tcBorders>
              <w:tl2br w:val="nil"/>
              <w:tr2bl w:val="nil"/>
            </w:tcBorders>
            <w:shd w:val="clear" w:color="auto" w:fill="DCD8C2" w:themeFill="background2" w:themeFillShade="E5"/>
            <w:vAlign w:val="center"/>
          </w:tcPr>
          <w:p>
            <w:pPr>
              <w:jc w:val="center"/>
              <w:rPr>
                <w:rFonts w:ascii="宋体" w:hAnsi="宋体" w:eastAsia="宋体" w:cs="宋体"/>
                <w:b/>
                <w:bCs/>
                <w:sz w:val="24"/>
              </w:rPr>
            </w:pPr>
            <w:r>
              <w:rPr>
                <w:rFonts w:hint="eastAsia" w:ascii="宋体" w:hAnsi="宋体" w:eastAsia="宋体" w:cs="宋体"/>
                <w:b/>
                <w:bCs/>
                <w:sz w:val="24"/>
              </w:rPr>
              <w:t>序号</w:t>
            </w:r>
          </w:p>
        </w:tc>
        <w:tc>
          <w:tcPr>
            <w:tcW w:w="1378" w:type="dxa"/>
            <w:tcBorders>
              <w:tl2br w:val="nil"/>
              <w:tr2bl w:val="nil"/>
            </w:tcBorders>
            <w:shd w:val="clear" w:color="auto" w:fill="DCD8C2" w:themeFill="background2" w:themeFillShade="E5"/>
            <w:vAlign w:val="center"/>
          </w:tcPr>
          <w:p>
            <w:pPr>
              <w:jc w:val="center"/>
              <w:rPr>
                <w:rFonts w:ascii="宋体" w:hAnsi="宋体" w:eastAsia="宋体" w:cs="宋体"/>
                <w:b/>
                <w:bCs/>
                <w:sz w:val="24"/>
              </w:rPr>
            </w:pPr>
            <w:r>
              <w:rPr>
                <w:rFonts w:hint="eastAsia" w:ascii="宋体" w:hAnsi="宋体" w:eastAsia="宋体" w:cs="宋体"/>
                <w:b/>
                <w:bCs/>
                <w:sz w:val="24"/>
              </w:rPr>
              <w:t>提升高度(mm)</w:t>
            </w:r>
          </w:p>
        </w:tc>
        <w:tc>
          <w:tcPr>
            <w:tcW w:w="843" w:type="dxa"/>
            <w:tcBorders>
              <w:tl2br w:val="nil"/>
              <w:tr2bl w:val="nil"/>
            </w:tcBorders>
            <w:shd w:val="clear" w:color="auto" w:fill="DCD8C2" w:themeFill="background2" w:themeFillShade="E5"/>
            <w:vAlign w:val="center"/>
          </w:tcPr>
          <w:p>
            <w:pPr>
              <w:jc w:val="center"/>
              <w:rPr>
                <w:rFonts w:ascii="宋体" w:hAnsi="宋体" w:eastAsia="宋体" w:cs="宋体"/>
                <w:b/>
                <w:bCs/>
                <w:sz w:val="24"/>
              </w:rPr>
            </w:pPr>
            <w:r>
              <w:rPr>
                <w:rFonts w:hint="eastAsia" w:ascii="宋体" w:hAnsi="宋体" w:eastAsia="宋体" w:cs="宋体"/>
                <w:b/>
                <w:bCs/>
                <w:sz w:val="24"/>
              </w:rPr>
              <w:t>数量(部)</w:t>
            </w:r>
          </w:p>
        </w:tc>
        <w:tc>
          <w:tcPr>
            <w:tcW w:w="1450" w:type="dxa"/>
            <w:tcBorders>
              <w:tl2br w:val="nil"/>
              <w:tr2bl w:val="nil"/>
            </w:tcBorders>
            <w:shd w:val="clear" w:color="auto" w:fill="DCD8C2" w:themeFill="background2" w:themeFillShade="E5"/>
            <w:vAlign w:val="center"/>
          </w:tcPr>
          <w:p>
            <w:pPr>
              <w:jc w:val="center"/>
              <w:rPr>
                <w:rFonts w:ascii="宋体" w:hAnsi="宋体" w:eastAsia="宋体" w:cs="宋体"/>
                <w:b/>
                <w:bCs/>
                <w:sz w:val="24"/>
              </w:rPr>
            </w:pPr>
            <w:r>
              <w:rPr>
                <w:rFonts w:hint="eastAsia" w:ascii="宋体" w:hAnsi="宋体" w:eastAsia="宋体" w:cs="宋体"/>
                <w:b/>
                <w:bCs/>
                <w:sz w:val="24"/>
              </w:rPr>
              <w:t>梯级宽度(mm)</w:t>
            </w:r>
          </w:p>
        </w:tc>
        <w:tc>
          <w:tcPr>
            <w:tcW w:w="848" w:type="dxa"/>
            <w:tcBorders>
              <w:tl2br w:val="nil"/>
              <w:tr2bl w:val="nil"/>
            </w:tcBorders>
            <w:shd w:val="clear" w:color="auto" w:fill="DCD8C2" w:themeFill="background2" w:themeFillShade="E5"/>
            <w:vAlign w:val="center"/>
          </w:tcPr>
          <w:p>
            <w:pPr>
              <w:jc w:val="center"/>
              <w:rPr>
                <w:rFonts w:ascii="宋体" w:hAnsi="宋体" w:eastAsia="宋体" w:cs="宋体"/>
                <w:b/>
                <w:bCs/>
                <w:sz w:val="24"/>
              </w:rPr>
            </w:pPr>
            <w:r>
              <w:rPr>
                <w:rFonts w:hint="eastAsia" w:ascii="宋体" w:hAnsi="宋体" w:eastAsia="宋体" w:cs="宋体"/>
                <w:b/>
                <w:bCs/>
                <w:sz w:val="24"/>
              </w:rPr>
              <w:t>速度(m/s)</w:t>
            </w:r>
          </w:p>
        </w:tc>
        <w:tc>
          <w:tcPr>
            <w:tcW w:w="849" w:type="dxa"/>
            <w:tcBorders>
              <w:tl2br w:val="nil"/>
              <w:tr2bl w:val="nil"/>
            </w:tcBorders>
            <w:shd w:val="clear" w:color="auto" w:fill="DCD8C2" w:themeFill="background2" w:themeFillShade="E5"/>
            <w:vAlign w:val="center"/>
          </w:tcPr>
          <w:p>
            <w:pPr>
              <w:jc w:val="center"/>
              <w:rPr>
                <w:rFonts w:ascii="宋体" w:hAnsi="宋体" w:eastAsia="宋体" w:cs="宋体"/>
                <w:b/>
                <w:bCs/>
                <w:sz w:val="24"/>
              </w:rPr>
            </w:pPr>
            <w:r>
              <w:rPr>
                <w:rFonts w:hint="eastAsia" w:ascii="宋体" w:hAnsi="宋体" w:eastAsia="宋体" w:cs="宋体"/>
                <w:b/>
                <w:bCs/>
                <w:sz w:val="24"/>
              </w:rPr>
              <w:t>行程</w:t>
            </w:r>
          </w:p>
        </w:tc>
        <w:tc>
          <w:tcPr>
            <w:tcW w:w="1385" w:type="dxa"/>
            <w:tcBorders>
              <w:tl2br w:val="nil"/>
              <w:tr2bl w:val="nil"/>
            </w:tcBorders>
            <w:shd w:val="clear" w:color="auto" w:fill="DCD8C2" w:themeFill="background2" w:themeFillShade="E5"/>
            <w:vAlign w:val="center"/>
          </w:tcPr>
          <w:p>
            <w:pPr>
              <w:jc w:val="center"/>
              <w:rPr>
                <w:rFonts w:ascii="宋体" w:hAnsi="宋体" w:eastAsia="宋体" w:cs="宋体"/>
                <w:b/>
                <w:bCs/>
                <w:sz w:val="24"/>
              </w:rPr>
            </w:pPr>
            <w:r>
              <w:rPr>
                <w:rFonts w:hint="eastAsia" w:ascii="宋体" w:hAnsi="宋体" w:eastAsia="宋体" w:cs="宋体"/>
                <w:b/>
                <w:bCs/>
                <w:sz w:val="24"/>
              </w:rPr>
              <w:t>投影长度(mm)</w:t>
            </w:r>
          </w:p>
        </w:tc>
        <w:tc>
          <w:tcPr>
            <w:tcW w:w="1188" w:type="dxa"/>
            <w:tcBorders>
              <w:tl2br w:val="nil"/>
              <w:tr2bl w:val="nil"/>
            </w:tcBorders>
            <w:shd w:val="clear" w:color="auto" w:fill="DCD8C2" w:themeFill="background2" w:themeFillShade="E5"/>
            <w:vAlign w:val="center"/>
          </w:tcPr>
          <w:p>
            <w:pPr>
              <w:jc w:val="center"/>
              <w:rPr>
                <w:rFonts w:ascii="宋体" w:hAnsi="宋体" w:eastAsia="宋体" w:cs="宋体"/>
                <w:b/>
                <w:bCs/>
                <w:sz w:val="24"/>
              </w:rPr>
            </w:pPr>
            <w:r>
              <w:rPr>
                <w:rFonts w:hint="eastAsia" w:ascii="宋体" w:hAnsi="宋体" w:eastAsia="宋体" w:cs="宋体"/>
                <w:b/>
                <w:bCs/>
                <w:sz w:val="24"/>
              </w:rPr>
              <w:t>倾斜角度</w:t>
            </w:r>
          </w:p>
        </w:tc>
        <w:tc>
          <w:tcPr>
            <w:tcW w:w="2256" w:type="dxa"/>
            <w:tcBorders>
              <w:tl2br w:val="nil"/>
              <w:tr2bl w:val="nil"/>
            </w:tcBorders>
            <w:shd w:val="clear" w:color="auto" w:fill="DCD8C2" w:themeFill="background2" w:themeFillShade="E5"/>
            <w:vAlign w:val="center"/>
          </w:tcPr>
          <w:p>
            <w:pPr>
              <w:jc w:val="center"/>
              <w:rPr>
                <w:rFonts w:ascii="宋体" w:hAnsi="宋体" w:eastAsia="宋体" w:cs="宋体"/>
                <w:b/>
                <w:bCs/>
                <w:sz w:val="24"/>
              </w:rPr>
            </w:pPr>
            <w:r>
              <w:rPr>
                <w:rFonts w:hint="eastAsia" w:ascii="宋体" w:hAnsi="宋体" w:eastAsia="宋体" w:cs="宋体"/>
                <w:b/>
                <w:bCs/>
                <w:sz w:val="24"/>
              </w:rPr>
              <w:t>底坑尺寸(mm)</w:t>
            </w:r>
          </w:p>
        </w:tc>
        <w:tc>
          <w:tcPr>
            <w:tcW w:w="2256" w:type="dxa"/>
            <w:tcBorders>
              <w:tl2br w:val="nil"/>
              <w:tr2bl w:val="nil"/>
            </w:tcBorders>
            <w:shd w:val="clear" w:color="auto" w:fill="DCD8C2" w:themeFill="background2" w:themeFillShade="E5"/>
            <w:vAlign w:val="center"/>
          </w:tcPr>
          <w:p>
            <w:pPr>
              <w:jc w:val="center"/>
              <w:rPr>
                <w:rFonts w:ascii="宋体" w:hAnsi="宋体" w:eastAsia="宋体" w:cs="宋体"/>
                <w:b/>
                <w:bCs/>
                <w:sz w:val="24"/>
              </w:rPr>
            </w:pPr>
            <w:r>
              <w:rPr>
                <w:rFonts w:hint="eastAsia" w:ascii="宋体" w:hAnsi="宋体" w:eastAsia="宋体" w:cs="宋体"/>
                <w:b/>
                <w:bCs/>
                <w:sz w:val="24"/>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5" w:hRule="atLeast"/>
          <w:jc w:val="center"/>
        </w:trPr>
        <w:tc>
          <w:tcPr>
            <w:tcW w:w="1426" w:type="dxa"/>
            <w:tcBorders>
              <w:tl2br w:val="nil"/>
              <w:tr2bl w:val="nil"/>
            </w:tcBorders>
            <w:shd w:val="clear" w:color="000000" w:fill="FFFFFF"/>
            <w:vAlign w:val="center"/>
          </w:tcPr>
          <w:p>
            <w:pPr>
              <w:jc w:val="center"/>
              <w:rPr>
                <w:rFonts w:ascii="宋体" w:hAnsi="宋体" w:eastAsia="宋体" w:cs="宋体"/>
                <w:sz w:val="24"/>
              </w:rPr>
            </w:pPr>
            <w:r>
              <w:rPr>
                <w:rFonts w:hint="eastAsia" w:ascii="宋体" w:hAnsi="宋体" w:eastAsia="宋体" w:cs="宋体"/>
                <w:sz w:val="24"/>
              </w:rPr>
              <w:t>1#~2#扶梯</w:t>
            </w:r>
          </w:p>
        </w:tc>
        <w:tc>
          <w:tcPr>
            <w:tcW w:w="1378" w:type="dxa"/>
            <w:tcBorders>
              <w:tl2br w:val="nil"/>
              <w:tr2bl w:val="nil"/>
            </w:tcBorders>
            <w:shd w:val="clear" w:color="000000" w:fill="FFFFFF"/>
            <w:vAlign w:val="center"/>
          </w:tcPr>
          <w:p>
            <w:pPr>
              <w:jc w:val="center"/>
              <w:rPr>
                <w:rFonts w:ascii="宋体" w:hAnsi="宋体" w:eastAsia="宋体" w:cs="宋体"/>
                <w:sz w:val="24"/>
              </w:rPr>
            </w:pPr>
            <w:r>
              <w:rPr>
                <w:rFonts w:hint="eastAsia" w:ascii="宋体" w:hAnsi="宋体" w:eastAsia="宋体" w:cs="宋体"/>
                <w:sz w:val="24"/>
              </w:rPr>
              <w:t>5840</w:t>
            </w:r>
          </w:p>
        </w:tc>
        <w:tc>
          <w:tcPr>
            <w:tcW w:w="843" w:type="dxa"/>
            <w:tcBorders>
              <w:tl2br w:val="nil"/>
              <w:tr2bl w:val="nil"/>
            </w:tcBorders>
            <w:shd w:val="clear" w:color="000000" w:fill="FFFFFF"/>
            <w:vAlign w:val="center"/>
          </w:tcPr>
          <w:p>
            <w:pPr>
              <w:jc w:val="center"/>
              <w:rPr>
                <w:rFonts w:ascii="宋体" w:hAnsi="宋体" w:eastAsia="宋体" w:cs="宋体"/>
                <w:sz w:val="24"/>
              </w:rPr>
            </w:pPr>
            <w:r>
              <w:rPr>
                <w:rFonts w:hint="eastAsia" w:ascii="宋体" w:hAnsi="宋体" w:eastAsia="宋体" w:cs="宋体"/>
                <w:sz w:val="24"/>
              </w:rPr>
              <w:t>2</w:t>
            </w:r>
          </w:p>
        </w:tc>
        <w:tc>
          <w:tcPr>
            <w:tcW w:w="1450" w:type="dxa"/>
            <w:tcBorders>
              <w:tl2br w:val="nil"/>
              <w:tr2bl w:val="nil"/>
            </w:tcBorders>
            <w:shd w:val="clear" w:color="000000" w:fill="FFFFFF"/>
            <w:vAlign w:val="center"/>
          </w:tcPr>
          <w:p>
            <w:pPr>
              <w:jc w:val="center"/>
              <w:rPr>
                <w:rFonts w:ascii="宋体" w:hAnsi="宋体" w:eastAsia="宋体" w:cs="宋体"/>
                <w:sz w:val="24"/>
              </w:rPr>
            </w:pPr>
            <w:r>
              <w:rPr>
                <w:rFonts w:hint="eastAsia" w:ascii="宋体" w:hAnsi="宋体" w:eastAsia="宋体" w:cs="宋体"/>
                <w:sz w:val="24"/>
              </w:rPr>
              <w:t>1000</w:t>
            </w:r>
          </w:p>
        </w:tc>
        <w:tc>
          <w:tcPr>
            <w:tcW w:w="848" w:type="dxa"/>
            <w:tcBorders>
              <w:tl2br w:val="nil"/>
              <w:tr2bl w:val="nil"/>
            </w:tcBorders>
            <w:shd w:val="clear" w:color="000000" w:fill="FFFFFF"/>
            <w:vAlign w:val="center"/>
          </w:tcPr>
          <w:p>
            <w:pPr>
              <w:jc w:val="center"/>
              <w:rPr>
                <w:rFonts w:ascii="宋体" w:hAnsi="宋体" w:eastAsia="宋体" w:cs="宋体"/>
                <w:sz w:val="24"/>
              </w:rPr>
            </w:pPr>
            <w:r>
              <w:rPr>
                <w:rFonts w:hint="eastAsia" w:ascii="宋体" w:hAnsi="宋体" w:eastAsia="宋体" w:cs="宋体"/>
                <w:sz w:val="24"/>
              </w:rPr>
              <w:t>0.5</w:t>
            </w:r>
          </w:p>
        </w:tc>
        <w:tc>
          <w:tcPr>
            <w:tcW w:w="849" w:type="dxa"/>
            <w:tcBorders>
              <w:tl2br w:val="nil"/>
              <w:tr2bl w:val="nil"/>
            </w:tcBorders>
            <w:shd w:val="clear" w:color="000000" w:fill="FFFFFF"/>
            <w:vAlign w:val="center"/>
          </w:tcPr>
          <w:p>
            <w:pPr>
              <w:jc w:val="center"/>
              <w:rPr>
                <w:rFonts w:ascii="宋体" w:hAnsi="宋体" w:eastAsia="宋体" w:cs="宋体"/>
                <w:sz w:val="24"/>
              </w:rPr>
            </w:pPr>
            <w:r>
              <w:rPr>
                <w:rFonts w:hint="eastAsia" w:ascii="宋体" w:hAnsi="宋体" w:eastAsia="宋体" w:cs="宋体"/>
                <w:sz w:val="24"/>
              </w:rPr>
              <w:t>B1-F1</w:t>
            </w:r>
          </w:p>
        </w:tc>
        <w:tc>
          <w:tcPr>
            <w:tcW w:w="1385" w:type="dxa"/>
            <w:tcBorders>
              <w:tl2br w:val="nil"/>
              <w:tr2bl w:val="nil"/>
            </w:tcBorders>
            <w:shd w:val="clear" w:color="000000" w:fill="FFFFFF" w:themeFill="background1"/>
            <w:vAlign w:val="center"/>
          </w:tcPr>
          <w:p>
            <w:pPr>
              <w:jc w:val="center"/>
              <w:rPr>
                <w:rFonts w:ascii="宋体" w:hAnsi="宋体" w:eastAsia="宋体" w:cs="宋体"/>
                <w:sz w:val="24"/>
              </w:rPr>
            </w:pPr>
            <w:r>
              <w:rPr>
                <w:rFonts w:hint="eastAsia" w:ascii="宋体" w:hAnsi="宋体" w:eastAsia="宋体" w:cs="宋体"/>
                <w:sz w:val="24"/>
              </w:rPr>
              <w:t>15600</w:t>
            </w:r>
          </w:p>
        </w:tc>
        <w:tc>
          <w:tcPr>
            <w:tcW w:w="1188" w:type="dxa"/>
            <w:tcBorders>
              <w:tl2br w:val="nil"/>
              <w:tr2bl w:val="nil"/>
            </w:tcBorders>
            <w:shd w:val="clear" w:color="000000" w:fill="FFFFFF"/>
            <w:vAlign w:val="center"/>
          </w:tcPr>
          <w:p>
            <w:pPr>
              <w:jc w:val="center"/>
              <w:rPr>
                <w:rFonts w:ascii="宋体" w:hAnsi="宋体" w:eastAsia="宋体" w:cs="宋体"/>
                <w:sz w:val="24"/>
              </w:rPr>
            </w:pPr>
            <w:r>
              <w:rPr>
                <w:rFonts w:hint="eastAsia" w:ascii="宋体" w:hAnsi="宋体" w:eastAsia="宋体" w:cs="宋体"/>
                <w:sz w:val="24"/>
              </w:rPr>
              <w:t>30</w:t>
            </w:r>
          </w:p>
        </w:tc>
        <w:tc>
          <w:tcPr>
            <w:tcW w:w="2256" w:type="dxa"/>
            <w:tcBorders>
              <w:tl2br w:val="nil"/>
              <w:tr2bl w:val="nil"/>
            </w:tcBorders>
            <w:shd w:val="clear" w:color="000000" w:fill="FFFFFF" w:themeFill="background1"/>
            <w:vAlign w:val="center"/>
          </w:tcPr>
          <w:p>
            <w:pPr>
              <w:jc w:val="center"/>
              <w:rPr>
                <w:rFonts w:ascii="宋体" w:hAnsi="宋体" w:eastAsia="宋体" w:cs="宋体"/>
                <w:sz w:val="24"/>
              </w:rPr>
            </w:pPr>
            <w:r>
              <w:rPr>
                <w:rFonts w:hint="eastAsia" w:ascii="宋体" w:hAnsi="宋体" w:eastAsia="宋体" w:cs="宋体"/>
                <w:sz w:val="24"/>
              </w:rPr>
              <w:t>5000x3300x1580(h)</w:t>
            </w:r>
          </w:p>
        </w:tc>
        <w:tc>
          <w:tcPr>
            <w:tcW w:w="2256" w:type="dxa"/>
            <w:tcBorders>
              <w:tl2br w:val="nil"/>
              <w:tr2bl w:val="nil"/>
            </w:tcBorders>
            <w:shd w:val="clear" w:color="000000" w:fill="FFFFFF" w:themeFill="background1"/>
            <w:vAlign w:val="center"/>
          </w:tcPr>
          <w:p>
            <w:pPr>
              <w:jc w:val="center"/>
              <w:rPr>
                <w:rFonts w:ascii="宋体" w:hAnsi="宋体" w:eastAsia="宋体" w:cs="宋体"/>
                <w:sz w:val="24"/>
              </w:rPr>
            </w:pPr>
            <w:r>
              <w:rPr>
                <w:rFonts w:hint="eastAsia" w:ascii="宋体" w:hAnsi="宋体" w:eastAsia="宋体" w:cs="宋体"/>
                <w:sz w:val="24"/>
              </w:rPr>
              <w:t>室外扶梯</w:t>
            </w:r>
          </w:p>
        </w:tc>
      </w:tr>
    </w:tbl>
    <w:p>
      <w:pPr>
        <w:tabs>
          <w:tab w:val="left" w:pos="0"/>
        </w:tabs>
        <w:spacing w:line="360" w:lineRule="auto"/>
        <w:ind w:firstLine="480"/>
        <w:jc w:val="center"/>
        <w:rPr>
          <w:rFonts w:ascii="宋体" w:hAnsi="宋体" w:eastAsia="宋体" w:cs="宋体"/>
          <w:sz w:val="24"/>
        </w:rPr>
      </w:pPr>
    </w:p>
    <w:p>
      <w:pPr>
        <w:pStyle w:val="5"/>
        <w:tabs>
          <w:tab w:val="left" w:pos="432"/>
          <w:tab w:val="clear" w:pos="720"/>
        </w:tabs>
        <w:ind w:left="0"/>
        <w:rPr>
          <w:rFonts w:ascii="宋体" w:hAnsi="宋体" w:eastAsia="宋体" w:cs="宋体"/>
        </w:rPr>
        <w:sectPr>
          <w:pgSz w:w="16840" w:h="11907" w:orient="landscape"/>
          <w:pgMar w:top="1440" w:right="1080" w:bottom="1440" w:left="1080" w:header="851" w:footer="851" w:gutter="0"/>
          <w:cols w:space="720" w:num="1"/>
        </w:sectPr>
      </w:pPr>
    </w:p>
    <w:p>
      <w:pPr>
        <w:tabs>
          <w:tab w:val="left" w:pos="0"/>
        </w:tabs>
        <w:spacing w:line="360" w:lineRule="auto"/>
        <w:rPr>
          <w:rFonts w:ascii="宋体" w:hAnsi="宋体" w:eastAsia="宋体" w:cs="宋体"/>
          <w:b/>
          <w:bCs/>
          <w:sz w:val="24"/>
        </w:rPr>
      </w:pPr>
      <w:r>
        <w:rPr>
          <w:rFonts w:hint="eastAsia" w:ascii="宋体" w:hAnsi="宋体" w:eastAsia="宋体" w:cs="宋体"/>
          <w:b/>
          <w:bCs/>
          <w:sz w:val="24"/>
        </w:rPr>
        <w:t>（二）垂直电梯的一般技术要求</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1、可靠性要求</w:t>
      </w:r>
    </w:p>
    <w:p>
      <w:pPr>
        <w:numPr>
          <w:ilvl w:val="0"/>
          <w:numId w:val="4"/>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要求连续工作每天24小时，全年365天。</w:t>
      </w:r>
    </w:p>
    <w:p>
      <w:pPr>
        <w:numPr>
          <w:ilvl w:val="0"/>
          <w:numId w:val="4"/>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电梯的使用寿命不少于20年，在投入使用20年内，制造商能保证配件的供应。</w:t>
      </w:r>
    </w:p>
    <w:p>
      <w:pPr>
        <w:numPr>
          <w:ilvl w:val="0"/>
          <w:numId w:val="4"/>
        </w:numPr>
        <w:tabs>
          <w:tab w:val="left" w:pos="0"/>
          <w:tab w:val="clear" w:pos="454"/>
        </w:tabs>
        <w:rPr>
          <w:rFonts w:ascii="宋体" w:hAnsi="宋体" w:eastAsia="宋体" w:cs="宋体"/>
          <w:sz w:val="24"/>
        </w:rPr>
      </w:pPr>
      <w:r>
        <w:rPr>
          <w:rFonts w:hint="eastAsia" w:ascii="宋体" w:hAnsi="宋体" w:eastAsia="宋体" w:cs="宋体"/>
          <w:sz w:val="24"/>
        </w:rPr>
        <w:t>满足《电梯监督检验和定期检验规则》TSG T7001-2023要求。</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2、技术指标要求</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(1)平层精度：≤±3mm。</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(2)电梯的平衡系数：40％～50％。</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(3)运行故障：电梯每起制动运行60000次失效(故障)次数不应超过3次。</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(4)控制柜失效(故障)：电梯每起制动运行在一年内控制柜失效(故障)次数不应超过2次。</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(5)噪声指数：轿厢≤45dB、开关门≤45dB、机房≤65dB。</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(6)称重精度：±1%。</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(7)振动加速度：垂直≤150mm/s²，水平≤130mm/s²。</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(8)起制动加速度：平均≥0.5m/s²，且在0.5-1m/s²之间可调，最大≤1.5m/s²，同时满足整个时间-速度曲线应平滑。</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3、配置要求</w:t>
      </w:r>
    </w:p>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电梯配置要求应包括但不限于或更优于下列条件：</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(1)电梯产品应采用投标品牌最新、最先进的产品，采用最新的可靠微处理器技术，具有高效率和舒适平稳的驱动性能，具有变频器能源再生功能和便于维修保养的故障诊断系统。</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(2)曳引机系统：要求采用高效节能具有良好动力特性的先进永磁同步无齿轮曳引机，具备高效曳引能力、优越的舒适感、全面的降噪设计、出色的使用寿命和节约机房空间。垂直电梯要求采用与电梯同品牌的原装整机部件。</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(3)控制系统：要求采用先进的串行通讯模块全电脑控制系统，微电脑双32位控制与模块化控制。垂直电梯要求采用与电梯同品牌的原装整机部件。</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(4)门机系统：要求采用VVVF控制技术的全电脑控制的变频器门机，具备开关门力矩检测装置和采用光幕形式多重保护装置。垂直电梯要求采用与电梯同品牌的原装整机部件。</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(5)电梯机房：要求按相关规范布置。</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(6)轿厢：在招标人提供的井道平面尺寸基础上，提供最大标准的轿厢，要求连接紧固，抗变形能力强，符合或高于国家安全标准，具备符合或高于国家安全标准以上的标准；轿厢顶部设置防</w:t>
      </w:r>
      <w:r>
        <w:rPr>
          <w:rFonts w:hint="eastAsia" w:ascii="宋体" w:hAnsi="宋体" w:eastAsia="宋体" w:cs="宋体"/>
          <w:sz w:val="24"/>
          <w:lang w:val="en-US" w:eastAsia="zh-CN"/>
        </w:rPr>
        <w:t>护栏</w:t>
      </w:r>
      <w:r>
        <w:rPr>
          <w:rFonts w:hint="eastAsia" w:ascii="宋体" w:hAnsi="宋体" w:eastAsia="宋体" w:cs="宋体"/>
          <w:sz w:val="24"/>
        </w:rPr>
        <w:t>，LED照明系统，轿厢顶部预留广播装置以及外线电话。轿厢侧壁及层门采用厚度不小于1.5厚304抗指纹发纹不锈钢；灯具及吊顶风格同项目装修设计协调一致，符合相关规范标准；轿厢内按规范要求设置304抗指纹发纹不锈钢扁平扶手。</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(7)电梯轿厢内操作面板：要求设有内层数显示器（具体要求与外层数显示器相同）、状态显示灯、对讲机和内呼叫按钮等。数字式轿厢位置显示器须对应轿厢的实际位置始终实时显示。箭头式运行方向指示器须对应轿厢准备或正在运动的方向始终实时显示。提供给乘客方便的操作和显示电梯的主要运行状态。</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(8)轿门：要求开关门时间短，开门灵活、安静快捷，材质采用304抗指纹发纹不锈钢。</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(9)光幕保护装置：要求射线上下端满至于门顶和门底，具备感应灵敏、平稳、抗干扰能力。光束≥150束。</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(10)层门（厅门）：安静快捷，采用304发纹不锈钢，具备高于国家标准的抗冲击能力和防扒开装置，满足消防规范耐火时间（不应低于2.0H）及等级要求。</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(11)层门门套：材质采用304发纹</w:t>
      </w:r>
      <w:r>
        <w:rPr>
          <w:rFonts w:hint="eastAsia" w:ascii="宋体" w:hAnsi="宋体" w:eastAsia="宋体" w:cs="宋体"/>
          <w:sz w:val="24"/>
          <w:lang w:val="en-US" w:eastAsia="zh-CN"/>
        </w:rPr>
        <w:t>不锈钢</w:t>
      </w:r>
      <w:r>
        <w:rPr>
          <w:rFonts w:hint="eastAsia" w:ascii="宋体" w:hAnsi="宋体" w:eastAsia="宋体" w:cs="宋体"/>
          <w:sz w:val="24"/>
        </w:rPr>
        <w:t>小门套。</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(12)楼层操作按钮和楼层显示器：要求结实耐用，带盲文按钮，并且能显示层数和电梯运行方向。</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(13)导轨：对重导轨及轿厢导轨均应采用相同材质的“T 型”实心导轨。载重≥1600kg的电梯，轿厢导轨重量≥18kg/m；其它载重电梯，轿厢导轨重量≥ 12.3kg/m。导轨及其附件和接头应有足够的强度，应能承受安全钳装置（或夹紧装置）等装置动作时产生的力和由于轿厢不均匀载荷引起的变形，此变形不得影响电梯的正常工作。在电梯的随机文件中应提供导轨的检验报告、质量报告、安装及使用说明等。</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(14)对重装置：对重架要求制作精密，抗变形能力强，采用实心型材，符合国家安全标准。采用滑动式导靴，对重铁不得采用工业废料，应符合环保要求。</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(15)补偿链（如有）：要求采用带胶套的无声补偿链。</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(16)随行电缆：要求采用电梯专用电缆，能满足规范要求。</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(17)井道内固定件：要求零部件结构合理，牢固耐用，抗锈蚀能力强。</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(18)井道照明：要求每层安装一组照明装置。</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(19)安全钳：要求采用渐近式安全钳。</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(20)启动装置：基站设在一层，启动装置使用专用钥匙启动和停止电梯（或锁梯）并在显示面板具有相应文字显示。</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(21)电梯应预留开放式通讯接口至医院建筑设备监控系统，上传的数据应具备下述功能：</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①启用直梯数量、直梯总数量、直梯故障数量；</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②监控电梯运行状态，即使在电梯本身故障情况下亦能报警。管理地区或某区域内的所有电梯，提供统一监测和信息化服务，为电梯故障施救提供快速服务和安全保障。实时检测电梯运行状态，显示包括：电梯名称、楼层、时间/日期、上行（↑）、下行（↓）、停层：↑或↓闪烁、故障报警；</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③电梯载重比例。</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(22)电梯管理权限要求：所有电梯楼层设置管理的权限均需下放给医院，或根据医院管理的需求，由电梯厂家无偿为医院提供电梯楼层设置的更改服务。</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(23)招标人在井道内安装弱电等设备，供应商需无偿配合。</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(24)牵引装置要求采用复合钢带或钢丝绳。</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4、功能设置</w:t>
      </w:r>
    </w:p>
    <w:p>
      <w:pPr>
        <w:tabs>
          <w:tab w:val="left" w:pos="0"/>
        </w:tabs>
        <w:spacing w:line="360" w:lineRule="auto"/>
        <w:ind w:firstLine="482" w:firstLineChars="200"/>
        <w:rPr>
          <w:rFonts w:ascii="宋体" w:hAnsi="宋体" w:eastAsia="宋体" w:cs="宋体"/>
          <w:sz w:val="24"/>
        </w:rPr>
      </w:pPr>
      <w:r>
        <w:rPr>
          <w:rFonts w:hint="eastAsia" w:ascii="宋体" w:hAnsi="宋体" w:eastAsia="宋体" w:cs="宋体"/>
          <w:b/>
          <w:bCs/>
          <w:sz w:val="24"/>
        </w:rPr>
        <w:t>垂直电梯应具备的功能，</w:t>
      </w:r>
      <w:r>
        <w:rPr>
          <w:rFonts w:hint="eastAsia" w:ascii="宋体" w:hAnsi="宋体" w:eastAsia="宋体" w:cs="宋体"/>
          <w:sz w:val="24"/>
        </w:rPr>
        <w:t>包含但不限于以下：</w:t>
      </w:r>
    </w:p>
    <w:tbl>
      <w:tblPr>
        <w:tblStyle w:val="27"/>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2"/>
        <w:gridCol w:w="1844"/>
        <w:gridCol w:w="6173"/>
        <w:gridCol w:w="6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blHeader/>
          <w:jc w:val="center"/>
        </w:trPr>
        <w:tc>
          <w:tcPr>
            <w:tcW w:w="692" w:type="dxa"/>
            <w:shd w:val="clear" w:color="auto" w:fill="DCD8C2" w:themeFill="background2" w:themeFillShade="E5"/>
            <w:noWrap/>
            <w:vAlign w:val="center"/>
          </w:tcPr>
          <w:p>
            <w:pPr>
              <w:tabs>
                <w:tab w:val="left" w:pos="0"/>
              </w:tabs>
              <w:spacing w:line="360" w:lineRule="auto"/>
              <w:jc w:val="center"/>
              <w:rPr>
                <w:rFonts w:ascii="宋体" w:hAnsi="宋体" w:eastAsia="宋体" w:cs="宋体"/>
                <w:b/>
                <w:bCs/>
                <w:sz w:val="24"/>
              </w:rPr>
            </w:pPr>
            <w:r>
              <w:rPr>
                <w:rFonts w:hint="eastAsia" w:ascii="宋体" w:hAnsi="宋体" w:eastAsia="宋体" w:cs="宋体"/>
                <w:b/>
                <w:bCs/>
                <w:sz w:val="24"/>
              </w:rPr>
              <w:t>序号</w:t>
            </w:r>
          </w:p>
        </w:tc>
        <w:tc>
          <w:tcPr>
            <w:tcW w:w="1844" w:type="dxa"/>
            <w:shd w:val="clear" w:color="auto" w:fill="DCD8C2" w:themeFill="background2" w:themeFillShade="E5"/>
            <w:noWrap/>
            <w:vAlign w:val="center"/>
          </w:tcPr>
          <w:p>
            <w:pPr>
              <w:tabs>
                <w:tab w:val="left" w:pos="0"/>
              </w:tabs>
              <w:spacing w:line="360" w:lineRule="auto"/>
              <w:jc w:val="center"/>
              <w:rPr>
                <w:rFonts w:ascii="宋体" w:hAnsi="宋体" w:eastAsia="宋体" w:cs="宋体"/>
                <w:b/>
                <w:bCs/>
                <w:sz w:val="24"/>
              </w:rPr>
            </w:pPr>
            <w:r>
              <w:rPr>
                <w:rFonts w:hint="eastAsia" w:ascii="宋体" w:hAnsi="宋体" w:eastAsia="宋体" w:cs="宋体"/>
                <w:b/>
                <w:bCs/>
                <w:sz w:val="24"/>
              </w:rPr>
              <w:t>功能</w:t>
            </w:r>
          </w:p>
        </w:tc>
        <w:tc>
          <w:tcPr>
            <w:tcW w:w="6173" w:type="dxa"/>
            <w:shd w:val="clear" w:color="auto" w:fill="DCD8C2" w:themeFill="background2" w:themeFillShade="E5"/>
            <w:noWrap/>
            <w:vAlign w:val="center"/>
          </w:tcPr>
          <w:p>
            <w:pPr>
              <w:tabs>
                <w:tab w:val="left" w:pos="0"/>
              </w:tabs>
              <w:spacing w:line="360" w:lineRule="auto"/>
              <w:jc w:val="center"/>
              <w:rPr>
                <w:rFonts w:ascii="宋体" w:hAnsi="宋体" w:eastAsia="宋体" w:cs="宋体"/>
                <w:b/>
                <w:bCs/>
                <w:sz w:val="24"/>
              </w:rPr>
            </w:pPr>
            <w:r>
              <w:rPr>
                <w:rFonts w:hint="eastAsia" w:ascii="宋体" w:hAnsi="宋体" w:eastAsia="宋体" w:cs="宋体"/>
                <w:b/>
                <w:bCs/>
                <w:sz w:val="24"/>
              </w:rPr>
              <w:t>说明</w:t>
            </w:r>
          </w:p>
        </w:tc>
        <w:tc>
          <w:tcPr>
            <w:tcW w:w="688" w:type="dxa"/>
            <w:shd w:val="clear" w:color="auto" w:fill="DCD8C2" w:themeFill="background2" w:themeFillShade="E5"/>
            <w:noWrap/>
            <w:vAlign w:val="center"/>
          </w:tcPr>
          <w:p>
            <w:pPr>
              <w:tabs>
                <w:tab w:val="left" w:pos="0"/>
              </w:tabs>
              <w:spacing w:line="360" w:lineRule="auto"/>
              <w:jc w:val="center"/>
              <w:rPr>
                <w:rFonts w:ascii="宋体" w:hAnsi="宋体" w:eastAsia="宋体" w:cs="宋体"/>
                <w:b/>
                <w:bCs/>
                <w:sz w:val="24"/>
              </w:rPr>
            </w:pPr>
            <w:r>
              <w:rPr>
                <w:rFonts w:hint="eastAsia" w:ascii="宋体" w:hAnsi="宋体" w:eastAsia="宋体" w:cs="宋体"/>
                <w:b/>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检修操作</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供维修人员使用的检修运行模式</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2" w:hRule="atLeast"/>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2</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电源故障保护</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检测到电源发生欠压、缺相、过流、过压时，则停止电梯运行</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3</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修正运行</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电梯运行状态可自动调整</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4</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逆行保护</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检测到电梯逆行时，则停止电梯运行</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5</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安全停靠</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电梯因故障停在门区外，控制器进行安全检测，若符合启动要求，则电梯就近停层开门</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6</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满载和直驶</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当电梯达到额定载荷时，只响应内选，不响应外部召唤</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1" w:hRule="atLeast"/>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7</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连续服务</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当某台电梯不能响应已登陆的层站召唤时，它将被排除在层站召唤服务外，由其它电梯来服务</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6" w:hRule="atLeast"/>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8</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轿内通风装置自动关闭</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电梯无方向待机一定时间后轿内通风装置自动关闭</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9</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轿内照明自动关闭</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电梯无方向待机一定时间后，轿内照明自动关闭</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 w:hRule="atLeast"/>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10</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轿厢应急照明</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当正常电源断电时，立即提供轿厢照明，应急照明照度50Lx以上，应急照明最低供电时间不低于2h。</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11</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消防运行</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若消防开关启动，立即取消所有层站召唤轿内指令，电梯返回到预定层站开门后，电梯消防员控制运行（该功能为消防电梯适用）</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12</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lang w:bidi="ar"/>
              </w:rPr>
              <w:t>防恶作剧功能</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lang w:bidi="ar"/>
              </w:rPr>
              <w:t>载重在额定载重 10%以下，但轿厢操纵箱上多数楼层信号被登记，微机自动检查出这个非自然状态，并取消已被登记的层站指令</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13</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关门保护</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当轿厢门不能完全关闭时，门反向开启</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14</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到站自动提前开门</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电梯运行到目标楼层，自动开门和关门</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15</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即时关门</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电梯停站开门后，按下关门按钮，门立即关闭</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16</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本层再开门</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关门过程，按下同方向层站召唤按钮，电梯重新开门</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17</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警铃</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供在特殊情况下乘客通过按动轿厢内报警按钮，及时通知外界</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18</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轿内运行方向指示</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在轿厢内用箭头表示电梯的运行方向</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19</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开（关）门响应指示</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按下开（关）按钮时，按钮灯同时点亮</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20</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轿厢称重装置</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用于测量轿厢重量，使一个合适的启动力矩作用电机</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21</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超载保护</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超载时不关门，超载灯亮，蜂鸣器响，电梯不启动</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22</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故障就近平层操作（非电源故障或安全回路故障）</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在非电源故障或安全回路故障情况下，设备就近平层，并开门疏散乘客</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23</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不能开门时救出运转（安全停靠）</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当电梯平层时，因为厅门地坎夹有小石头等异物门不能打开时，按“开门按钮”“关门按钮”、“选层按钮”动作时，电梯将运行到邻接的楼层，将乘客救出</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24</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故障电梯自动分离（联控）</w:t>
            </w:r>
          </w:p>
        </w:tc>
        <w:tc>
          <w:tcPr>
            <w:tcW w:w="6173"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当联控系统中的一台电梯发生故障时，会自动脱离系统以保证另一台电梯的正常运行</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7" w:hRule="atLeast"/>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25</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基准层返回（联控）</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当下列条件满足时，轿厢会自动返回基准层，开门待机：</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a）应答最后呼叫后在设定的时间内没有其他呼叫</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b）其他轿厢没有进入基准层返回运行状态</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c）在基准层上没有其他轿厢停靠</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26</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专用运转</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轿厢操作盘上设有专用运转开关，打开此开关后电梯只应答轿厢内选层，不应答候梯厅的呼叫</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27</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操作盘</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a）轿厢可应答轿厢内与候梯厅的呼叫</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b）当轿厢在停止状态时，可使用轿厢操作盘内的“上行”或“下行”按钮设定运行方向，可连续按压“上行”或“下行”按钮，亦可使门关闭</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c）如操作“通过”按钮时，轿厢即超越候梯厅呼叫，直达轿厢呼叫的最近楼层</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28</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故障记忆</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电梯应具有故障记忆功能，以便于维修查找</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29</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超载报警（蜂鸣提示）</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超过电梯载重量，轿厢蜂鸣器发出断续的警告声，同时阻止轿厢的关门动作</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30</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轿厢照明、风扇、噪音、自动关闭</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当电梯应答所有的呼叫之后在一段特定时间内仍无人使用时，电梯会自动切掉所有的轿厢照明及电扇，以减少能源浪费</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31</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禁止反向运行登录</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轿厢呼叫与轿厢实际运行方向相反时，反向轿厢呼叫无法登录</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32</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取消错误呼叫功能</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如果按错轿厢操作盘的选层按钮，再连续二次按此钮，登录可以被取消</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33</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开门时间自动调整</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a）应答呼叫后停止时，因呼叫种类不同（候梯厅呼叫和轿厢内选层），自动设定为最适当的开门状态保持时间</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b）根据开门后状况的变化（光幕、开门按钮之动作）自动设定为最适当的开门状态保持时间</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8" w:hRule="atLeast"/>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34</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自动再平层</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轿厢的平层是由水平装置自动调整在设定的准确度内，而无需担心由于乘客进出所引起的平层变化</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35</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强制关门</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一定时间以上处于开门状态时，蜂鸣器断续鸣响关门，以防止运行效率降低</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36</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门的异常检查</w:t>
            </w:r>
          </w:p>
          <w:p>
            <w:pPr>
              <w:tabs>
                <w:tab w:val="left" w:pos="0"/>
              </w:tabs>
              <w:spacing w:line="360" w:lineRule="auto"/>
              <w:jc w:val="center"/>
              <w:rPr>
                <w:rFonts w:ascii="宋体" w:hAnsi="宋体" w:eastAsia="宋体" w:cs="宋体"/>
                <w:sz w:val="24"/>
              </w:rPr>
            </w:pPr>
            <w:r>
              <w:rPr>
                <w:rFonts w:hint="eastAsia" w:ascii="宋体" w:hAnsi="宋体" w:eastAsia="宋体" w:cs="宋体"/>
                <w:sz w:val="24"/>
              </w:rPr>
              <w:t>装置</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如果轿厢门在预定时间内应开而不开或不完全开启时，轿厢门会自动关闭，再应答其他呼叫。</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37</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光幕</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光幕在整个开门高度的范围内覆盖了一层红外线光束，如果其中任何一个光束被遮挡，正在关闭的门将会停止关闭并重新打开</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38</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五方通话</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轿厢操作盘上装的对讲机，管理室（如保安/消防中心等）、电梯轿厢、电梯机房、电梯轿顶、电梯底坑五方对讲</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39</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警铃（轿顶）</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轿厢操作盘上装的紧急按钮。按此按钮，轿厢上部的蜂鸣器响起报警</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40</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操作盘指示信息</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轿厢操作盘的信息显示运行方向和运行楼层等信息</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41</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火灾管制运转</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一旦输入火灾管制运转指令，电梯将清除所有的已经登录的呼叫，并禁止新的呼叫登录，然后直接返回首层停机，并发出反馈信号</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42</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厅门到站钟</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电梯到达时，厅门到站钟报站，提示电梯到达</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43</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语音报站</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轿厢内语音报站</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44</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语音安抚</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在电梯发生故障停梯时，播放语音安抚乘客情绪</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45</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视频线缆内置</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视频电缆在随行电缆内置</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46</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司机专用操作功能</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在客梯、医梯、消防电梯及合用电梯中增加司机专用主操作功能和残疾人操作功能</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47</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楼宇电梯监视接口</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电梯可以为用户的智能管理系统提供离散型电梯运行状态信号</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48</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开门保持按钮</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在进入轿厢乘客较多会死机，需延长开门时间，可操作操作面板上的开门保持按钮</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49</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紧急消防员服务</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当电梯完成EFO功能操作，返回消防通道层并疏散乘客后电梯自动进入独立服务状态提供消防员使用（该功能为消防电梯适用）</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50</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群控功能</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该功能用于两台或两台以上同型号电梯成组控制时使用，使梯群能自动选择最合适的应答，避免电梯重复停梯</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51</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司机直驶</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进入司机状态后，按住操纵箱内NSB按钮，电梯不响应外召直接驶向目的楼层</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52</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自动恢复</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当供电系统突然断电后，电梯应立即安全制动；当供电恢复后，电梯经自动检测、校对后恢复正常运行</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53</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超速保护功能（双向）</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轿厢的速度超过额定速度时，电梯将自动切断控制电源，确保电梯安全运行</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54</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防终端跃程保护</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当电梯运行至楼层终端时，若运行减速未至预定值，系统将强迫减速，保护电梯安全运行</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55</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抱闸检测保护</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通过抱闸臂检测开关对抱闸的打开与闭合实时检测，当抱闸未按动作要求打开时，系统将禁止电梯启动</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56</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编码器信号丢失保护</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电梯在运行过程中如检测到编码器信号丢失或脉冲数过少，电梯停梯保护</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57</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接触器触点检测保护</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系统可检测电机回路接触器动作是否可靠，如发现异常（未吸合粘连），将停止电梯运行</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58</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等离子空气</w:t>
            </w:r>
          </w:p>
          <w:p>
            <w:pPr>
              <w:tabs>
                <w:tab w:val="left" w:pos="0"/>
              </w:tabs>
              <w:spacing w:line="360" w:lineRule="auto"/>
              <w:jc w:val="center"/>
              <w:rPr>
                <w:rFonts w:ascii="宋体" w:hAnsi="宋体" w:eastAsia="宋体" w:cs="宋体"/>
                <w:sz w:val="24"/>
              </w:rPr>
            </w:pPr>
            <w:r>
              <w:rPr>
                <w:rFonts w:hint="eastAsia" w:ascii="宋体" w:hAnsi="宋体" w:eastAsia="宋体" w:cs="宋体"/>
                <w:sz w:val="24"/>
              </w:rPr>
              <w:t>消毒器</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医疗综合大楼DT-9、DT-22、DT-24及发热门诊DT-3需配置等离子空气消毒器</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59</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数据采集功能</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预留绍兴市智慧电梯系统接口（数据采集功能）</w:t>
            </w:r>
          </w:p>
        </w:tc>
        <w:tc>
          <w:tcPr>
            <w:tcW w:w="688"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92"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60</w:t>
            </w:r>
          </w:p>
        </w:tc>
        <w:tc>
          <w:tcPr>
            <w:tcW w:w="184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到达电梯显示</w:t>
            </w:r>
          </w:p>
        </w:tc>
        <w:tc>
          <w:tcPr>
            <w:tcW w:w="6173"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群控电梯当按下外呼按钮时，同时能显示到达的电梯</w:t>
            </w:r>
          </w:p>
        </w:tc>
        <w:tc>
          <w:tcPr>
            <w:tcW w:w="688" w:type="dxa"/>
            <w:noWrap/>
            <w:vAlign w:val="center"/>
          </w:tcPr>
          <w:p>
            <w:pPr>
              <w:tabs>
                <w:tab w:val="left" w:pos="0"/>
              </w:tabs>
              <w:spacing w:line="360" w:lineRule="auto"/>
              <w:ind w:firstLine="480"/>
              <w:rPr>
                <w:rFonts w:ascii="宋体" w:hAnsi="宋体" w:eastAsia="宋体" w:cs="宋体"/>
                <w:sz w:val="24"/>
              </w:rPr>
            </w:pPr>
          </w:p>
        </w:tc>
      </w:tr>
    </w:tbl>
    <w:p>
      <w:pPr>
        <w:tabs>
          <w:tab w:val="left" w:pos="0"/>
        </w:tabs>
        <w:spacing w:line="360" w:lineRule="auto"/>
        <w:ind w:firstLine="480"/>
        <w:rPr>
          <w:rFonts w:ascii="宋体" w:hAnsi="宋体" w:eastAsia="宋体" w:cs="宋体"/>
          <w:sz w:val="24"/>
        </w:rPr>
      </w:pPr>
      <w:r>
        <w:rPr>
          <w:rFonts w:hint="eastAsia" w:ascii="宋体" w:hAnsi="宋体" w:eastAsia="宋体" w:cs="宋体"/>
          <w:b/>
          <w:sz w:val="24"/>
        </w:rPr>
        <w:t>备注：</w:t>
      </w:r>
      <w:r>
        <w:rPr>
          <w:rFonts w:hint="eastAsia" w:ascii="宋体" w:hAnsi="宋体" w:eastAsia="宋体" w:cs="宋体"/>
          <w:bCs/>
          <w:sz w:val="24"/>
        </w:rPr>
        <w:t>供应商推荐的其它合适的功能可能被接受，但推荐的新功能不得导致供应商的总报价超过最高限价。如推荐的新功能确需增加费用的，需向招标人说明具体金额，招标人在中标（成交）后供货前依据功能的必要性及价格等因素考虑是否接受，否则视作免费提供</w:t>
      </w:r>
      <w:r>
        <w:rPr>
          <w:rFonts w:hint="eastAsia" w:ascii="宋体" w:hAnsi="宋体" w:eastAsia="宋体" w:cs="宋体"/>
          <w:sz w:val="24"/>
        </w:rPr>
        <w:t>。</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5、安全设备</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垂直电梯应具备以下安全设备（包括但不限于），且相应安全设备应符合有关标准的规定：</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(1)电机过电流、过负荷保护；断相和错相保护</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(2)上、下终点开关和上、下极限开关</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(3)缓冲器</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(4)限速器</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(5)安全钳</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(6)层门安全设施</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(7)轿门安全设施</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(8)紧急停止按钮</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(9)轿内、轿顶检修安全保护</w:t>
      </w:r>
    </w:p>
    <w:p>
      <w:pPr>
        <w:tabs>
          <w:tab w:val="left" w:pos="0"/>
        </w:tabs>
        <w:spacing w:line="360" w:lineRule="auto"/>
        <w:rPr>
          <w:rFonts w:ascii="宋体" w:hAnsi="宋体" w:eastAsia="宋体" w:cs="宋体"/>
          <w:sz w:val="24"/>
        </w:rPr>
      </w:pPr>
      <w:r>
        <w:rPr>
          <w:rFonts w:hint="eastAsia" w:ascii="宋体" w:hAnsi="宋体" w:eastAsia="宋体" w:cs="宋体"/>
          <w:b/>
          <w:bCs/>
          <w:sz w:val="24"/>
        </w:rPr>
        <w:t>6、机器人乘坐电梯技术要求</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本项目需规划建设AGV机器人物流系统，AGV垂直运输需通过电梯来完成，待招标人明确AGV机器人方案后，要求与方案相关的电梯设备无条件免费开放相关接口与协议，配合物流厂家安装感应模块，满足机器人乘梯垂直运输要求。具体如下：</w:t>
      </w:r>
    </w:p>
    <w:p>
      <w:pPr>
        <w:numPr>
          <w:ilvl w:val="0"/>
          <w:numId w:val="5"/>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 xml:space="preserve">机器人可控制电梯指令内容：上召唤、下召唤、内召唤、平层开门； </w:t>
      </w:r>
    </w:p>
    <w:p>
      <w:pPr>
        <w:numPr>
          <w:ilvl w:val="0"/>
          <w:numId w:val="5"/>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 xml:space="preserve">机器人可获取电梯信号内容：电梯运行状态（正常或异常）、电梯运行信息（当前轿厢楼层、运行方向）、开门到位信号、内召唤/上召唤/下召唤结果； </w:t>
      </w:r>
    </w:p>
    <w:p>
      <w:pPr>
        <w:numPr>
          <w:ilvl w:val="0"/>
          <w:numId w:val="5"/>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AGV机器人专梯专用；其它机器人需与人混乘；</w:t>
      </w:r>
    </w:p>
    <w:p>
      <w:pPr>
        <w:numPr>
          <w:ilvl w:val="0"/>
          <w:numId w:val="5"/>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使用RJ45网络通讯进行数据交换。</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（三）自动扶梯的一般技术要求</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1、可靠性要求</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(1)要求连续工作每天24小时，全年365天。</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(2)正常使用寿命期要求10万小时以上。</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2、技术指标要求</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(1)制动距离：空载和有载（120kg/级）向下运行时，制动距离应在0.2m～1.2m之间；</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(2)梯级空载速度与额定速度之间的最大速度偏差：≤±5％（在额定频率和电压下）；</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(3)噪音指标：自动扶梯运行噪音≤60 dB（A）（扶梯中心线上方1.0m处测定）；</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(4)空载运行时梯级面上测得的垂直和水平振动加速度：≤0.5m/s2；</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(5)扶手带与梯级速度偏差：0～+2%；</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(6)扶壁板（扶手）高度：1000mm；</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(7)梯级链、驱动装置的驱动链、扶手带驱动链的安全系数：≥5；</w:t>
      </w:r>
    </w:p>
    <w:p>
      <w:pPr>
        <w:tabs>
          <w:tab w:val="left" w:pos="0"/>
        </w:tabs>
        <w:spacing w:line="360" w:lineRule="auto"/>
        <w:ind w:firstLine="454"/>
        <w:rPr>
          <w:rFonts w:ascii="宋体" w:hAnsi="宋体" w:eastAsia="宋体" w:cs="宋体"/>
          <w:sz w:val="24"/>
        </w:rPr>
      </w:pPr>
      <w:r>
        <w:rPr>
          <w:rFonts w:hint="eastAsia" w:ascii="宋体" w:hAnsi="宋体" w:eastAsia="宋体" w:cs="宋体"/>
          <w:sz w:val="24"/>
        </w:rPr>
        <w:t>(8)自动扶梯每起制动60000次中失效故障次数不得超过3次；</w:t>
      </w:r>
    </w:p>
    <w:p>
      <w:pPr>
        <w:tabs>
          <w:tab w:val="left" w:pos="0"/>
        </w:tabs>
        <w:spacing w:line="360" w:lineRule="auto"/>
        <w:ind w:firstLine="454"/>
        <w:rPr>
          <w:rFonts w:ascii="宋体" w:hAnsi="宋体" w:eastAsia="宋体" w:cs="宋体"/>
          <w:b/>
          <w:bCs/>
          <w:sz w:val="24"/>
        </w:rPr>
      </w:pPr>
      <w:r>
        <w:rPr>
          <w:rFonts w:hint="eastAsia" w:ascii="宋体" w:hAnsi="宋体" w:eastAsia="宋体" w:cs="宋体"/>
          <w:bCs/>
          <w:sz w:val="24"/>
        </w:rPr>
        <w:t>(9)</w:t>
      </w:r>
      <w:r>
        <w:rPr>
          <w:rFonts w:hint="eastAsia" w:ascii="宋体" w:hAnsi="宋体" w:eastAsia="宋体" w:cs="宋体"/>
          <w:sz w:val="24"/>
        </w:rPr>
        <w:t>自动扶梯每起制动60000次中控制柜失效故障次数不得超过3次。</w:t>
      </w:r>
    </w:p>
    <w:p>
      <w:pPr>
        <w:tabs>
          <w:tab w:val="left" w:pos="0"/>
        </w:tabs>
        <w:spacing w:line="360" w:lineRule="auto"/>
        <w:rPr>
          <w:rFonts w:ascii="宋体" w:hAnsi="宋体" w:eastAsia="宋体" w:cs="宋体"/>
          <w:sz w:val="24"/>
        </w:rPr>
      </w:pPr>
      <w:r>
        <w:rPr>
          <w:rFonts w:hint="eastAsia" w:ascii="宋体" w:hAnsi="宋体" w:eastAsia="宋体" w:cs="宋体"/>
          <w:b/>
          <w:bCs/>
          <w:sz w:val="24"/>
        </w:rPr>
        <w:t>3、配置要求</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本次采购的自动扶梯为室外使用，包括控制柜、接触器、变频器、曳引机、桁架、扶手导轨、扶手带、扶手入口装置、梯级、梯级链条、前沿板、围裙板、润滑系统等。应包括但不限于或更优于下列条件：</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扶手驱动：采用大摩擦轮驱动。要求驱动系统中的主要部件采用知名品牌产品；</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控制系统：采用32位微机处理系统，逻辑运算能力更强，速度快，控制精准。要求所有微机电脑板及变频器等主要部件采用知名品牌产品；</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主机：与扶梯同品牌或与该品牌扶梯配套的、高端的、高性能产品；其主要零部件必须先进、可靠、稳定；</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桁架：采用优质角钢或矩形方管焊接而成，表面涂有防腐蚀漆，自重轻，强度大，不易变形；</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扶梯前沿板下设计横梁，防止坠落，动静分离，以保证人员检修安全。具备前沿板打开保护装置（电子感应开关），一旦前沿板打开，扶梯自动停止运行；</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内盖板和控制板：两边入口的内盖板和控制板：此控制板与内盖板处于同一平面，控制板应装有钥匙启动、方向、正常停止按钮、红色紧急停机按钮（附有不锈钢护圈）以防止乘客错误接触。须有调整扶手带压力装置。须装设围裙板安全刷。在扶手转向端的扶手带入口处应设异物保护装置,并有安全保护开关；</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梯路系统：采用高强度耐磨性良好的聚氨酯滚轮和高强度板式链，抗腐蚀能力强，使用寿命长；</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扶手带：扶梯可自动或手动启动运行，在上下着地点有自动/手动转换开关，以实现自动或手工操作的转换；</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所有扶梯加装外防护栏杆，栏板采用6+6夹胶超白钢化玻璃配304不锈钢立柱及边框。厚度参考内扶手栏杆且满足规范要求，高度不小于1200mm。最终高度由招标人确认；</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扶梯应预留开放式通讯接口至医院建筑设备监控系统，上传的数据应具备下述功能：</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①启用扶梯数量、扶梯总数量、扶梯故障数量；</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②监控扶梯运行状态，即使在扶梯本身故障情况下亦能报警。</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扶梯上下水平梯级数，上下端各3个水平梯级；</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润滑系统：自动加油系统，配置集油槽；</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监测系统：故障检测系统；</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自动扶梯驱动站、转向站应具备一定的防雨水和防锈蚀设计；</w:t>
      </w:r>
    </w:p>
    <w:p>
      <w:pPr>
        <w:numPr>
          <w:ilvl w:val="0"/>
          <w:numId w:val="6"/>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自动扶梯的规格以现场具备的条件为准，供应商需根据现场土建结构的情况调整扶梯的规格。</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4、功能设置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自动扶梯应具备的功能，包含但不限于以下：</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故障控制显示功能；</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节能速度：</w:t>
      </w:r>
    </w:p>
    <w:p>
      <w:pPr>
        <w:tabs>
          <w:tab w:val="left" w:pos="0"/>
        </w:tabs>
        <w:spacing w:line="360" w:lineRule="auto"/>
        <w:ind w:left="-2" w:leftChars="-1" w:firstLine="600" w:firstLineChars="250"/>
        <w:rPr>
          <w:rFonts w:ascii="宋体" w:hAnsi="宋体" w:eastAsia="宋体" w:cs="宋体"/>
          <w:sz w:val="24"/>
        </w:rPr>
      </w:pPr>
      <w:r>
        <w:rPr>
          <w:rFonts w:hint="eastAsia" w:ascii="宋体" w:hAnsi="宋体" w:eastAsia="宋体" w:cs="宋体"/>
          <w:sz w:val="24"/>
        </w:rPr>
        <w:t>①节能速度由变频器实现。扶梯上无乘客时，扶梯运行1分钟后 (1到3分钟可调），扶梯能自动转入这种节能速度慢速运行，节约能源，减少机器的磨损。这种速度应可通过设在扶梯两端的转换开关（两位钥匙开关）方便地切除或联上。扶梯检测到 5 分钟内无人（3到10分钟可调)，扶梯应能转入停止等待运行状态，检测到有人进入时，应能自动进入额定运行速度。自动扶梯节能速度切除开关设置在交通流量灯下方。</w:t>
      </w:r>
    </w:p>
    <w:p>
      <w:pPr>
        <w:tabs>
          <w:tab w:val="left" w:pos="0"/>
        </w:tabs>
        <w:spacing w:line="360" w:lineRule="auto"/>
        <w:ind w:left="-2" w:leftChars="-1" w:firstLine="480" w:firstLineChars="200"/>
        <w:rPr>
          <w:rFonts w:ascii="宋体" w:hAnsi="宋体" w:eastAsia="宋体" w:cs="宋体"/>
          <w:sz w:val="24"/>
        </w:rPr>
      </w:pPr>
      <w:r>
        <w:rPr>
          <w:rFonts w:hint="eastAsia" w:ascii="宋体" w:hAnsi="宋体" w:eastAsia="宋体" w:cs="宋体"/>
          <w:sz w:val="24"/>
        </w:rPr>
        <w:t>②判断有无乘客的传感器应采用光电感应开关和雷达探测实现，安装在扶梯设备本体上，牢固可靠，其作用范围一般应在离梳齿板 1.5米左右时起作用。传感器的动作应灵敏。节能停梯模式逆向进入，自动扶梯应启动 （运行时间不小于 10s），同时设置蜂鸣器报警，报警声音可调。</w:t>
      </w:r>
    </w:p>
    <w:p>
      <w:pPr>
        <w:tabs>
          <w:tab w:val="left" w:pos="0"/>
        </w:tabs>
        <w:spacing w:line="360" w:lineRule="auto"/>
        <w:ind w:left="-2" w:leftChars="-1" w:firstLine="480" w:firstLineChars="200"/>
        <w:rPr>
          <w:rFonts w:ascii="宋体" w:hAnsi="宋体" w:eastAsia="宋体" w:cs="宋体"/>
          <w:sz w:val="24"/>
        </w:rPr>
      </w:pPr>
      <w:r>
        <w:rPr>
          <w:rFonts w:hint="eastAsia" w:ascii="宋体" w:hAnsi="宋体" w:eastAsia="宋体" w:cs="宋体"/>
          <w:sz w:val="24"/>
        </w:rPr>
        <w:t>③扶梯采用全变频控制方式。</w:t>
      </w:r>
    </w:p>
    <w:p>
      <w:pPr>
        <w:tabs>
          <w:tab w:val="left" w:pos="0"/>
        </w:tabs>
        <w:spacing w:line="360" w:lineRule="auto"/>
        <w:ind w:left="-2" w:leftChars="-1" w:firstLine="480" w:firstLineChars="200"/>
        <w:rPr>
          <w:rFonts w:ascii="宋体" w:hAnsi="宋体" w:eastAsia="宋体" w:cs="宋体"/>
          <w:sz w:val="24"/>
        </w:rPr>
      </w:pPr>
      <w:r>
        <w:rPr>
          <w:rFonts w:hint="eastAsia" w:ascii="宋体" w:hAnsi="宋体" w:eastAsia="宋体" w:cs="宋体"/>
          <w:sz w:val="24"/>
        </w:rPr>
        <w:t>④应确保运行速度之间的转换对乘客是安全的。速度转换过程的加速度不应大于 0.1m/s，但总的加速时间不应超过 6秒，整个速度转换过程应平稳。</w:t>
      </w:r>
    </w:p>
    <w:p>
      <w:pPr>
        <w:tabs>
          <w:tab w:val="left" w:pos="0"/>
        </w:tabs>
        <w:spacing w:line="360" w:lineRule="auto"/>
        <w:ind w:left="-2" w:leftChars="-1" w:firstLine="480" w:firstLineChars="200"/>
        <w:rPr>
          <w:rFonts w:ascii="宋体" w:hAnsi="宋体" w:eastAsia="宋体" w:cs="宋体"/>
          <w:sz w:val="24"/>
        </w:rPr>
      </w:pPr>
      <w:r>
        <w:rPr>
          <w:rFonts w:hint="eastAsia" w:ascii="宋体" w:hAnsi="宋体" w:eastAsia="宋体" w:cs="宋体"/>
          <w:sz w:val="24"/>
        </w:rPr>
        <w:t>⑤投标人提供节能运行的设计原理图主电路图及相关说明以及变频器的类型、型号、主参数及功率选用。</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检修装置；</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工作制动器；</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急停开关；</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梳齿板保护；</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检修插座；</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扶手带入口保护装置；</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梯级塌陷和滚轮破碎安全保护装置；</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错缺相保护装置；</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电子式超速和防逆转检测装置；</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主回路断路器；</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停止开关；</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接地保护；</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检修盒；</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电机过热保护；</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手提行灯；</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手提行灯插座；</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前沿板提升装置；</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手动盘车；</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电机风扇罩保护开关；</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扶梯安全工具；</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扶手速度监测；</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警示标签；</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主机抱闸打开监测；</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梯级丢失检测开关(电子式)；</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扶手带长度补偿装置；</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梯级链轮监控装置；</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防夹装置（裙板刷）：银色铝型材底座；</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前沿板打开检测开关；</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主驱动链张紧检测；</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自动润滑；</w:t>
      </w:r>
    </w:p>
    <w:p>
      <w:pPr>
        <w:numPr>
          <w:ilvl w:val="0"/>
          <w:numId w:val="7"/>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变频功能。</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6、安全设备</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垂直电梯应具备以下安全设备（包括但不限于），且相应安全设备应符合有关标准的规定：</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1）扶手带入口安全装置；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2）扶手带断带保护装置；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3）过流保护装置；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4）紧急停止按钮和故障显示；</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5）围裙板安全保护装置；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6）驱动链安全装置；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7）梯级链保护安全装置；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8）梯级异常行走检测装置；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9）梯级下陷安全装置；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10）踢脚板安全装置；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11）电器回路保护装置；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12）警</w:t>
      </w:r>
      <w:r>
        <w:rPr>
          <w:rFonts w:hint="eastAsia" w:ascii="宋体" w:hAnsi="宋体" w:eastAsia="宋体" w:cs="宋体"/>
          <w:sz w:val="24"/>
          <w:lang w:val="en-US" w:eastAsia="zh-CN"/>
        </w:rPr>
        <w:t>戒</w:t>
      </w:r>
      <w:r>
        <w:rPr>
          <w:rFonts w:hint="eastAsia" w:ascii="宋体" w:hAnsi="宋体" w:eastAsia="宋体" w:cs="宋体"/>
          <w:sz w:val="24"/>
        </w:rPr>
        <w:t>线；</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13）超速和非操作逆转保护装置；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14）超速保护装置；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15）梳齿板安全装置；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16）梳齿板安全开关；</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17）错相断相保护；</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18）有检修装置；</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19）围裙板刷功能。</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 xml:space="preserve">（四）电梯运行监控系统 </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要求建设电梯运行控制系统，主要内容包括：</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1、对所有电梯开通运行监控和控制系统；</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 xml:space="preserve">2、该系统包括电梯的实时运行状态，电梯内视频图像，电梯的开关门状态，运行次数，故障显示，故障报警，故障代码以及故障代码的所有解释和处理方法； </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 xml:space="preserve">3、监控系统安装于电梯机房监控室，位置由发包人确定； </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 xml:space="preserve">4、系统应包含但不限于系统安装和运行所需的软件和 27 寸及以上的一流品牌一体机两台（（Intel I5及以上处理器，独立显卡 4G 显存以上，内存 8G,硬盘 1T）； </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 xml:space="preserve">5、软件安装将不受时间和次数限制还包括电梯使用年限内的免费升级服务； </w:t>
      </w:r>
    </w:p>
    <w:p>
      <w:pPr>
        <w:tabs>
          <w:tab w:val="left" w:pos="0"/>
        </w:tabs>
        <w:spacing w:line="360" w:lineRule="auto"/>
        <w:ind w:firstLine="480"/>
        <w:rPr>
          <w:rFonts w:ascii="宋体" w:hAnsi="宋体" w:eastAsia="宋体" w:cs="宋体"/>
          <w:sz w:val="24"/>
        </w:rPr>
      </w:pPr>
      <w:r>
        <w:rPr>
          <w:rFonts w:hint="eastAsia" w:ascii="宋体" w:hAnsi="宋体" w:eastAsia="宋体" w:cs="宋体"/>
          <w:sz w:val="24"/>
        </w:rPr>
        <w:t>6、以上系统在安装完后和电梯一起验收和移交。</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（五）电梯装修要求</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1、垂直电梯装修要求</w:t>
      </w:r>
    </w:p>
    <w:tbl>
      <w:tblPr>
        <w:tblStyle w:val="27"/>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gridCol w:w="1404"/>
        <w:gridCol w:w="6022"/>
        <w:gridCol w:w="1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blHeader/>
          <w:jc w:val="center"/>
        </w:trPr>
        <w:tc>
          <w:tcPr>
            <w:tcW w:w="1016" w:type="dxa"/>
            <w:shd w:val="clear" w:color="auto" w:fill="DCD8C2" w:themeFill="background2" w:themeFillShade="E5"/>
            <w:noWrap/>
            <w:vAlign w:val="center"/>
          </w:tcPr>
          <w:p>
            <w:pPr>
              <w:tabs>
                <w:tab w:val="left" w:pos="0"/>
              </w:tabs>
              <w:spacing w:line="360" w:lineRule="auto"/>
              <w:jc w:val="center"/>
              <w:rPr>
                <w:rFonts w:ascii="宋体" w:hAnsi="宋体" w:eastAsia="宋体" w:cs="宋体"/>
                <w:b/>
                <w:bCs/>
                <w:sz w:val="24"/>
              </w:rPr>
            </w:pPr>
            <w:r>
              <w:rPr>
                <w:rFonts w:hint="eastAsia" w:ascii="宋体" w:hAnsi="宋体" w:eastAsia="宋体" w:cs="宋体"/>
                <w:b/>
                <w:bCs/>
                <w:sz w:val="24"/>
              </w:rPr>
              <w:t>序号</w:t>
            </w:r>
          </w:p>
        </w:tc>
        <w:tc>
          <w:tcPr>
            <w:tcW w:w="1404" w:type="dxa"/>
            <w:shd w:val="clear" w:color="auto" w:fill="DCD8C2" w:themeFill="background2" w:themeFillShade="E5"/>
            <w:noWrap/>
            <w:vAlign w:val="center"/>
          </w:tcPr>
          <w:p>
            <w:pPr>
              <w:tabs>
                <w:tab w:val="left" w:pos="0"/>
              </w:tabs>
              <w:spacing w:line="360" w:lineRule="auto"/>
              <w:jc w:val="center"/>
              <w:rPr>
                <w:rFonts w:ascii="宋体" w:hAnsi="宋体" w:eastAsia="宋体" w:cs="宋体"/>
                <w:b/>
                <w:bCs/>
                <w:sz w:val="24"/>
              </w:rPr>
            </w:pPr>
            <w:r>
              <w:rPr>
                <w:rFonts w:hint="eastAsia" w:ascii="宋体" w:hAnsi="宋体" w:eastAsia="宋体" w:cs="宋体"/>
                <w:b/>
                <w:bCs/>
                <w:sz w:val="24"/>
              </w:rPr>
              <w:t>部 位</w:t>
            </w:r>
          </w:p>
        </w:tc>
        <w:tc>
          <w:tcPr>
            <w:tcW w:w="6022" w:type="dxa"/>
            <w:shd w:val="clear" w:color="auto" w:fill="DCD8C2" w:themeFill="background2" w:themeFillShade="E5"/>
            <w:noWrap/>
            <w:vAlign w:val="center"/>
          </w:tcPr>
          <w:p>
            <w:pPr>
              <w:tabs>
                <w:tab w:val="left" w:pos="0"/>
              </w:tabs>
              <w:spacing w:line="360" w:lineRule="auto"/>
              <w:jc w:val="center"/>
              <w:rPr>
                <w:rFonts w:ascii="宋体" w:hAnsi="宋体" w:eastAsia="宋体" w:cs="宋体"/>
                <w:b/>
                <w:bCs/>
                <w:sz w:val="24"/>
              </w:rPr>
            </w:pPr>
            <w:r>
              <w:rPr>
                <w:rFonts w:hint="eastAsia" w:ascii="宋体" w:hAnsi="宋体" w:eastAsia="宋体" w:cs="宋体"/>
                <w:b/>
                <w:bCs/>
                <w:sz w:val="24"/>
              </w:rPr>
              <w:t>装修要求</w:t>
            </w:r>
          </w:p>
        </w:tc>
        <w:tc>
          <w:tcPr>
            <w:tcW w:w="1216" w:type="dxa"/>
            <w:shd w:val="clear" w:color="auto" w:fill="DCD8C2" w:themeFill="background2" w:themeFillShade="E5"/>
            <w:noWrap/>
            <w:vAlign w:val="center"/>
          </w:tcPr>
          <w:p>
            <w:pPr>
              <w:tabs>
                <w:tab w:val="left" w:pos="0"/>
              </w:tabs>
              <w:spacing w:line="360" w:lineRule="auto"/>
              <w:jc w:val="center"/>
              <w:rPr>
                <w:rFonts w:ascii="宋体" w:hAnsi="宋体" w:eastAsia="宋体" w:cs="宋体"/>
                <w:b/>
                <w:bCs/>
                <w:sz w:val="24"/>
              </w:rPr>
            </w:pPr>
            <w:r>
              <w:rPr>
                <w:rFonts w:hint="eastAsia" w:ascii="宋体" w:hAnsi="宋体" w:eastAsia="宋体" w:cs="宋体"/>
                <w:b/>
                <w:bCs/>
                <w:sz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w:t>
            </w:r>
          </w:p>
        </w:tc>
        <w:tc>
          <w:tcPr>
            <w:tcW w:w="140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轿厢壁</w:t>
            </w:r>
          </w:p>
        </w:tc>
        <w:tc>
          <w:tcPr>
            <w:tcW w:w="6022"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1.5mm及以上厚SUS304抗指纹发纹不锈钢面板，其中无障碍电梯轿厢正面采用镜面不锈钢</w:t>
            </w:r>
          </w:p>
        </w:tc>
        <w:tc>
          <w:tcPr>
            <w:tcW w:w="1216"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1016"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2</w:t>
            </w:r>
          </w:p>
        </w:tc>
        <w:tc>
          <w:tcPr>
            <w:tcW w:w="140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地面</w:t>
            </w:r>
          </w:p>
        </w:tc>
        <w:tc>
          <w:tcPr>
            <w:tcW w:w="6022"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采用耐磨2mm厚PVC同质透芯卷材地板</w:t>
            </w:r>
          </w:p>
        </w:tc>
        <w:tc>
          <w:tcPr>
            <w:tcW w:w="1216"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6"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3</w:t>
            </w:r>
          </w:p>
        </w:tc>
        <w:tc>
          <w:tcPr>
            <w:tcW w:w="140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轿厢天花</w:t>
            </w:r>
          </w:p>
        </w:tc>
        <w:tc>
          <w:tcPr>
            <w:tcW w:w="6022"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豪华型，顶部装饰含灯光、通风扇（手动及自动控制）；轿厢顶需留有摄像机接口（供货厂商须负责供应和安装视频同轴电缆，视频同轴电缆终结在各电梯机房的接合箱内）。电梯内视频监控电缆必须选用专用的带屏蔽视频随行电缆或专用随行网线，电缆须从轿厢接到电梯机房。吊顶完成后确保轿厢净高不小于2.6米</w:t>
            </w:r>
          </w:p>
        </w:tc>
        <w:tc>
          <w:tcPr>
            <w:tcW w:w="1216" w:type="dxa"/>
            <w:noWrap/>
            <w:vAlign w:val="center"/>
          </w:tcPr>
          <w:p>
            <w:pPr>
              <w:tabs>
                <w:tab w:val="left" w:pos="0"/>
              </w:tabs>
              <w:spacing w:line="360" w:lineRule="auto"/>
              <w:rPr>
                <w:rFonts w:ascii="宋体" w:hAnsi="宋体" w:eastAsia="宋体" w:cs="宋体"/>
                <w:sz w:val="24"/>
              </w:rPr>
            </w:pPr>
            <w:r>
              <w:rPr>
                <w:rFonts w:hint="eastAsia" w:ascii="宋体" w:hAnsi="宋体" w:eastAsia="宋体" w:cs="宋体"/>
                <w:sz w:val="24"/>
              </w:rPr>
              <w:t>由招标人在样本范围内任意选择，设备价格不作调整。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1016"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4</w:t>
            </w:r>
          </w:p>
        </w:tc>
        <w:tc>
          <w:tcPr>
            <w:tcW w:w="140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轿门</w:t>
            </w:r>
          </w:p>
        </w:tc>
        <w:tc>
          <w:tcPr>
            <w:tcW w:w="6022"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自动门，SUS304抗指纹发纹不锈钢，壁厚不小于1.5mm，红外线光幕保护；</w:t>
            </w:r>
          </w:p>
        </w:tc>
        <w:tc>
          <w:tcPr>
            <w:tcW w:w="1216"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5</w:t>
            </w:r>
          </w:p>
        </w:tc>
        <w:tc>
          <w:tcPr>
            <w:tcW w:w="140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操作盘</w:t>
            </w:r>
          </w:p>
        </w:tc>
        <w:tc>
          <w:tcPr>
            <w:tcW w:w="6022"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载重量1350KG及以上电梯轿厢两侧均配一体化操作盘，如遇无障碍电梯一侧操作盘可以是横向一体化副操纵箱（即操作盘总数不超过2个），其它载重量电梯则按标准配置；</w:t>
            </w:r>
          </w:p>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设楼层显示器、楼层按扭、运行方向指示、开关门按扭等，控制面板采用1.2mm及以上厚SUS304抗指纹发纹不锈钢；每台电梯轿厢内均配全彩液晶显示屏（不小于10.4寸），带高亮度显示；</w:t>
            </w:r>
          </w:p>
          <w:p>
            <w:pPr>
              <w:spacing w:line="360" w:lineRule="auto"/>
              <w:rPr>
                <w:rFonts w:ascii="宋体" w:hAnsi="宋体" w:eastAsia="宋体" w:cs="宋体"/>
                <w:sz w:val="24"/>
              </w:rPr>
            </w:pPr>
            <w:r>
              <w:rPr>
                <w:rFonts w:hint="eastAsia" w:ascii="宋体" w:hAnsi="宋体" w:eastAsia="宋体" w:cs="宋体"/>
                <w:sz w:val="24"/>
              </w:rPr>
              <w:t>楼层按扭及开关门按扭均采用SUS304抗指纹发纹不锈钢材质（灯显）；其中无障碍电梯需设置横向一体化副操纵箱、盲文按钮（触摸式发光二极管背景照明的SUS304抗指纹发纹不锈钢按钮），离地高度为距地0.9~1.1米。</w:t>
            </w:r>
          </w:p>
        </w:tc>
        <w:tc>
          <w:tcPr>
            <w:tcW w:w="1216" w:type="dxa"/>
            <w:vMerge w:val="restart"/>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由招标人在样本范围内任意选择，设备价格不作调整。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6</w:t>
            </w:r>
          </w:p>
        </w:tc>
        <w:tc>
          <w:tcPr>
            <w:tcW w:w="140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呼梯盘及楼层显示</w:t>
            </w:r>
          </w:p>
        </w:tc>
        <w:tc>
          <w:tcPr>
            <w:tcW w:w="6022"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每台电梯独立配置召唤盒及按钮（包括并联或群控的电梯）。</w:t>
            </w:r>
          </w:p>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操作盘采用一体化，1.5mm及以上厚SUS304抗指纹发纹不锈钢面板；</w:t>
            </w:r>
          </w:p>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微动发光二极管照明的按扭（采用SUS304抗指纹发纹不锈钢材质）；</w:t>
            </w:r>
          </w:p>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电梯的每层外召带真彩液晶显示（不小于4.3寸），可以液晶显示轿厢运行方向及楼层位置；</w:t>
            </w:r>
          </w:p>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其中无障碍电梯的每层门厅配置无障碍呼叫按钮、无障碍电梯侯梯厅应有显示装置和抵达音响；</w:t>
            </w:r>
          </w:p>
        </w:tc>
        <w:tc>
          <w:tcPr>
            <w:tcW w:w="1216" w:type="dxa"/>
            <w:vMerge w:val="continue"/>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7</w:t>
            </w:r>
          </w:p>
        </w:tc>
        <w:tc>
          <w:tcPr>
            <w:tcW w:w="140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轿厢门坎</w:t>
            </w:r>
          </w:p>
        </w:tc>
        <w:tc>
          <w:tcPr>
            <w:tcW w:w="6022"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硬质铝合金。</w:t>
            </w:r>
          </w:p>
        </w:tc>
        <w:tc>
          <w:tcPr>
            <w:tcW w:w="1216"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8</w:t>
            </w:r>
          </w:p>
        </w:tc>
        <w:tc>
          <w:tcPr>
            <w:tcW w:w="140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厅门坎</w:t>
            </w:r>
          </w:p>
        </w:tc>
        <w:tc>
          <w:tcPr>
            <w:tcW w:w="6022"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硬质铝合金，厅门地坎与结构之间间隙由供应商负责处理。</w:t>
            </w:r>
          </w:p>
        </w:tc>
        <w:tc>
          <w:tcPr>
            <w:tcW w:w="1216"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9</w:t>
            </w:r>
          </w:p>
        </w:tc>
        <w:tc>
          <w:tcPr>
            <w:tcW w:w="140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厅门</w:t>
            </w:r>
          </w:p>
        </w:tc>
        <w:tc>
          <w:tcPr>
            <w:tcW w:w="6022"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标准型厅门，1.5mm及以上厚SUS304抗指纹发纹不锈钢。</w:t>
            </w:r>
          </w:p>
        </w:tc>
        <w:tc>
          <w:tcPr>
            <w:tcW w:w="1216"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16"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10</w:t>
            </w:r>
          </w:p>
        </w:tc>
        <w:tc>
          <w:tcPr>
            <w:tcW w:w="140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门套</w:t>
            </w:r>
          </w:p>
        </w:tc>
        <w:tc>
          <w:tcPr>
            <w:tcW w:w="6022"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发纹不锈钢小门套</w:t>
            </w:r>
          </w:p>
        </w:tc>
        <w:tc>
          <w:tcPr>
            <w:tcW w:w="1216" w:type="dxa"/>
            <w:noWrap/>
            <w:vAlign w:val="center"/>
          </w:tcPr>
          <w:p>
            <w:pPr>
              <w:tabs>
                <w:tab w:val="left" w:pos="0"/>
              </w:tabs>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16"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11</w:t>
            </w:r>
          </w:p>
        </w:tc>
        <w:tc>
          <w:tcPr>
            <w:tcW w:w="140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扶手（防撞带）</w:t>
            </w:r>
          </w:p>
        </w:tc>
        <w:tc>
          <w:tcPr>
            <w:tcW w:w="6022"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无障碍电梯在轿厢正面和侧面设高0.80-0.85m的扁形发纹不锈钢扶手，厚度不少于5毫米，长度根据轿厢宽度定；无障碍电梯外，超过1600kg（含）的电梯需设置防撞扶手。采用扁平扶手，两侧设置。(款式由工厂展厅挑选提供，价格计入投标总价）。</w:t>
            </w:r>
          </w:p>
        </w:tc>
        <w:tc>
          <w:tcPr>
            <w:tcW w:w="1216" w:type="dxa"/>
            <w:noWrap/>
            <w:vAlign w:val="center"/>
          </w:tcPr>
          <w:p>
            <w:pPr>
              <w:tabs>
                <w:tab w:val="left" w:pos="0"/>
              </w:tabs>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016"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12</w:t>
            </w:r>
          </w:p>
        </w:tc>
        <w:tc>
          <w:tcPr>
            <w:tcW w:w="140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轿厢空调</w:t>
            </w:r>
          </w:p>
        </w:tc>
        <w:tc>
          <w:tcPr>
            <w:tcW w:w="6022" w:type="dxa"/>
            <w:noWrap/>
            <w:vAlign w:val="center"/>
          </w:tcPr>
          <w:p>
            <w:pPr>
              <w:tabs>
                <w:tab w:val="left" w:pos="0"/>
              </w:tabs>
              <w:spacing w:line="360" w:lineRule="auto"/>
              <w:ind w:firstLine="480"/>
              <w:rPr>
                <w:rFonts w:ascii="宋体" w:hAnsi="宋体" w:eastAsia="宋体" w:cs="宋体"/>
                <w:sz w:val="24"/>
              </w:rPr>
            </w:pPr>
            <w:r>
              <w:rPr>
                <w:rFonts w:hint="eastAsia" w:ascii="宋体" w:hAnsi="宋体" w:eastAsia="宋体" w:cs="宋体"/>
                <w:sz w:val="24"/>
              </w:rPr>
              <w:t>电梯轿厢空调要求采用一体化、无滴水设计，采用环保冷媒，从机房配备专用随行电缆，不得干扰电梯系统和照明系统用电，并设有断电保护功能。安装、清洁和维护方便，不得影响电梯的维修和保养</w:t>
            </w:r>
          </w:p>
        </w:tc>
        <w:tc>
          <w:tcPr>
            <w:tcW w:w="1216" w:type="dxa"/>
            <w:noWrap/>
            <w:vAlign w:val="center"/>
          </w:tcPr>
          <w:p>
            <w:pPr>
              <w:tabs>
                <w:tab w:val="left" w:pos="0"/>
              </w:tabs>
              <w:spacing w:line="360" w:lineRule="auto"/>
              <w:ind w:firstLine="480"/>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016"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13</w:t>
            </w:r>
          </w:p>
        </w:tc>
        <w:tc>
          <w:tcPr>
            <w:tcW w:w="1404" w:type="dxa"/>
            <w:noWrap/>
            <w:vAlign w:val="center"/>
          </w:tcPr>
          <w:p>
            <w:pPr>
              <w:tabs>
                <w:tab w:val="left" w:pos="0"/>
              </w:tabs>
              <w:spacing w:line="360" w:lineRule="auto"/>
              <w:jc w:val="center"/>
              <w:rPr>
                <w:rFonts w:ascii="宋体" w:hAnsi="宋体" w:eastAsia="宋体" w:cs="宋体"/>
                <w:sz w:val="24"/>
              </w:rPr>
            </w:pPr>
            <w:r>
              <w:rPr>
                <w:rFonts w:hint="eastAsia" w:ascii="宋体" w:hAnsi="宋体" w:eastAsia="宋体" w:cs="宋体"/>
                <w:sz w:val="24"/>
              </w:rPr>
              <w:t>轿厢铭牌</w:t>
            </w:r>
          </w:p>
        </w:tc>
        <w:tc>
          <w:tcPr>
            <w:tcW w:w="6022" w:type="dxa"/>
            <w:noWrap/>
            <w:vAlign w:val="center"/>
          </w:tcPr>
          <w:p>
            <w:pPr>
              <w:tabs>
                <w:tab w:val="left" w:pos="0"/>
              </w:tabs>
              <w:spacing w:line="360" w:lineRule="auto"/>
              <w:ind w:firstLine="480" w:firstLineChars="200"/>
              <w:rPr>
                <w:rFonts w:ascii="宋体" w:hAnsi="宋体" w:eastAsia="宋体" w:cs="宋体"/>
                <w:sz w:val="24"/>
              </w:rPr>
            </w:pPr>
            <w:r>
              <w:rPr>
                <w:rFonts w:hint="eastAsia" w:ascii="宋体" w:hAnsi="宋体" w:eastAsia="宋体" w:cs="宋体"/>
                <w:sz w:val="24"/>
              </w:rPr>
              <w:t xml:space="preserve">铭牌：不锈钢，标明电梯品牌、额定载重量、人数等使用标记、警示标记：譬如乘坐安全须知、防碰撞、不准吸烟等。96333乘梯警示牌 </w:t>
            </w:r>
          </w:p>
        </w:tc>
        <w:tc>
          <w:tcPr>
            <w:tcW w:w="1216" w:type="dxa"/>
            <w:noWrap/>
            <w:vAlign w:val="center"/>
          </w:tcPr>
          <w:p>
            <w:pPr>
              <w:tabs>
                <w:tab w:val="left" w:pos="0"/>
              </w:tabs>
              <w:spacing w:line="360" w:lineRule="auto"/>
              <w:ind w:firstLine="480"/>
              <w:rPr>
                <w:rFonts w:ascii="宋体" w:hAnsi="宋体" w:eastAsia="宋体" w:cs="宋体"/>
                <w:sz w:val="24"/>
              </w:rPr>
            </w:pPr>
          </w:p>
        </w:tc>
      </w:tr>
    </w:tbl>
    <w:p>
      <w:pPr>
        <w:tabs>
          <w:tab w:val="left" w:pos="0"/>
        </w:tabs>
        <w:spacing w:line="360" w:lineRule="auto"/>
        <w:ind w:firstLine="480"/>
        <w:rPr>
          <w:rFonts w:ascii="宋体" w:hAnsi="宋体" w:eastAsia="宋体" w:cs="宋体"/>
          <w:b/>
          <w:sz w:val="24"/>
        </w:rPr>
      </w:pPr>
      <w:r>
        <w:rPr>
          <w:rFonts w:hint="eastAsia" w:ascii="宋体" w:hAnsi="宋体" w:eastAsia="宋体" w:cs="宋体"/>
          <w:b/>
          <w:sz w:val="24"/>
        </w:rPr>
        <w:t>备注：以上不锈钢须为304型；无障碍电梯内需按国家无障碍标准进行设计和配置。表中所列为本项目电梯装修基本要求，招标人有权在供应商提供的样本范围内任意选择，设备价格不作调整。</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2、自动扶梯装修要求</w:t>
      </w:r>
    </w:p>
    <w:p>
      <w:pPr>
        <w:numPr>
          <w:ilvl w:val="0"/>
          <w:numId w:val="8"/>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防护栏板选用：栏板采用6+6夹胶超白钢化玻璃配304不锈钢立柱及边框。厚度参考内扶手栏杆且满足规范要求，高度不小于1200mm。最终高度由招标人确认；</w:t>
      </w:r>
    </w:p>
    <w:p>
      <w:pPr>
        <w:numPr>
          <w:ilvl w:val="0"/>
          <w:numId w:val="8"/>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上下平层扶手栏杆高度：1200mm；</w:t>
      </w:r>
    </w:p>
    <w:p>
      <w:pPr>
        <w:numPr>
          <w:ilvl w:val="0"/>
          <w:numId w:val="8"/>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梯级类型：铝合金梯级，带黄色警示边框线标志；</w:t>
      </w:r>
    </w:p>
    <w:p>
      <w:pPr>
        <w:numPr>
          <w:ilvl w:val="0"/>
          <w:numId w:val="8"/>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裙板装饰：低摩擦系数不锈钢；</w:t>
      </w:r>
    </w:p>
    <w:p>
      <w:pPr>
        <w:numPr>
          <w:ilvl w:val="0"/>
          <w:numId w:val="8"/>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扶手导轨材质：不锈钢；</w:t>
      </w:r>
    </w:p>
    <w:p>
      <w:pPr>
        <w:numPr>
          <w:ilvl w:val="0"/>
          <w:numId w:val="8"/>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扶手入口材质：铝合金；</w:t>
      </w:r>
    </w:p>
    <w:p>
      <w:pPr>
        <w:numPr>
          <w:ilvl w:val="0"/>
          <w:numId w:val="8"/>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盖板：发纹不锈钢；</w:t>
      </w:r>
    </w:p>
    <w:p>
      <w:pPr>
        <w:numPr>
          <w:ilvl w:val="0"/>
          <w:numId w:val="8"/>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前沿板类型：铝合金；</w:t>
      </w:r>
    </w:p>
    <w:p>
      <w:pPr>
        <w:numPr>
          <w:ilvl w:val="0"/>
          <w:numId w:val="8"/>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梳齿板：铝合金；</w:t>
      </w:r>
    </w:p>
    <w:p>
      <w:pPr>
        <w:numPr>
          <w:ilvl w:val="0"/>
          <w:numId w:val="8"/>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扶手带颜色：黑色。</w:t>
      </w:r>
    </w:p>
    <w:p>
      <w:pPr>
        <w:numPr>
          <w:ilvl w:val="0"/>
          <w:numId w:val="8"/>
        </w:numPr>
        <w:tabs>
          <w:tab w:val="left" w:pos="0"/>
          <w:tab w:val="clear" w:pos="454"/>
        </w:tabs>
        <w:spacing w:line="360" w:lineRule="auto"/>
        <w:rPr>
          <w:rFonts w:ascii="宋体" w:hAnsi="宋体" w:eastAsia="宋体" w:cs="宋体"/>
          <w:sz w:val="24"/>
        </w:rPr>
      </w:pPr>
      <w:r>
        <w:rPr>
          <w:rFonts w:hint="eastAsia" w:ascii="宋体" w:hAnsi="宋体" w:eastAsia="宋体" w:cs="宋体"/>
          <w:sz w:val="24"/>
        </w:rPr>
        <w:t>自动扶梯内外围装潢：每台自动扶梯左右两侧（包括内侧、外侧盖板、围裙板）、底部等用1.2mm厚304发纹不锈钢板，内衬加强筋采用0.8mm厚镀锌板或1mm厚冷轧板；左下角、右下角两侧用1.2mm厚304不锈钢板条成直角外嵌饰。其中并列布置的扶梯之间的上侧、底侧也应用1.2mm厚304发纹不锈钢板进行密封外装饰，上侧外嵌饰与并列扶梯地台板边缘外侧平齐，防止重物或人员坠落。内侧围裙板刷底部加装LED照明（带状或点状），需符合整体装修效果，具体根据招标人要求加装。供应商投标（响应）时提供扶梯外围装潢（包括LED照明）方案，具体实施前必须经招标人确认后方可实施，费用包含在报价中。</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4、其它装修要求</w:t>
      </w:r>
    </w:p>
    <w:p>
      <w:pPr>
        <w:tabs>
          <w:tab w:val="left" w:pos="0"/>
        </w:tabs>
        <w:spacing w:line="360" w:lineRule="auto"/>
        <w:ind w:firstLine="480"/>
        <w:rPr>
          <w:rFonts w:ascii="宋体" w:hAnsi="宋体" w:eastAsia="宋体" w:cs="宋体"/>
          <w:b/>
          <w:bCs/>
          <w:sz w:val="24"/>
        </w:rPr>
      </w:pPr>
      <w:r>
        <w:rPr>
          <w:rFonts w:hint="eastAsia" w:ascii="宋体" w:hAnsi="宋体" w:eastAsia="宋体" w:cs="宋体"/>
          <w:sz w:val="24"/>
        </w:rPr>
        <w:t>各类电梯装修风格均应符合医院风格及招标人要求，供应商需提供5种以上装修风格样本，供招标人选择。如招标人对供应商提供的所有装修风格样本均不满意的，有权直接选择或指定装修风格，供应商须无条件落实，但合同价格不作调整。</w:t>
      </w:r>
    </w:p>
    <w:p>
      <w:pPr>
        <w:tabs>
          <w:tab w:val="left" w:pos="0"/>
        </w:tabs>
        <w:spacing w:line="360" w:lineRule="auto"/>
        <w:rPr>
          <w:rFonts w:ascii="宋体" w:hAnsi="宋体" w:eastAsia="宋体" w:cs="宋体"/>
          <w:b/>
          <w:bCs/>
          <w:sz w:val="24"/>
        </w:rPr>
      </w:pPr>
      <w:r>
        <w:rPr>
          <w:rFonts w:hint="eastAsia" w:ascii="宋体" w:hAnsi="宋体" w:eastAsia="宋体" w:cs="宋体"/>
          <w:b/>
          <w:bCs/>
          <w:sz w:val="24"/>
        </w:rPr>
        <w:t>四、供货要求及商务要求</w:t>
      </w:r>
    </w:p>
    <w:tbl>
      <w:tblPr>
        <w:tblStyle w:val="27"/>
        <w:tblW w:w="100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9"/>
        <w:gridCol w:w="1216"/>
        <w:gridCol w:w="652"/>
        <w:gridCol w:w="73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blHeader/>
          <w:jc w:val="center"/>
        </w:trPr>
        <w:tc>
          <w:tcPr>
            <w:tcW w:w="769" w:type="dxa"/>
            <w:shd w:val="clear" w:color="auto" w:fill="DCD8C2" w:themeFill="background2" w:themeFillShade="E5"/>
            <w:vAlign w:val="center"/>
          </w:tcPr>
          <w:p>
            <w:pPr>
              <w:tabs>
                <w:tab w:val="left" w:pos="0"/>
              </w:tabs>
              <w:spacing w:line="440" w:lineRule="exact"/>
              <w:jc w:val="center"/>
              <w:rPr>
                <w:rFonts w:ascii="宋体" w:hAnsi="宋体" w:eastAsia="宋体" w:cs="宋体"/>
                <w:b/>
                <w:sz w:val="24"/>
              </w:rPr>
            </w:pPr>
            <w:r>
              <w:rPr>
                <w:rFonts w:hint="eastAsia" w:ascii="宋体" w:hAnsi="宋体" w:eastAsia="宋体" w:cs="宋体"/>
                <w:b/>
                <w:sz w:val="24"/>
              </w:rPr>
              <w:t>序号</w:t>
            </w:r>
          </w:p>
        </w:tc>
        <w:tc>
          <w:tcPr>
            <w:tcW w:w="1216" w:type="dxa"/>
            <w:shd w:val="clear" w:color="auto" w:fill="DCD8C2" w:themeFill="background2" w:themeFillShade="E5"/>
            <w:vAlign w:val="center"/>
          </w:tcPr>
          <w:p>
            <w:pPr>
              <w:tabs>
                <w:tab w:val="left" w:pos="0"/>
              </w:tabs>
              <w:spacing w:line="440" w:lineRule="exact"/>
              <w:jc w:val="center"/>
              <w:rPr>
                <w:rFonts w:ascii="宋体" w:hAnsi="宋体" w:eastAsia="宋体" w:cs="宋体"/>
                <w:b/>
                <w:sz w:val="24"/>
              </w:rPr>
            </w:pPr>
            <w:r>
              <w:rPr>
                <w:rFonts w:hint="eastAsia" w:ascii="宋体" w:hAnsi="宋体" w:eastAsia="宋体" w:cs="宋体"/>
                <w:b/>
                <w:sz w:val="24"/>
              </w:rPr>
              <w:t>要求名称</w:t>
            </w:r>
          </w:p>
        </w:tc>
        <w:tc>
          <w:tcPr>
            <w:tcW w:w="8020" w:type="dxa"/>
            <w:gridSpan w:val="2"/>
            <w:shd w:val="clear" w:color="auto" w:fill="DCD8C2" w:themeFill="background2" w:themeFillShade="E5"/>
            <w:vAlign w:val="center"/>
          </w:tcPr>
          <w:p>
            <w:pPr>
              <w:tabs>
                <w:tab w:val="left" w:pos="0"/>
              </w:tabs>
              <w:spacing w:line="440" w:lineRule="exact"/>
              <w:jc w:val="center"/>
              <w:rPr>
                <w:rFonts w:ascii="宋体" w:hAnsi="宋体" w:eastAsia="宋体" w:cs="宋体"/>
                <w:b/>
                <w:sz w:val="24"/>
              </w:rPr>
            </w:pPr>
            <w:r>
              <w:rPr>
                <w:rFonts w:hint="eastAsia" w:ascii="宋体" w:hAnsi="宋体" w:eastAsia="宋体" w:cs="宋体"/>
                <w:b/>
                <w:sz w:val="24"/>
              </w:rPr>
              <w:t>具体说明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1</w:t>
            </w:r>
          </w:p>
        </w:tc>
        <w:tc>
          <w:tcPr>
            <w:tcW w:w="1216"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交货时间</w:t>
            </w: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在合同签订后按甲方要求提前介入配合提供电梯安装相关的图纸资料，经甲乙双方共同确认，乙方在接到甲方供货书面通知之日起100日历天内供货，到货后100日历天内完成安装、调试并通过当地特种设备检测机构验收。实际供货及安装时间按甲方书面指令为准。如电梯土建图、技术规格有未确定项，或在合同执行中甲方提出变更，产品交货周期的起始日将从甲方确定待定项及变更项后计核。由于乙方未提前检查电梯井道及电梯安装需满足电梯安装条件而造成安装工期延长及保管责任应由乙方承担责任，甲方不延长安装工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Align w:val="center"/>
          </w:tcPr>
          <w:p>
            <w:pPr>
              <w:tabs>
                <w:tab w:val="left" w:pos="0"/>
              </w:tabs>
              <w:spacing w:line="440" w:lineRule="exact"/>
              <w:jc w:val="center"/>
              <w:rPr>
                <w:rFonts w:ascii="宋体" w:hAnsi="宋体" w:eastAsia="宋体" w:cs="宋体"/>
                <w:sz w:val="24"/>
              </w:rPr>
            </w:pPr>
          </w:p>
        </w:tc>
        <w:tc>
          <w:tcPr>
            <w:tcW w:w="1216"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交货地点</w:t>
            </w:r>
          </w:p>
        </w:tc>
        <w:tc>
          <w:tcPr>
            <w:tcW w:w="8020" w:type="dxa"/>
            <w:gridSpan w:val="2"/>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诸暨市人民医院二期工地内。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2</w:t>
            </w:r>
          </w:p>
        </w:tc>
        <w:tc>
          <w:tcPr>
            <w:tcW w:w="1216"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质量保修期及维保要求</w:t>
            </w: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1.质量保修期：电梯的质量保修期不少于两年，从项目通过综合竣工验收开始计算，供应商负责质量保修期内产品的免费维修维保，在此期间内发生的质量问题，由供应商负责免费更换或维修。</w:t>
            </w:r>
          </w:p>
          <w:p>
            <w:pPr>
              <w:tabs>
                <w:tab w:val="left" w:pos="0"/>
              </w:tabs>
              <w:spacing w:line="440" w:lineRule="exact"/>
              <w:ind w:firstLine="482"/>
              <w:rPr>
                <w:rFonts w:ascii="宋体" w:hAnsi="宋体" w:eastAsia="宋体" w:cs="宋体"/>
                <w:sz w:val="24"/>
              </w:rPr>
            </w:pPr>
            <w:r>
              <w:rPr>
                <w:rFonts w:hint="eastAsia" w:ascii="宋体" w:hAnsi="宋体" w:eastAsia="宋体" w:cs="宋体"/>
                <w:sz w:val="24"/>
              </w:rPr>
              <w:t>2.供应商须提供在质量保修期内的维修保养计划书，供应商应免费对用户操作技术人员进行设备操作使用和维护保养方面的培训（并提供安装使用维护说明书），使其能够熟悉整个系统的安装、维修、操作、维护，并能独立上岗。</w:t>
            </w:r>
          </w:p>
          <w:p>
            <w:pPr>
              <w:tabs>
                <w:tab w:val="left" w:pos="0"/>
              </w:tabs>
              <w:spacing w:line="440" w:lineRule="exact"/>
              <w:ind w:firstLine="482"/>
              <w:rPr>
                <w:rFonts w:ascii="宋体" w:hAnsi="宋体" w:eastAsia="宋体" w:cs="宋体"/>
                <w:sz w:val="24"/>
              </w:rPr>
            </w:pPr>
            <w:r>
              <w:rPr>
                <w:rFonts w:hint="eastAsia" w:ascii="宋体" w:hAnsi="宋体" w:eastAsia="宋体" w:cs="宋体"/>
                <w:sz w:val="24"/>
              </w:rPr>
              <w:t>维保要求：</w:t>
            </w:r>
          </w:p>
          <w:p>
            <w:pPr>
              <w:tabs>
                <w:tab w:val="left" w:pos="0"/>
              </w:tabs>
              <w:spacing w:line="440" w:lineRule="exact"/>
              <w:ind w:firstLine="482"/>
              <w:rPr>
                <w:rFonts w:ascii="宋体" w:hAnsi="宋体" w:eastAsia="宋体" w:cs="宋体"/>
                <w:sz w:val="24"/>
              </w:rPr>
            </w:pPr>
            <w:r>
              <w:rPr>
                <w:rFonts w:hint="eastAsia" w:ascii="宋体" w:hAnsi="宋体" w:eastAsia="宋体" w:cs="宋体"/>
                <w:sz w:val="24"/>
              </w:rPr>
              <w:t>（1）质量保修期内，供应商应负责修理和替换不合格的部件并承担费用，包括部件调换的内陆运输费用，急用部件应免费空运，部件或零件更换后的质量保修期为更换之日起顺延24个月。质量保修期满前政府部门对电梯的年度检验所发生的费用由供应商负责承担，将此费用含在报价中。</w:t>
            </w:r>
          </w:p>
          <w:p>
            <w:pPr>
              <w:tabs>
                <w:tab w:val="left" w:pos="0"/>
              </w:tabs>
              <w:spacing w:line="440" w:lineRule="exact"/>
              <w:ind w:firstLine="482"/>
              <w:rPr>
                <w:rFonts w:ascii="宋体" w:hAnsi="宋体" w:eastAsia="宋体" w:cs="宋体"/>
                <w:sz w:val="24"/>
              </w:rPr>
            </w:pPr>
            <w:r>
              <w:rPr>
                <w:rFonts w:hint="eastAsia" w:ascii="宋体" w:hAnsi="宋体" w:eastAsia="宋体" w:cs="宋体"/>
                <w:sz w:val="24"/>
              </w:rPr>
              <w:t>（2）质量保修期内发生供应商原因引起的与设备、零部件、材料有关的问题时，供应商应于收到用户通知后及时派遣相关人员到达现场，立即无偿更换或修理有问题的设备、零部件、材料，提供免费服务，招标人保留索赔的权利。</w:t>
            </w:r>
          </w:p>
          <w:p>
            <w:pPr>
              <w:tabs>
                <w:tab w:val="left" w:pos="0"/>
              </w:tabs>
              <w:spacing w:line="440" w:lineRule="exact"/>
              <w:ind w:firstLine="482"/>
              <w:rPr>
                <w:rFonts w:ascii="宋体" w:hAnsi="宋体" w:eastAsia="宋体" w:cs="宋体"/>
                <w:sz w:val="24"/>
              </w:rPr>
            </w:pPr>
            <w:r>
              <w:rPr>
                <w:rFonts w:hint="eastAsia" w:ascii="宋体" w:hAnsi="宋体" w:eastAsia="宋体" w:cs="宋体"/>
                <w:sz w:val="24"/>
              </w:rPr>
              <w:t>（3）质量保修期内发生非供应商原因引起的与设备、零部件、材料有关的问题时,供应商应于收到用户通知及时派遣相关人员到达现场进行维修和必要的更换，供应商只向责任人收取零配件和人工等成本费。</w:t>
            </w:r>
          </w:p>
          <w:p>
            <w:pPr>
              <w:tabs>
                <w:tab w:val="left" w:pos="0"/>
              </w:tabs>
              <w:spacing w:line="440" w:lineRule="exact"/>
              <w:ind w:firstLine="482"/>
              <w:rPr>
                <w:rFonts w:ascii="宋体" w:hAnsi="宋体" w:eastAsia="宋体" w:cs="宋体"/>
                <w:sz w:val="24"/>
              </w:rPr>
            </w:pPr>
            <w:r>
              <w:rPr>
                <w:rFonts w:hint="eastAsia" w:ascii="宋体" w:hAnsi="宋体" w:eastAsia="宋体" w:cs="宋体"/>
                <w:sz w:val="24"/>
              </w:rPr>
              <w:t>（4）在质量保修期结束时，须由供应商安排专业工程师对电梯进行另一次测试，任何故障须由供应商自费解决并取得招标人的同意。</w:t>
            </w:r>
          </w:p>
          <w:p>
            <w:pPr>
              <w:tabs>
                <w:tab w:val="left" w:pos="0"/>
              </w:tabs>
              <w:spacing w:line="440" w:lineRule="exact"/>
              <w:ind w:firstLine="482"/>
              <w:rPr>
                <w:rFonts w:ascii="宋体" w:hAnsi="宋体" w:eastAsia="宋体" w:cs="宋体"/>
                <w:sz w:val="24"/>
              </w:rPr>
            </w:pPr>
            <w:r>
              <w:rPr>
                <w:rFonts w:hint="eastAsia" w:ascii="宋体" w:hAnsi="宋体" w:eastAsia="宋体" w:cs="宋体"/>
                <w:sz w:val="24"/>
              </w:rPr>
              <w:t>（5）供应商在每次维修完成后，需向招标人提交维修报告一式两份，内容包括故障原因，解决措施，完成修理所费时间及恢复正常运行日期等.</w:t>
            </w:r>
          </w:p>
          <w:p>
            <w:pPr>
              <w:tabs>
                <w:tab w:val="left" w:pos="0"/>
              </w:tabs>
              <w:spacing w:line="440" w:lineRule="exact"/>
              <w:ind w:firstLine="482"/>
              <w:rPr>
                <w:rFonts w:ascii="宋体" w:hAnsi="宋体" w:eastAsia="宋体" w:cs="宋体"/>
                <w:sz w:val="24"/>
              </w:rPr>
            </w:pPr>
            <w:r>
              <w:rPr>
                <w:rFonts w:hint="eastAsia" w:ascii="宋体" w:hAnsi="宋体" w:eastAsia="宋体" w:cs="宋体"/>
                <w:sz w:val="24"/>
              </w:rPr>
              <w:t>（6）质量保修期内，由供应商向招标人提供免费维保服务，要求：维保时间频次至少每15天一次，同时每半年对电梯进行一次自检。维保应符合《电梯维修保养安全管理规范》（浙江省地方标准DB33/728-2009）之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3</w:t>
            </w:r>
          </w:p>
        </w:tc>
        <w:tc>
          <w:tcPr>
            <w:tcW w:w="1216"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供货安装工作</w:t>
            </w: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供应商应提供电梯的整机生产制造、运输、安装、出厂检验、调试，向政府机构报检、验收、质保期内的各种服务等。并承担为此工作而发生的一切费用。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jc w:val="center"/>
              <w:rPr>
                <w:rFonts w:ascii="宋体" w:hAnsi="宋体" w:eastAsia="宋体" w:cs="宋体"/>
                <w:sz w:val="24"/>
              </w:rPr>
            </w:pPr>
          </w:p>
        </w:tc>
        <w:tc>
          <w:tcPr>
            <w:tcW w:w="1216" w:type="dxa"/>
            <w:vMerge w:val="continue"/>
            <w:vAlign w:val="center"/>
          </w:tcPr>
          <w:p>
            <w:pPr>
              <w:tabs>
                <w:tab w:val="left" w:pos="0"/>
              </w:tabs>
              <w:spacing w:line="440" w:lineRule="exact"/>
              <w:jc w:val="center"/>
              <w:rPr>
                <w:rFonts w:ascii="宋体" w:hAnsi="宋体" w:eastAsia="宋体" w:cs="宋体"/>
                <w:sz w:val="24"/>
              </w:rPr>
            </w:pP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当设备、材料到货情况与采购文件及合同要求不符时，无论招标人是否向供应商指出，供应商均应立即无偿补足、替换相关设备、材料，不得影响现场进度。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jc w:val="center"/>
              <w:rPr>
                <w:rFonts w:ascii="宋体" w:hAnsi="宋体" w:eastAsia="宋体" w:cs="宋体"/>
                <w:sz w:val="24"/>
              </w:rPr>
            </w:pPr>
          </w:p>
        </w:tc>
        <w:tc>
          <w:tcPr>
            <w:tcW w:w="1216" w:type="dxa"/>
            <w:vMerge w:val="continue"/>
            <w:vAlign w:val="center"/>
          </w:tcPr>
          <w:p>
            <w:pPr>
              <w:tabs>
                <w:tab w:val="left" w:pos="0"/>
              </w:tabs>
              <w:spacing w:line="440" w:lineRule="exact"/>
              <w:jc w:val="center"/>
              <w:rPr>
                <w:rFonts w:ascii="宋体" w:hAnsi="宋体" w:eastAsia="宋体" w:cs="宋体"/>
                <w:sz w:val="24"/>
              </w:rPr>
            </w:pP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在安装、调试、初步验收、最终验收过程中发现设备、零部件、材料的质量达不到本需求书的要求时，无论招标人是否向供应商指出，供应商均应立即无偿更换合格的设备、零部件、材料，并不得影响现场进度。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jc w:val="center"/>
              <w:rPr>
                <w:rFonts w:ascii="宋体" w:hAnsi="宋体" w:eastAsia="宋体" w:cs="宋体"/>
                <w:sz w:val="24"/>
              </w:rPr>
            </w:pPr>
          </w:p>
        </w:tc>
        <w:tc>
          <w:tcPr>
            <w:tcW w:w="1216" w:type="dxa"/>
            <w:vMerge w:val="continue"/>
            <w:vAlign w:val="center"/>
          </w:tcPr>
          <w:p>
            <w:pPr>
              <w:tabs>
                <w:tab w:val="left" w:pos="0"/>
              </w:tabs>
              <w:spacing w:line="440" w:lineRule="exact"/>
              <w:jc w:val="center"/>
              <w:rPr>
                <w:rFonts w:ascii="宋体" w:hAnsi="宋体" w:eastAsia="宋体" w:cs="宋体"/>
                <w:sz w:val="24"/>
              </w:rPr>
            </w:pP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在安装、调试、初步验收、最终验收过程中发生设备、零部件、材料的损坏时，无论招标人是否向供应商指出，供应商均应立即无条件先行进行维修、修理，必要时先行更换合格的设备、零部件、材料，并不得影响现场进度，由供应商负责与损坏责任方交涉损坏索赔事宜，招标人应为此提供必要的协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ind w:firstLine="480"/>
              <w:jc w:val="center"/>
              <w:rPr>
                <w:rFonts w:ascii="宋体" w:hAnsi="宋体" w:eastAsia="宋体" w:cs="宋体"/>
                <w:sz w:val="24"/>
              </w:rPr>
            </w:pPr>
          </w:p>
        </w:tc>
        <w:tc>
          <w:tcPr>
            <w:tcW w:w="1216" w:type="dxa"/>
            <w:vMerge w:val="continue"/>
            <w:vAlign w:val="center"/>
          </w:tcPr>
          <w:p>
            <w:pPr>
              <w:tabs>
                <w:tab w:val="left" w:pos="0"/>
              </w:tabs>
              <w:spacing w:line="440" w:lineRule="exact"/>
              <w:ind w:firstLine="480"/>
              <w:jc w:val="center"/>
              <w:rPr>
                <w:rFonts w:ascii="宋体" w:hAnsi="宋体" w:eastAsia="宋体" w:cs="宋体"/>
                <w:sz w:val="24"/>
              </w:rPr>
            </w:pP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供应商应根据现场施工的进展情况安排设备的生产和安装，并在电梯安装前一个月将电梯运至安装现场。在安装、调试、初步验收、最终验收过程中，由于供应商原因导致工期延长损失、其他返工损失等费用由供应商承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4</w:t>
            </w:r>
          </w:p>
        </w:tc>
        <w:tc>
          <w:tcPr>
            <w:tcW w:w="1216"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技术服务</w:t>
            </w: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供应商负责免费对招标人的技术人员进行电梯操作的技术培训。负责培训的人员应具备同类产品5年以上的维修经验。现场培训招标人的系统管理操作及简单维修人员不少于2名（以实际满足招标人需求为准）。可根据招标人的需要提供注重实践的技术培训，使招标人的技术人员达到能够独立进行管理、故障处理、日常测试维护工作，以便设备能够正常、安全的运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5</w:t>
            </w:r>
          </w:p>
        </w:tc>
        <w:tc>
          <w:tcPr>
            <w:tcW w:w="1216"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不合格品处理</w:t>
            </w: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招标人或其委托的监理单位有权拒绝接受任何不符合技术要求的设备、材料和工艺，并同时有权命令供应商将不符合要求的设备、材料安装拆除和更换，因此而导致工期延误及一切有关费用均由供应商负责。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ind w:firstLine="480"/>
              <w:rPr>
                <w:rFonts w:ascii="宋体" w:hAnsi="宋体" w:eastAsia="宋体" w:cs="宋体"/>
                <w:sz w:val="24"/>
              </w:rPr>
            </w:pPr>
          </w:p>
        </w:tc>
        <w:tc>
          <w:tcPr>
            <w:tcW w:w="1216" w:type="dxa"/>
            <w:vMerge w:val="continue"/>
            <w:vAlign w:val="center"/>
          </w:tcPr>
          <w:p>
            <w:pPr>
              <w:tabs>
                <w:tab w:val="left" w:pos="0"/>
              </w:tabs>
              <w:spacing w:line="440" w:lineRule="exact"/>
              <w:ind w:firstLine="480"/>
              <w:rPr>
                <w:rFonts w:ascii="宋体" w:hAnsi="宋体" w:eastAsia="宋体" w:cs="宋体"/>
                <w:sz w:val="24"/>
              </w:rPr>
            </w:pP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不合格而被拒绝的材料或安装，不能构成逾期完工的原因或借口。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6</w:t>
            </w:r>
          </w:p>
        </w:tc>
        <w:tc>
          <w:tcPr>
            <w:tcW w:w="1216"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安全管理</w:t>
            </w: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供应商须按国家及当地安全生产相关管理规定在本项目的实施过程中建立安全生产管理体系，购买相应保险，设置可靠的安全设施，实施有效的管理措施，确保安全生产，并对本项目实施过程中的安全负全责。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7</w:t>
            </w:r>
          </w:p>
        </w:tc>
        <w:tc>
          <w:tcPr>
            <w:tcW w:w="1216"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产品生产前确认</w:t>
            </w: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供应商必须保证产品尺寸、结构形式等满足本项目安装及维护要求，供应商须提供产品的设计图纸及技术资料，经招标人及其委托的监理单位、设计单位审核确认后方可组织生产。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8</w:t>
            </w:r>
          </w:p>
        </w:tc>
        <w:tc>
          <w:tcPr>
            <w:tcW w:w="1216"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包装要求和运输方式</w:t>
            </w: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采用常规包装，管口要用挡板封堵，整个机组要用防雨材料包裹，包装外表以不褪色的颜料标明：货物名称、箱/件号、尺码、毛重、净重、到货地址、收货人以及“勿近潮湿”、“小心轻放”、“此边向上”等标志。由于不适当的包装或装运而造成的货物在运输过程中的任何损失由供应商负责。因更换设备或材料而要求延长工期将不获接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9</w:t>
            </w:r>
          </w:p>
        </w:tc>
        <w:tc>
          <w:tcPr>
            <w:tcW w:w="1216"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技术标准和规范</w:t>
            </w: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供应商所提供的设备及系统，应达到中华人民共和国和设备出产国有关设备及系统的设计、制造、安装、试验、验收和安全等方面的标准和规范的要求。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ind w:firstLine="480"/>
              <w:rPr>
                <w:rFonts w:ascii="宋体" w:hAnsi="宋体" w:eastAsia="宋体" w:cs="宋体"/>
                <w:sz w:val="24"/>
              </w:rPr>
            </w:pPr>
          </w:p>
        </w:tc>
        <w:tc>
          <w:tcPr>
            <w:tcW w:w="1216" w:type="dxa"/>
            <w:vMerge w:val="continue"/>
            <w:vAlign w:val="center"/>
          </w:tcPr>
          <w:p>
            <w:pPr>
              <w:tabs>
                <w:tab w:val="left" w:pos="0"/>
              </w:tabs>
              <w:spacing w:line="440" w:lineRule="exact"/>
              <w:ind w:firstLine="480"/>
              <w:rPr>
                <w:rFonts w:ascii="宋体" w:hAnsi="宋体" w:eastAsia="宋体" w:cs="宋体"/>
                <w:sz w:val="24"/>
              </w:rPr>
            </w:pP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供应商应详细列出所采用的上述标准和规范的名称、编号及版本号，这些标准和规范应是采购时已颁布实施的最新有效版本。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ind w:firstLine="480"/>
              <w:rPr>
                <w:rFonts w:ascii="宋体" w:hAnsi="宋体" w:eastAsia="宋体" w:cs="宋体"/>
                <w:sz w:val="24"/>
              </w:rPr>
            </w:pPr>
          </w:p>
        </w:tc>
        <w:tc>
          <w:tcPr>
            <w:tcW w:w="1216" w:type="dxa"/>
            <w:vMerge w:val="continue"/>
            <w:vAlign w:val="center"/>
          </w:tcPr>
          <w:p>
            <w:pPr>
              <w:tabs>
                <w:tab w:val="left" w:pos="0"/>
              </w:tabs>
              <w:spacing w:line="440" w:lineRule="exact"/>
              <w:ind w:firstLine="480"/>
              <w:rPr>
                <w:rFonts w:ascii="宋体" w:hAnsi="宋体" w:eastAsia="宋体" w:cs="宋体"/>
                <w:sz w:val="24"/>
              </w:rPr>
            </w:pP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供应商如采用国家标准规范以外的标准和规范，应列出其名称、编号及版本号，当采用的标准规范等效于或优于国家标准规范的要求时，才可能被业主接受。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10</w:t>
            </w:r>
          </w:p>
        </w:tc>
        <w:tc>
          <w:tcPr>
            <w:tcW w:w="1216"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技术资料</w:t>
            </w: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供应商应根据建设工程规范要求提供所有材料产品设备的质量合格证书，进口材料产品设备还须提供生产国的原产地证书及商检报告；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ind w:firstLine="480"/>
              <w:rPr>
                <w:rFonts w:ascii="宋体" w:hAnsi="宋体" w:eastAsia="宋体" w:cs="宋体"/>
                <w:sz w:val="24"/>
              </w:rPr>
            </w:pPr>
          </w:p>
        </w:tc>
        <w:tc>
          <w:tcPr>
            <w:tcW w:w="1216" w:type="dxa"/>
            <w:vMerge w:val="continue"/>
            <w:vAlign w:val="center"/>
          </w:tcPr>
          <w:p>
            <w:pPr>
              <w:tabs>
                <w:tab w:val="left" w:pos="0"/>
              </w:tabs>
              <w:spacing w:line="440" w:lineRule="exact"/>
              <w:ind w:firstLine="480"/>
              <w:rPr>
                <w:rFonts w:ascii="宋体" w:hAnsi="宋体" w:eastAsia="宋体" w:cs="宋体"/>
                <w:sz w:val="24"/>
              </w:rPr>
            </w:pP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供应商应针对所有产品设备提供其齐全的原理、技术参数、使用操作、维护说明等技术文件资料；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ind w:firstLine="480"/>
              <w:rPr>
                <w:rFonts w:ascii="宋体" w:hAnsi="宋体" w:eastAsia="宋体" w:cs="宋体"/>
                <w:sz w:val="24"/>
              </w:rPr>
            </w:pPr>
          </w:p>
        </w:tc>
        <w:tc>
          <w:tcPr>
            <w:tcW w:w="1216" w:type="dxa"/>
            <w:vMerge w:val="continue"/>
            <w:vAlign w:val="center"/>
          </w:tcPr>
          <w:p>
            <w:pPr>
              <w:tabs>
                <w:tab w:val="left" w:pos="0"/>
              </w:tabs>
              <w:spacing w:line="440" w:lineRule="exact"/>
              <w:ind w:firstLine="480"/>
              <w:rPr>
                <w:rFonts w:ascii="宋体" w:hAnsi="宋体" w:eastAsia="宋体" w:cs="宋体"/>
                <w:sz w:val="24"/>
              </w:rPr>
            </w:pPr>
          </w:p>
        </w:tc>
        <w:tc>
          <w:tcPr>
            <w:tcW w:w="8020" w:type="dxa"/>
            <w:gridSpan w:val="2"/>
            <w:vAlign w:val="center"/>
          </w:tcPr>
          <w:p>
            <w:pPr>
              <w:tabs>
                <w:tab w:val="left" w:pos="0"/>
              </w:tabs>
              <w:spacing w:line="440" w:lineRule="exact"/>
              <w:ind w:firstLine="482"/>
              <w:rPr>
                <w:rFonts w:ascii="宋体" w:hAnsi="宋体" w:eastAsia="宋体" w:cs="宋体"/>
                <w:sz w:val="24"/>
              </w:rPr>
            </w:pPr>
            <w:r>
              <w:rPr>
                <w:rFonts w:hint="eastAsia" w:ascii="宋体" w:hAnsi="宋体" w:eastAsia="宋体" w:cs="宋体"/>
                <w:sz w:val="24"/>
              </w:rPr>
              <w:t>供应商提供的所用文件资料应为中文，非中文文件资料要求有中文译本。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11</w:t>
            </w:r>
          </w:p>
        </w:tc>
        <w:tc>
          <w:tcPr>
            <w:tcW w:w="1216"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货物检测与验收</w:t>
            </w:r>
          </w:p>
        </w:tc>
        <w:tc>
          <w:tcPr>
            <w:tcW w:w="652" w:type="dxa"/>
            <w:vAlign w:val="center"/>
          </w:tcPr>
          <w:p>
            <w:pPr>
              <w:tabs>
                <w:tab w:val="left" w:pos="0"/>
              </w:tabs>
              <w:jc w:val="center"/>
              <w:rPr>
                <w:rFonts w:ascii="宋体" w:hAnsi="宋体" w:eastAsia="宋体" w:cs="宋体"/>
                <w:sz w:val="24"/>
              </w:rPr>
            </w:pPr>
            <w:r>
              <w:rPr>
                <w:rFonts w:hint="eastAsia" w:ascii="宋体" w:hAnsi="宋体" w:eastAsia="宋体" w:cs="宋体"/>
                <w:sz w:val="24"/>
              </w:rPr>
              <w:t>工厂测试</w:t>
            </w:r>
          </w:p>
        </w:tc>
        <w:tc>
          <w:tcPr>
            <w:tcW w:w="7368" w:type="dxa"/>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每一台设备出厂前必须通过相关的检测试验，生产厂须提供合格的正式检测文件，否则将被判定为不合格。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ind w:firstLine="480"/>
              <w:rPr>
                <w:rFonts w:ascii="宋体" w:hAnsi="宋体" w:eastAsia="宋体" w:cs="宋体"/>
                <w:sz w:val="24"/>
              </w:rPr>
            </w:pPr>
          </w:p>
        </w:tc>
        <w:tc>
          <w:tcPr>
            <w:tcW w:w="1216" w:type="dxa"/>
            <w:vMerge w:val="continue"/>
            <w:vAlign w:val="center"/>
          </w:tcPr>
          <w:p>
            <w:pPr>
              <w:tabs>
                <w:tab w:val="left" w:pos="0"/>
              </w:tabs>
              <w:spacing w:line="440" w:lineRule="exact"/>
              <w:ind w:firstLine="480"/>
              <w:rPr>
                <w:rFonts w:ascii="宋体" w:hAnsi="宋体" w:eastAsia="宋体" w:cs="宋体"/>
                <w:sz w:val="24"/>
              </w:rPr>
            </w:pPr>
          </w:p>
        </w:tc>
        <w:tc>
          <w:tcPr>
            <w:tcW w:w="652"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现场验收</w:t>
            </w:r>
          </w:p>
        </w:tc>
        <w:tc>
          <w:tcPr>
            <w:tcW w:w="7368" w:type="dxa"/>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(1)货到工地后，业主将会同监理单位和总承包商对货物进行验收，产品的技术参数经检验必须满足本采购需求的要求并与投标（响应）文件提供的情况相符。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ind w:firstLine="480"/>
              <w:rPr>
                <w:rFonts w:ascii="宋体" w:hAnsi="宋体" w:eastAsia="宋体" w:cs="宋体"/>
                <w:sz w:val="24"/>
              </w:rPr>
            </w:pPr>
          </w:p>
        </w:tc>
        <w:tc>
          <w:tcPr>
            <w:tcW w:w="1216" w:type="dxa"/>
            <w:vMerge w:val="continue"/>
            <w:vAlign w:val="center"/>
          </w:tcPr>
          <w:p>
            <w:pPr>
              <w:tabs>
                <w:tab w:val="left" w:pos="0"/>
              </w:tabs>
              <w:spacing w:line="440" w:lineRule="exact"/>
              <w:ind w:firstLine="480"/>
              <w:rPr>
                <w:rFonts w:ascii="宋体" w:hAnsi="宋体" w:eastAsia="宋体" w:cs="宋体"/>
                <w:sz w:val="24"/>
              </w:rPr>
            </w:pPr>
          </w:p>
        </w:tc>
        <w:tc>
          <w:tcPr>
            <w:tcW w:w="652" w:type="dxa"/>
            <w:vMerge w:val="continue"/>
            <w:vAlign w:val="center"/>
          </w:tcPr>
          <w:p>
            <w:pPr>
              <w:tabs>
                <w:tab w:val="left" w:pos="0"/>
              </w:tabs>
              <w:spacing w:line="440" w:lineRule="exact"/>
              <w:ind w:firstLine="482"/>
              <w:rPr>
                <w:rFonts w:ascii="宋体" w:hAnsi="宋体" w:eastAsia="宋体" w:cs="宋体"/>
                <w:sz w:val="24"/>
              </w:rPr>
            </w:pPr>
          </w:p>
        </w:tc>
        <w:tc>
          <w:tcPr>
            <w:tcW w:w="7368" w:type="dxa"/>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(2)供应商应随机提供如下质量证明文件及其它相关资料：A．出厂检验合格证；B．货物装运单及保险单； C．到货清单；D．中文版的设备安装、操作和维修保养手册。如所供设备为进口产品，还需提供：A．当地商会出具的原产地证书；B．报关单，关税单，海关增值税单；C.目的港商检部门出具的商检合格证书。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ind w:firstLine="480"/>
              <w:rPr>
                <w:rFonts w:ascii="宋体" w:hAnsi="宋体" w:eastAsia="宋体" w:cs="宋体"/>
                <w:sz w:val="24"/>
              </w:rPr>
            </w:pPr>
          </w:p>
        </w:tc>
        <w:tc>
          <w:tcPr>
            <w:tcW w:w="1216" w:type="dxa"/>
            <w:vMerge w:val="continue"/>
            <w:vAlign w:val="center"/>
          </w:tcPr>
          <w:p>
            <w:pPr>
              <w:tabs>
                <w:tab w:val="left" w:pos="0"/>
              </w:tabs>
              <w:spacing w:line="440" w:lineRule="exact"/>
              <w:ind w:firstLine="480"/>
              <w:rPr>
                <w:rFonts w:ascii="宋体" w:hAnsi="宋体" w:eastAsia="宋体" w:cs="宋体"/>
                <w:sz w:val="24"/>
              </w:rPr>
            </w:pPr>
          </w:p>
        </w:tc>
        <w:tc>
          <w:tcPr>
            <w:tcW w:w="652" w:type="dxa"/>
            <w:vMerge w:val="continue"/>
            <w:vAlign w:val="center"/>
          </w:tcPr>
          <w:p>
            <w:pPr>
              <w:tabs>
                <w:tab w:val="left" w:pos="0"/>
              </w:tabs>
              <w:spacing w:line="440" w:lineRule="exact"/>
              <w:ind w:firstLine="482"/>
              <w:rPr>
                <w:rFonts w:ascii="宋体" w:hAnsi="宋体" w:eastAsia="宋体" w:cs="宋体"/>
                <w:sz w:val="24"/>
              </w:rPr>
            </w:pPr>
          </w:p>
        </w:tc>
        <w:tc>
          <w:tcPr>
            <w:tcW w:w="7368" w:type="dxa"/>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(3)经外观检验合格及对规格、型号、数量等核对无误后，办理签收手续，设备保管由供应商负责。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ind w:firstLine="480"/>
              <w:rPr>
                <w:rFonts w:ascii="宋体" w:hAnsi="宋体" w:eastAsia="宋体" w:cs="宋体"/>
                <w:sz w:val="24"/>
              </w:rPr>
            </w:pPr>
          </w:p>
        </w:tc>
        <w:tc>
          <w:tcPr>
            <w:tcW w:w="1216" w:type="dxa"/>
            <w:vMerge w:val="continue"/>
            <w:vAlign w:val="center"/>
          </w:tcPr>
          <w:p>
            <w:pPr>
              <w:tabs>
                <w:tab w:val="left" w:pos="0"/>
              </w:tabs>
              <w:spacing w:line="440" w:lineRule="exact"/>
              <w:ind w:firstLine="480"/>
              <w:rPr>
                <w:rFonts w:ascii="宋体" w:hAnsi="宋体" w:eastAsia="宋体" w:cs="宋体"/>
                <w:sz w:val="24"/>
              </w:rPr>
            </w:pPr>
          </w:p>
        </w:tc>
        <w:tc>
          <w:tcPr>
            <w:tcW w:w="652" w:type="dxa"/>
            <w:vMerge w:val="continue"/>
            <w:vAlign w:val="center"/>
          </w:tcPr>
          <w:p>
            <w:pPr>
              <w:tabs>
                <w:tab w:val="left" w:pos="0"/>
              </w:tabs>
              <w:spacing w:line="440" w:lineRule="exact"/>
              <w:ind w:firstLine="482"/>
              <w:rPr>
                <w:rFonts w:ascii="宋体" w:hAnsi="宋体" w:eastAsia="宋体" w:cs="宋体"/>
                <w:sz w:val="24"/>
              </w:rPr>
            </w:pPr>
          </w:p>
        </w:tc>
        <w:tc>
          <w:tcPr>
            <w:tcW w:w="7368" w:type="dxa"/>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(4)供应商提供的各种文件载明的内容必须真实，买方对产品的技术数据置疑时有权要求供应商按照双方认可的第三方的试验方法进行检测（检测费用由供应商承担），检测结果必须证明供应商提供的技术数据是真实的，否则视为不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12</w:t>
            </w:r>
          </w:p>
        </w:tc>
        <w:tc>
          <w:tcPr>
            <w:tcW w:w="1216"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设备标示</w:t>
            </w:r>
          </w:p>
        </w:tc>
        <w:tc>
          <w:tcPr>
            <w:tcW w:w="8020" w:type="dxa"/>
            <w:gridSpan w:val="2"/>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设备的铭牌、使用指示、警告指示应以中文或英文及简明易懂的通用符号来表示，并准确地表示设备的型号、规格、制造商。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13</w:t>
            </w:r>
          </w:p>
        </w:tc>
        <w:tc>
          <w:tcPr>
            <w:tcW w:w="1216"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初步验收</w:t>
            </w:r>
          </w:p>
        </w:tc>
        <w:tc>
          <w:tcPr>
            <w:tcW w:w="8020" w:type="dxa"/>
            <w:gridSpan w:val="2"/>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每台设备安装完毕后应进行设备及系统调试，供应商负责进行此项工作。通过设备及系统调试，测试和调整各机组及系统的各项参数，并确保取得政府相关部门的验收批文。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ind w:firstLine="480"/>
              <w:rPr>
                <w:rFonts w:ascii="宋体" w:hAnsi="宋体" w:eastAsia="宋体" w:cs="宋体"/>
                <w:sz w:val="24"/>
              </w:rPr>
            </w:pPr>
          </w:p>
        </w:tc>
        <w:tc>
          <w:tcPr>
            <w:tcW w:w="1216" w:type="dxa"/>
            <w:vMerge w:val="continue"/>
            <w:vAlign w:val="center"/>
          </w:tcPr>
          <w:p>
            <w:pPr>
              <w:tabs>
                <w:tab w:val="left" w:pos="0"/>
              </w:tabs>
              <w:spacing w:line="440" w:lineRule="exact"/>
              <w:ind w:firstLine="480"/>
              <w:rPr>
                <w:rFonts w:ascii="宋体" w:hAnsi="宋体" w:eastAsia="宋体" w:cs="宋体"/>
                <w:sz w:val="24"/>
              </w:rPr>
            </w:pPr>
          </w:p>
        </w:tc>
        <w:tc>
          <w:tcPr>
            <w:tcW w:w="8020" w:type="dxa"/>
            <w:gridSpan w:val="2"/>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设备及系统调试合格后，可以办理初步验收手续。供应商应提供设备及系统的调试报告，经监理单位和业主签字后作为货款的支付凭据。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14</w:t>
            </w:r>
          </w:p>
        </w:tc>
        <w:tc>
          <w:tcPr>
            <w:tcW w:w="1216" w:type="dxa"/>
            <w:vMerge w:val="restart"/>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竣工验收</w:t>
            </w:r>
          </w:p>
        </w:tc>
        <w:tc>
          <w:tcPr>
            <w:tcW w:w="8020" w:type="dxa"/>
            <w:gridSpan w:val="2"/>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执行浙江省现行的验收法规和管理办法。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ind w:firstLine="480"/>
              <w:rPr>
                <w:rFonts w:ascii="宋体" w:hAnsi="宋体" w:eastAsia="宋体" w:cs="宋体"/>
                <w:sz w:val="24"/>
              </w:rPr>
            </w:pPr>
          </w:p>
        </w:tc>
        <w:tc>
          <w:tcPr>
            <w:tcW w:w="1216" w:type="dxa"/>
            <w:vMerge w:val="continue"/>
            <w:vAlign w:val="center"/>
          </w:tcPr>
          <w:p>
            <w:pPr>
              <w:tabs>
                <w:tab w:val="left" w:pos="0"/>
              </w:tabs>
              <w:spacing w:line="440" w:lineRule="exact"/>
              <w:ind w:firstLine="480"/>
              <w:rPr>
                <w:rFonts w:ascii="宋体" w:hAnsi="宋体" w:eastAsia="宋体" w:cs="宋体"/>
                <w:sz w:val="24"/>
              </w:rPr>
            </w:pPr>
          </w:p>
        </w:tc>
        <w:tc>
          <w:tcPr>
            <w:tcW w:w="8020" w:type="dxa"/>
            <w:gridSpan w:val="2"/>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供应商提供设备及系统调试报告。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Merge w:val="continue"/>
            <w:vAlign w:val="center"/>
          </w:tcPr>
          <w:p>
            <w:pPr>
              <w:tabs>
                <w:tab w:val="left" w:pos="0"/>
              </w:tabs>
              <w:spacing w:line="440" w:lineRule="exact"/>
              <w:ind w:firstLine="480"/>
              <w:rPr>
                <w:rFonts w:ascii="宋体" w:hAnsi="宋体" w:eastAsia="宋体" w:cs="宋体"/>
                <w:sz w:val="24"/>
              </w:rPr>
            </w:pPr>
          </w:p>
        </w:tc>
        <w:tc>
          <w:tcPr>
            <w:tcW w:w="1216" w:type="dxa"/>
            <w:vMerge w:val="continue"/>
            <w:vAlign w:val="center"/>
          </w:tcPr>
          <w:p>
            <w:pPr>
              <w:tabs>
                <w:tab w:val="left" w:pos="0"/>
              </w:tabs>
              <w:spacing w:line="440" w:lineRule="exact"/>
              <w:ind w:firstLine="480"/>
              <w:rPr>
                <w:rFonts w:ascii="宋体" w:hAnsi="宋体" w:eastAsia="宋体" w:cs="宋体"/>
                <w:sz w:val="24"/>
              </w:rPr>
            </w:pPr>
          </w:p>
        </w:tc>
        <w:tc>
          <w:tcPr>
            <w:tcW w:w="8020" w:type="dxa"/>
            <w:gridSpan w:val="2"/>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供应商提供设备及系统质量保修书。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15</w:t>
            </w:r>
          </w:p>
        </w:tc>
        <w:tc>
          <w:tcPr>
            <w:tcW w:w="1216"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验收要求</w:t>
            </w:r>
          </w:p>
        </w:tc>
        <w:tc>
          <w:tcPr>
            <w:tcW w:w="8020" w:type="dxa"/>
            <w:gridSpan w:val="2"/>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所有验收均须严格按国家、浙江省、招标人的相关制度、表格的要求办理。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16</w:t>
            </w:r>
          </w:p>
        </w:tc>
        <w:tc>
          <w:tcPr>
            <w:tcW w:w="1216"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备件供应</w:t>
            </w:r>
          </w:p>
        </w:tc>
        <w:tc>
          <w:tcPr>
            <w:tcW w:w="8020" w:type="dxa"/>
            <w:gridSpan w:val="2"/>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供应商对各种型号的设备须提供足够的备件、附件和易损件并保证是原厂生产的产品，以满足设备正常运行的需要。在电梯设备调试、试运行、指导安装、质保期满前所需的辅助材料、润滑剂、油等均需含在报价中，确保质保期内的使用量。在此过程中不得以任何理由向招标人收取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17</w:t>
            </w:r>
          </w:p>
        </w:tc>
        <w:tc>
          <w:tcPr>
            <w:tcW w:w="1216"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检验和维修设备及工具</w:t>
            </w:r>
          </w:p>
        </w:tc>
        <w:tc>
          <w:tcPr>
            <w:tcW w:w="8020" w:type="dxa"/>
            <w:gridSpan w:val="2"/>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供应商须免费提供足够的常用检修设备。</w:t>
            </w:r>
          </w:p>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所有测试需要的附件、零部件和中文操作维修手册应与检修设备一并免费提供。</w:t>
            </w:r>
          </w:p>
          <w:p>
            <w:pPr>
              <w:tabs>
                <w:tab w:val="left" w:pos="0"/>
              </w:tabs>
              <w:spacing w:line="440" w:lineRule="exact"/>
              <w:ind w:firstLine="464" w:firstLineChars="200"/>
              <w:rPr>
                <w:rFonts w:ascii="宋体" w:hAnsi="宋体" w:eastAsia="宋体" w:cs="宋体"/>
                <w:spacing w:val="-4"/>
                <w:sz w:val="24"/>
              </w:rPr>
            </w:pPr>
            <w:r>
              <w:rPr>
                <w:rFonts w:hint="eastAsia" w:ascii="宋体" w:hAnsi="宋体" w:eastAsia="宋体" w:cs="宋体"/>
                <w:spacing w:val="-4"/>
                <w:sz w:val="24"/>
              </w:rPr>
              <w:t>所有检修设备使用的交流电应为50Hz、220V、单相、三线，并能在±7%的压差下正常运行。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18</w:t>
            </w:r>
          </w:p>
        </w:tc>
        <w:tc>
          <w:tcPr>
            <w:tcW w:w="1216"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售后服务响应时间</w:t>
            </w:r>
          </w:p>
        </w:tc>
        <w:tc>
          <w:tcPr>
            <w:tcW w:w="8020" w:type="dxa"/>
            <w:gridSpan w:val="2"/>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供应商应设有24h值班的电梯维修保养服务热线，并且应全天候有人负责响应；接到电梯故障通知后，应在接通知后30min内抵达电梯所在场所并及时救援。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19</w:t>
            </w:r>
          </w:p>
        </w:tc>
        <w:tc>
          <w:tcPr>
            <w:tcW w:w="1216"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最高限价</w:t>
            </w:r>
          </w:p>
        </w:tc>
        <w:tc>
          <w:tcPr>
            <w:tcW w:w="8020" w:type="dxa"/>
            <w:gridSpan w:val="2"/>
            <w:vAlign w:val="center"/>
          </w:tcPr>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本项目最高限价为：人民币</w:t>
            </w:r>
            <w:r>
              <w:rPr>
                <w:rFonts w:hint="eastAsia" w:ascii="宋体" w:hAnsi="宋体" w:eastAsia="宋体" w:cs="宋体"/>
                <w:sz w:val="24"/>
                <w:highlight w:val="none"/>
                <w:lang w:val="en-US" w:eastAsia="zh-CN"/>
              </w:rPr>
              <w:t>壹仟壹佰柒拾万</w:t>
            </w:r>
            <w:r>
              <w:rPr>
                <w:rFonts w:hint="eastAsia" w:ascii="宋体" w:hAnsi="宋体" w:eastAsia="宋体" w:cs="宋体"/>
                <w:sz w:val="24"/>
                <w:highlight w:val="none"/>
              </w:rPr>
              <w:t>元整（¥</w:t>
            </w:r>
            <w:r>
              <w:rPr>
                <w:rFonts w:hint="eastAsia" w:ascii="宋体" w:hAnsi="宋体" w:eastAsia="宋体" w:cs="宋体"/>
                <w:sz w:val="24"/>
                <w:highlight w:val="none"/>
                <w:lang w:val="en-US" w:eastAsia="zh-CN"/>
              </w:rPr>
              <w:t>11700000</w:t>
            </w:r>
            <w:r>
              <w:rPr>
                <w:rFonts w:hint="eastAsia" w:ascii="宋体" w:hAnsi="宋体" w:eastAsia="宋体" w:cs="宋体"/>
                <w:sz w:val="24"/>
                <w:highlight w:val="none"/>
              </w:rPr>
              <w:t>元）</w:t>
            </w:r>
            <w:r>
              <w:rPr>
                <w:rFonts w:hint="eastAsia" w:ascii="宋体" w:hAnsi="宋体" w:eastAsia="宋体" w:cs="宋体"/>
                <w:sz w:val="24"/>
              </w:rPr>
              <w:t>。供应商的报价不得超过最高限价，否则视为无效报价。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769"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20</w:t>
            </w:r>
          </w:p>
        </w:tc>
        <w:tc>
          <w:tcPr>
            <w:tcW w:w="1216" w:type="dxa"/>
            <w:vAlign w:val="center"/>
          </w:tcPr>
          <w:p>
            <w:pPr>
              <w:tabs>
                <w:tab w:val="left" w:pos="0"/>
              </w:tabs>
              <w:spacing w:line="440" w:lineRule="exact"/>
              <w:jc w:val="center"/>
              <w:rPr>
                <w:rFonts w:ascii="宋体" w:hAnsi="宋体" w:eastAsia="宋体" w:cs="宋体"/>
                <w:sz w:val="24"/>
              </w:rPr>
            </w:pPr>
            <w:r>
              <w:rPr>
                <w:rFonts w:hint="eastAsia" w:ascii="宋体" w:hAnsi="宋体" w:eastAsia="宋体" w:cs="宋体"/>
                <w:sz w:val="24"/>
              </w:rPr>
              <w:t>付款方式</w:t>
            </w:r>
          </w:p>
        </w:tc>
        <w:tc>
          <w:tcPr>
            <w:tcW w:w="8020" w:type="dxa"/>
            <w:gridSpan w:val="2"/>
            <w:vAlign w:val="center"/>
          </w:tcPr>
          <w:p>
            <w:pPr>
              <w:tabs>
                <w:tab w:val="left" w:pos="0"/>
              </w:tabs>
              <w:spacing w:line="440" w:lineRule="exact"/>
              <w:ind w:firstLine="480" w:firstLineChars="200"/>
              <w:rPr>
                <w:rFonts w:hint="eastAsia" w:ascii="宋体" w:hAnsi="宋体" w:eastAsia="宋体" w:cs="宋体"/>
                <w:sz w:val="24"/>
                <w:lang w:eastAsia="zh-CN"/>
              </w:rPr>
            </w:pPr>
            <w:r>
              <w:rPr>
                <w:rFonts w:hint="eastAsia" w:ascii="宋体" w:hAnsi="宋体" w:eastAsia="宋体" w:cs="宋体"/>
                <w:sz w:val="24"/>
              </w:rPr>
              <w:t>1.预付款：乙方应在本合同签订后，按要求提供甲方及设计单位认可的电梯条件图（包括布置方案图、井道施工图、电梯机房的施工图、设备安装图、电路电气控制图、系统原理图、接地方式等），并向甲方提交签约合同价30%的预付款保函。（预付款保函的形式可以为金融机构、担保机构出具的保函且需要符合甲方的要求，设备全部到货并验收合格</w:t>
            </w:r>
            <w:r>
              <w:rPr>
                <w:rFonts w:ascii="宋体" w:hAnsi="宋体" w:eastAsia="宋体" w:cs="宋体"/>
                <w:sz w:val="24"/>
              </w:rPr>
              <w:t>后</w:t>
            </w:r>
            <w:r>
              <w:rPr>
                <w:rFonts w:hint="eastAsia" w:ascii="宋体" w:hAnsi="宋体" w:eastAsia="宋体" w:cs="宋体"/>
                <w:sz w:val="24"/>
              </w:rPr>
              <w:t>退回）</w:t>
            </w:r>
            <w:r>
              <w:rPr>
                <w:rFonts w:hint="eastAsia" w:ascii="宋体" w:hAnsi="宋体" w:eastAsia="宋体" w:cs="宋体"/>
                <w:sz w:val="24"/>
                <w:lang w:eastAsia="zh-CN"/>
              </w:rPr>
              <w:t>。</w:t>
            </w:r>
          </w:p>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在甲方确认收到乙方递交的履约担保以及乙方提交的预付款保函、与预付款等额的有效增值税专用发票，甲方向乙方支付签约合同价的30%作为预付款。</w:t>
            </w:r>
          </w:p>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2.乙方按甲方供货通知要求将设备送达工地、经双方共同开箱检查验收符合交货要求，并就位至甲方指定地点、与甲方、全咨（监理）单位完成确认事项，且收到乙方提交的符合要求的发票【30】日内，甲方向乙方支付到货价款的40%。【若设备分批进场，该节点工程款支付次数不应超过3次】。</w:t>
            </w:r>
          </w:p>
          <w:p>
            <w:pPr>
              <w:tabs>
                <w:tab w:val="left" w:pos="0"/>
              </w:tabs>
              <w:spacing w:line="440" w:lineRule="exact"/>
              <w:ind w:firstLine="480" w:firstLineChars="200"/>
              <w:rPr>
                <w:rFonts w:ascii="宋体" w:hAnsi="宋体" w:eastAsia="宋体" w:cs="宋体"/>
                <w:sz w:val="24"/>
              </w:rPr>
            </w:pPr>
            <w:r>
              <w:rPr>
                <w:rFonts w:hint="eastAsia" w:ascii="宋体" w:hAnsi="宋体" w:eastAsia="宋体" w:cs="宋体"/>
                <w:sz w:val="24"/>
              </w:rPr>
              <w:t>3.设备安装完毕、调试、试运行通过，经属地特种设备检验检测机构验收合格并取得使用证、相关资料移交给总包单位并经甲方、全咨方、监理人确认，收到乙方提交的符合要求的发票【30】日内，甲方向乙方支付至合同总价的98.5%，剩余1.5%的合同价款作为质量保证金（若</w:t>
            </w:r>
            <w:r>
              <w:rPr>
                <w:rFonts w:hint="eastAsia" w:ascii="宋体" w:hAnsi="宋体" w:eastAsia="宋体" w:cs="宋体"/>
                <w:sz w:val="24"/>
                <w:szCs w:val="24"/>
              </w:rPr>
              <w:t>乙方提交与质量保证金等额的工程保函作为质量保证金的，全额支付剩余合同价款</w:t>
            </w:r>
            <w:r>
              <w:rPr>
                <w:rFonts w:hint="eastAsia" w:ascii="宋体" w:hAnsi="宋体" w:eastAsia="宋体" w:cs="宋体"/>
                <w:sz w:val="24"/>
              </w:rPr>
              <w:t>）。</w:t>
            </w:r>
          </w:p>
          <w:p>
            <w:pPr>
              <w:tabs>
                <w:tab w:val="left" w:pos="0"/>
              </w:tabs>
              <w:spacing w:line="440" w:lineRule="exact"/>
              <w:ind w:firstLine="480" w:firstLineChars="200"/>
              <w:jc w:val="both"/>
              <w:rPr>
                <w:rFonts w:ascii="宋体" w:hAnsi="宋体" w:eastAsia="宋体" w:cs="宋体"/>
              </w:rPr>
            </w:pPr>
            <w:r>
              <w:rPr>
                <w:rFonts w:hint="eastAsia" w:ascii="宋体" w:hAnsi="宋体" w:eastAsia="宋体" w:cs="宋体"/>
                <w:sz w:val="24"/>
                <w:szCs w:val="24"/>
              </w:rPr>
              <w:t>4.质量保证金在质保期满后经甲方确认或第三方检测单位确认无质量和服务问题15天内无息支付，如质保期内未履行承诺的质量、服务，将按实扣除相应违约金。</w:t>
            </w:r>
          </w:p>
        </w:tc>
      </w:tr>
    </w:tbl>
    <w:p>
      <w:pPr>
        <w:rPr>
          <w:rFonts w:ascii="宋体" w:hAnsi="宋体" w:eastAsia="宋体" w:cs="宋体"/>
          <w:sz w:val="24"/>
        </w:rPr>
      </w:pPr>
    </w:p>
    <w:p/>
    <w:p>
      <w:pPr>
        <w:jc w:val="both"/>
        <w:rPr>
          <w:color w:val="000000" w:themeColor="text1"/>
          <w14:textFill>
            <w14:solidFill>
              <w14:schemeClr w14:val="tx1"/>
            </w14:solidFill>
          </w14:textFill>
        </w:rPr>
        <w:sectPr>
          <w:footerReference r:id="rId15" w:type="default"/>
          <w:pgSz w:w="11907" w:h="16840"/>
          <w:pgMar w:top="1418" w:right="1559" w:bottom="1418" w:left="1474" w:header="0" w:footer="726" w:gutter="0"/>
          <w:cols w:space="720" w:num="1"/>
        </w:sectPr>
      </w:pPr>
    </w:p>
    <w:p>
      <w:pPr>
        <w:spacing w:before="318" w:line="225" w:lineRule="auto"/>
        <w:ind w:left="2735"/>
        <w:jc w:val="both"/>
        <w:outlineLvl w:val="0"/>
        <w:rPr>
          <w:rFonts w:ascii="宋体" w:hAnsi="宋体" w:eastAsia="宋体" w:cs="宋体"/>
          <w:color w:val="000000" w:themeColor="text1"/>
          <w:sz w:val="31"/>
          <w:szCs w:val="31"/>
          <w14:textFill>
            <w14:solidFill>
              <w14:schemeClr w14:val="tx1"/>
            </w14:solidFill>
          </w14:textFill>
        </w:rPr>
      </w:pPr>
      <w:bookmarkStart w:id="59" w:name="_bookmark14"/>
      <w:bookmarkEnd w:id="59"/>
      <w:r>
        <w:rPr>
          <w:rFonts w:ascii="宋体" w:hAnsi="宋体" w:eastAsia="宋体" w:cs="宋体"/>
          <w:color w:val="000000" w:themeColor="text1"/>
          <w:sz w:val="31"/>
          <w:szCs w:val="31"/>
          <w14:textOutline w14:w="5791" w14:cap="sq" w14:cmpd="sng" w14:algn="ctr">
            <w14:solidFill>
              <w14:srgbClr w14:val="000000"/>
            </w14:solidFill>
            <w14:prstDash w14:val="solid"/>
            <w14:bevel/>
          </w14:textOutline>
          <w14:textFill>
            <w14:solidFill>
              <w14:schemeClr w14:val="tx1"/>
            </w14:solidFill>
          </w14:textFill>
        </w:rPr>
        <w:t>第六章</w:t>
      </w:r>
      <w:r>
        <w:rPr>
          <w:rFonts w:hint="eastAsia" w:ascii="宋体" w:hAnsi="宋体" w:eastAsia="宋体" w:cs="宋体"/>
          <w:color w:val="000000" w:themeColor="text1"/>
          <w:sz w:val="31"/>
          <w:szCs w:val="31"/>
          <w14:textOutline w14:w="5791" w14:cap="sq" w14:cmpd="sng" w14:algn="ctr">
            <w14:solidFill>
              <w14:srgbClr w14:val="000000"/>
            </w14:solidFill>
            <w14:prstDash w14:val="solid"/>
            <w14:bevel/>
          </w14:textOutline>
          <w14:textFill>
            <w14:solidFill>
              <w14:schemeClr w14:val="tx1"/>
            </w14:solidFill>
          </w14:textFill>
        </w:rPr>
        <w:t xml:space="preserve"> </w:t>
      </w:r>
      <w:r>
        <w:rPr>
          <w:rFonts w:ascii="宋体" w:hAnsi="宋体" w:eastAsia="宋体" w:cs="宋体"/>
          <w:color w:val="000000" w:themeColor="text1"/>
          <w:sz w:val="31"/>
          <w:szCs w:val="31"/>
          <w14:textOutline w14:w="5791" w14:cap="sq" w14:cmpd="sng" w14:algn="ctr">
            <w14:solidFill>
              <w14:srgbClr w14:val="000000"/>
            </w14:solidFill>
            <w14:prstDash w14:val="solid"/>
            <w14:bevel/>
          </w14:textOutline>
          <w14:textFill>
            <w14:solidFill>
              <w14:schemeClr w14:val="tx1"/>
            </w14:solidFill>
          </w14:textFill>
        </w:rPr>
        <w:t>投标文件格式</w:t>
      </w:r>
    </w:p>
    <w:p>
      <w:pPr>
        <w:spacing w:line="343" w:lineRule="auto"/>
        <w:jc w:val="both"/>
        <w:rPr>
          <w:color w:val="000000" w:themeColor="text1"/>
          <w14:textFill>
            <w14:solidFill>
              <w14:schemeClr w14:val="tx1"/>
            </w14:solidFill>
          </w14:textFill>
        </w:rPr>
      </w:pPr>
    </w:p>
    <w:p>
      <w:pPr>
        <w:spacing w:before="91" w:line="400" w:lineRule="exact"/>
        <w:jc w:val="center"/>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一、资格审查资料</w:t>
      </w:r>
    </w:p>
    <w:p>
      <w:pPr>
        <w:spacing w:before="91"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1、封面（格式八）；</w:t>
      </w:r>
    </w:p>
    <w:p>
      <w:pPr>
        <w:spacing w:before="91"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2、目录；</w:t>
      </w:r>
    </w:p>
    <w:p>
      <w:pPr>
        <w:spacing w:before="91"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3、资料一览表（</w:t>
      </w:r>
      <w:r>
        <w:rPr>
          <w:rFonts w:ascii="宋体" w:hAnsi="宋体" w:eastAsia="宋体" w:cs="宋体"/>
          <w:color w:val="000000" w:themeColor="text1"/>
          <w:sz w:val="24"/>
          <w:szCs w:val="24"/>
          <w14:textFill>
            <w14:solidFill>
              <w14:schemeClr w14:val="tx1"/>
            </w14:solidFill>
          </w14:textFill>
        </w:rPr>
        <w:t>格式五</w:t>
      </w:r>
      <w:r>
        <w:rPr>
          <w:rFonts w:hint="eastAsia" w:ascii="宋体" w:hAnsi="宋体" w:eastAsia="宋体" w:cs="宋体"/>
          <w:color w:val="000000" w:themeColor="text1"/>
          <w:position w:val="1"/>
          <w:sz w:val="24"/>
          <w:szCs w:val="24"/>
          <w14:textFill>
            <w14:solidFill>
              <w14:schemeClr w14:val="tx1"/>
            </w14:solidFill>
          </w14:textFill>
        </w:rPr>
        <w:t>）；</w:t>
      </w:r>
    </w:p>
    <w:p>
      <w:pPr>
        <w:spacing w:before="91"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4、</w:t>
      </w:r>
      <w:r>
        <w:rPr>
          <w:rFonts w:ascii="宋体" w:hAnsi="宋体" w:eastAsia="宋体" w:cs="宋体"/>
          <w:color w:val="000000" w:themeColor="text1"/>
          <w:position w:val="1"/>
          <w:sz w:val="24"/>
          <w:szCs w:val="24"/>
          <w14:textFill>
            <w14:solidFill>
              <w14:schemeClr w14:val="tx1"/>
            </w14:solidFill>
          </w14:textFill>
        </w:rPr>
        <w:t>“投标人基本情况表”应附投标人营业执照和组织机构代码证的复制件（按照“三证合一”或“五证合一”登记制度进行登记的，可仅提供营业执照复制件）等材料的复制件</w:t>
      </w:r>
      <w:r>
        <w:rPr>
          <w:rFonts w:hint="eastAsia" w:ascii="宋体" w:hAnsi="宋体" w:eastAsia="宋体" w:cs="宋体"/>
          <w:color w:val="000000" w:themeColor="text1"/>
          <w:position w:val="1"/>
          <w:sz w:val="24"/>
          <w:szCs w:val="24"/>
          <w14:textFill>
            <w14:solidFill>
              <w14:schemeClr w14:val="tx1"/>
            </w14:solidFill>
          </w14:textFill>
        </w:rPr>
        <w:t>（格式七）；</w:t>
      </w:r>
    </w:p>
    <w:p>
      <w:pPr>
        <w:spacing w:before="91"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5、法定代表人身份证明(格式二)；</w:t>
      </w:r>
    </w:p>
    <w:p>
      <w:pPr>
        <w:spacing w:before="91"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6、联合体协议书(采用联合体投标的提供，格式十二)；</w:t>
      </w:r>
    </w:p>
    <w:p>
      <w:pPr>
        <w:spacing w:before="91"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7、法定代表人授权委托书（若有）(格式三)；</w:t>
      </w:r>
    </w:p>
    <w:p>
      <w:pPr>
        <w:spacing w:before="91"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8、投标承诺书（承诺对资格审查资料所有提交的证明材料真实有效性负责，若发现其有伪造证书、业绩等行为的，同意招标人不接受其投标，其缴纳的投标保证金不予退还），格式十三；</w:t>
      </w:r>
    </w:p>
    <w:p>
      <w:pPr>
        <w:spacing w:before="91"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9、①如投标人为投标产品制造商的，应提供《中华人民共和国特种设备生产许可证》【许可项目涵盖：电梯制造（含安装、修理、改造）；许可子项目涵盖：曳引驱动乘客电梯（含消防员电梯）、自动扶梯与自动人行道】；</w:t>
      </w:r>
    </w:p>
    <w:p>
      <w:pPr>
        <w:spacing w:before="91"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②如投标人为经销商的，应提供投标产品制造商的《中华人民共和国特种设备生产许可证》【许可项目涵盖：电梯制造（含安装、修理、改造）；许可子项目涵盖：曳引驱动乘客电梯（含消防员电梯）、自动扶梯与自动人行道】；同时，提供投标人的《中华人民共和国特种设备生产许可证》【许可项目涵盖：电梯制造（含安装、修理、改造）或电梯安装（含修理）；许可子项目涵盖：曳引驱动乘客电梯（含消防员电梯）、自动扶梯与自动人行道】；</w:t>
      </w:r>
    </w:p>
    <w:p>
      <w:pPr>
        <w:spacing w:before="91"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③如投标人为联合体投标的，应提供投标产品制造商的《中华人民共和国特种设备生产许可证》【许可项目涵盖：电梯制造（含安装、修理、改造）；许可子项目涵盖：曳引驱动乘客电梯（含消防员电梯）、自动扶梯与自动人行道】；同时，提供联合体负责安装维保成员的《中华人民共和国特种设备生产许可证》【许可项目涵盖：电梯制造（含安装、修理、改造）或电梯安装（含修理）；许可子项目涵盖：曳引驱动乘客电梯（含消防员电梯）、自动扶梯与自动人行道】；</w:t>
      </w:r>
    </w:p>
    <w:p>
      <w:pPr>
        <w:spacing w:before="91"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注：上述证件均为按《市场监管总局关于特种设备行政许可有关事项的公告》（2021年第41号）所换的新证，若投标人尚未换取新证，须提供老证（老证尚未取消且在有效期内）。以上提供的证书均需在有效期内，且均需提供原件复印件并加盖证书持有单位公章及投标人公章（投标人为证书持有单位的，可只盖投标人公章）。</w:t>
      </w:r>
    </w:p>
    <w:p>
      <w:pPr>
        <w:spacing w:before="91"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10、投标人须提供所投电梯品牌生产制造商（或经销商）自2020年1月1日以来，具有单个合同金额在600万元及以上的医院电梯项目业绩，投标文件中提供合同复印件，时间以合同签订时间为准，金额以合同中载明金额为准。</w:t>
      </w:r>
    </w:p>
    <w:p>
      <w:pPr>
        <w:spacing w:before="91" w:line="400" w:lineRule="exact"/>
        <w:ind w:firstLine="480" w:firstLineChars="200"/>
        <w:jc w:val="both"/>
        <w:rPr>
          <w:rFonts w:ascii="宋体" w:hAnsi="宋体" w:eastAsia="宋体" w:cs="宋体"/>
          <w:color w:val="000000" w:themeColor="text1"/>
          <w:position w:val="1"/>
          <w:sz w:val="24"/>
          <w:szCs w:val="24"/>
          <w14:textFill>
            <w14:solidFill>
              <w14:schemeClr w14:val="tx1"/>
            </w14:solidFill>
          </w14:textFill>
        </w:rPr>
      </w:pPr>
    </w:p>
    <w:p>
      <w:pPr>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r>
    </w:p>
    <w:p>
      <w:pPr>
        <w:spacing w:before="91" w:line="400" w:lineRule="exact"/>
        <w:jc w:val="center"/>
        <w:rPr>
          <w:rFonts w:ascii="宋体" w:hAnsi="宋体" w:eastAsia="宋体" w:cs="宋体"/>
          <w:color w:val="000000" w:themeColor="text1"/>
          <w:position w:val="1"/>
          <w:sz w:val="24"/>
          <w:szCs w:val="24"/>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二、技术标</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1、封面（格式九）；</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2、目录；</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3、打分资料一览表（格式六）；</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4、企业实力资料（建议按招标文件第三章的技术评分中的子项及评审标准顺序编制投标文件）；</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5、投标产品总体评价资料（建议按招标文件第三章的技术评分中的子项及评审标准顺序编制投标文件）；</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6、主要部件情况资料（建议按招标文件第三章的技术评分中的子项及评审标准顺序编制投标文件）；</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7、主要技术指标（建议按招标文件第三章的技术评分中的子项及评审标准顺序编制投标文件）；</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8、施工安装方案措施（建议按招标文件第三章的技术评分中的子项及评审标准顺序编制投标文件）；</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9、售后及服务资料（建议按招标文件第三章的技术评分中的子项及评审标准顺序编制投标文件）；</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10、技术条款偏离表（格式十一）；</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11、投标人认为可以证明其能力的其他材料（如有，格式自拟）。</w:t>
      </w:r>
    </w:p>
    <w:p>
      <w:pPr>
        <w:spacing w:before="207" w:line="400" w:lineRule="exact"/>
        <w:jc w:val="center"/>
        <w:rPr>
          <w:rFonts w:ascii="宋体" w:hAnsi="宋体" w:eastAsia="宋体" w:cs="宋体"/>
          <w:color w:val="000000" w:themeColor="text1"/>
          <w:sz w:val="24"/>
          <w:szCs w:val="24"/>
          <w14:textFill>
            <w14:solidFill>
              <w14:schemeClr w14:val="tx1"/>
            </w14:solidFill>
          </w14:textFill>
        </w:rPr>
      </w:pPr>
    </w:p>
    <w:p>
      <w:pPr>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r>
    </w:p>
    <w:p>
      <w:pPr>
        <w:spacing w:before="207" w:line="400" w:lineRule="exact"/>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三、商务标</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封面（格式十）；</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2、目录；</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ascii="宋体" w:hAnsi="宋体" w:eastAsia="宋体" w:cs="宋体"/>
          <w:color w:val="000000" w:themeColor="text1"/>
          <w:sz w:val="24"/>
          <w:szCs w:val="24"/>
          <w14:textFill>
            <w14:solidFill>
              <w14:schemeClr w14:val="tx1"/>
            </w14:solidFill>
          </w14:textFill>
        </w:rPr>
        <w:t>投标函(格式一)</w:t>
      </w:r>
      <w:r>
        <w:rPr>
          <w:rFonts w:hint="eastAsia" w:ascii="宋体" w:hAnsi="宋体" w:eastAsia="宋体" w:cs="宋体"/>
          <w:color w:val="000000" w:themeColor="text1"/>
          <w:sz w:val="24"/>
          <w:szCs w:val="24"/>
          <w14:textFill>
            <w14:solidFill>
              <w14:schemeClr w14:val="tx1"/>
            </w14:solidFill>
          </w14:textFill>
        </w:rPr>
        <w:t>；</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r>
        <w:rPr>
          <w:rFonts w:ascii="宋体" w:hAnsi="宋体" w:eastAsia="宋体" w:cs="宋体"/>
          <w:color w:val="000000" w:themeColor="text1"/>
          <w:sz w:val="24"/>
          <w:szCs w:val="24"/>
          <w14:textFill>
            <w14:solidFill>
              <w14:schemeClr w14:val="tx1"/>
            </w14:solidFill>
          </w14:textFill>
        </w:rPr>
        <w:t>投标报价表(格式四)</w:t>
      </w:r>
      <w:r>
        <w:rPr>
          <w:rFonts w:hint="eastAsia" w:ascii="宋体" w:hAnsi="宋体" w:eastAsia="宋体" w:cs="宋体"/>
          <w:color w:val="000000" w:themeColor="text1"/>
          <w:sz w:val="24"/>
          <w:szCs w:val="24"/>
          <w14:textFill>
            <w14:solidFill>
              <w14:schemeClr w14:val="tx1"/>
            </w14:solidFill>
          </w14:textFill>
        </w:rPr>
        <w:t>；</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5、投标分项报价表（格式自拟）；</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6、商务条款偏离表；</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7、随机备品备件一览表（如有）；</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8、供招标人选购的备品备件一览表（如有）；</w:t>
      </w:r>
    </w:p>
    <w:p>
      <w:pPr>
        <w:spacing w:before="207" w:line="400" w:lineRule="exact"/>
        <w:ind w:firstLine="480" w:firstLineChars="200"/>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9、专用检测设备及专用维修工具一览表（如有）；</w:t>
      </w:r>
    </w:p>
    <w:p>
      <w:pPr>
        <w:jc w:val="both"/>
        <w:rPr>
          <w:color w:val="000000" w:themeColor="text1"/>
          <w14:textFill>
            <w14:solidFill>
              <w14:schemeClr w14:val="tx1"/>
            </w14:solidFill>
          </w14:textFill>
        </w:rPr>
      </w:pPr>
    </w:p>
    <w:p>
      <w:pPr>
        <w:jc w:val="both"/>
        <w:rPr>
          <w:color w:val="000000" w:themeColor="text1"/>
          <w14:textFill>
            <w14:solidFill>
              <w14:schemeClr w14:val="tx1"/>
            </w14:solidFill>
          </w14:textFill>
        </w:rPr>
        <w:sectPr>
          <w:footerReference r:id="rId16" w:type="default"/>
          <w:pgSz w:w="11907" w:h="16840"/>
          <w:pgMar w:top="1418" w:right="1559" w:bottom="1418" w:left="1474" w:header="0" w:footer="723" w:gutter="0"/>
          <w:cols w:space="720" w:num="1"/>
        </w:sectPr>
      </w:pPr>
    </w:p>
    <w:p>
      <w:pPr>
        <w:spacing w:before="310" w:line="221" w:lineRule="auto"/>
        <w:ind w:left="281"/>
        <w:jc w:val="both"/>
        <w:rPr>
          <w:rFonts w:ascii="宋体" w:hAnsi="宋体" w:eastAsia="宋体" w:cs="宋体"/>
          <w:color w:val="000000" w:themeColor="text1"/>
          <w:sz w:val="28"/>
          <w:szCs w:val="28"/>
          <w14:textFill>
            <w14:solidFill>
              <w14:schemeClr w14:val="tx1"/>
            </w14:solidFill>
          </w14:textFill>
        </w:rPr>
      </w:pPr>
      <w:bookmarkStart w:id="60" w:name="_bookmark15"/>
      <w:bookmarkEnd w:id="60"/>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格式一：投标函</w:t>
      </w:r>
    </w:p>
    <w:p>
      <w:pPr>
        <w:tabs>
          <w:tab w:val="left" w:pos="3955"/>
        </w:tabs>
        <w:spacing w:before="298" w:line="337" w:lineRule="auto"/>
        <w:jc w:val="cente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sz w:val="23"/>
          <w:szCs w:val="23"/>
          <w:u w:val="single"/>
          <w14:textOutline w14:w="4356" w14:cap="sq" w14:cmpd="sng" w14:algn="ctr">
            <w14:solidFill>
              <w14:srgbClr w14:val="000000"/>
            </w14:solidFill>
            <w14:prstDash w14:val="solid"/>
            <w14:bevel/>
          </w14:textOutline>
          <w14:textFill>
            <w14:solidFill>
              <w14:schemeClr w14:val="tx1"/>
            </w14:solidFill>
          </w14:textFill>
        </w:rPr>
        <w:t xml:space="preserve">                         项目</w:t>
      </w:r>
    </w:p>
    <w:p>
      <w:pPr>
        <w:tabs>
          <w:tab w:val="left" w:pos="3955"/>
        </w:tabs>
        <w:spacing w:before="298" w:line="337" w:lineRule="auto"/>
        <w:jc w:val="center"/>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投标函</w:t>
      </w:r>
    </w:p>
    <w:p>
      <w:pPr>
        <w:spacing w:line="372" w:lineRule="auto"/>
        <w:jc w:val="both"/>
        <w:rPr>
          <w:color w:val="000000" w:themeColor="text1"/>
          <w14:textFill>
            <w14:solidFill>
              <w14:schemeClr w14:val="tx1"/>
            </w14:solidFill>
          </w14:textFill>
        </w:rPr>
      </w:pPr>
    </w:p>
    <w:p>
      <w:pPr>
        <w:tabs>
          <w:tab w:val="left" w:pos="2775"/>
        </w:tabs>
        <w:spacing w:before="74" w:line="229" w:lineRule="auto"/>
        <w:ind w:left="23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u w:val="single"/>
          <w14:textFill>
            <w14:solidFill>
              <w14:schemeClr w14:val="tx1"/>
            </w14:solidFill>
          </w14:textFill>
        </w:rPr>
        <w:tab/>
      </w: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(招标人)：</w:t>
      </w:r>
    </w:p>
    <w:p>
      <w:pPr>
        <w:spacing w:before="185" w:line="369" w:lineRule="auto"/>
        <w:ind w:firstLine="483"/>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我方已全面阅读和研究了</w:t>
      </w:r>
      <w:r>
        <w:rPr>
          <w:rFonts w:hint="eastAsia" w:ascii="宋体" w:hAnsi="宋体" w:eastAsia="宋体" w:cs="宋体"/>
          <w:color w:val="000000" w:themeColor="text1"/>
          <w:sz w:val="23"/>
          <w:szCs w:val="23"/>
          <w:u w:val="single"/>
          <w14:textFill>
            <w14:solidFill>
              <w14:schemeClr w14:val="tx1"/>
            </w14:solidFill>
          </w14:textFill>
        </w:rPr>
        <w:t xml:space="preserve">          项目</w:t>
      </w:r>
      <w:r>
        <w:rPr>
          <w:rFonts w:ascii="宋体" w:hAnsi="宋体" w:eastAsia="宋体" w:cs="宋体"/>
          <w:color w:val="000000" w:themeColor="text1"/>
          <w:sz w:val="23"/>
          <w:szCs w:val="23"/>
          <w14:textFill>
            <w14:solidFill>
              <w14:schemeClr w14:val="tx1"/>
            </w14:solidFill>
          </w14:textFill>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eastAsia="宋体" w:cs="宋体"/>
          <w:color w:val="000000" w:themeColor="text1"/>
          <w:sz w:val="23"/>
          <w:szCs w:val="23"/>
          <w:u w:val="single"/>
          <w14:textFill>
            <w14:solidFill>
              <w14:schemeClr w14:val="tx1"/>
            </w14:solidFill>
          </w14:textFill>
        </w:rPr>
        <w:t xml:space="preserve">             项目</w:t>
      </w:r>
      <w:r>
        <w:rPr>
          <w:rFonts w:ascii="宋体" w:hAnsi="宋体" w:eastAsia="宋体" w:cs="宋体"/>
          <w:color w:val="000000" w:themeColor="text1"/>
          <w:sz w:val="23"/>
          <w:szCs w:val="23"/>
          <w14:textFill>
            <w14:solidFill>
              <w14:schemeClr w14:val="tx1"/>
            </w14:solidFill>
          </w14:textFill>
        </w:rPr>
        <w:t>全部内容进行投标。最终报价为人民币(大写)</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元，品牌</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，产地</w:t>
      </w:r>
      <w:r>
        <w:rPr>
          <w:rFonts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w:t>
      </w:r>
      <w:r>
        <w:rPr>
          <w:rFonts w:hint="eastAsia" w:ascii="宋体" w:hAnsi="宋体" w:eastAsia="宋体" w:cs="宋体"/>
          <w:color w:val="000000" w:themeColor="text1"/>
          <w:sz w:val="23"/>
          <w:szCs w:val="23"/>
          <w14:textFill>
            <w14:solidFill>
              <w14:schemeClr w14:val="tx1"/>
            </w14:solidFill>
          </w14:textFill>
        </w:rPr>
        <w:t>交货期</w:t>
      </w:r>
      <w:r>
        <w:rPr>
          <w:rFonts w:ascii="宋体" w:hAnsi="宋体" w:eastAsia="宋体" w:cs="宋体"/>
          <w:color w:val="000000" w:themeColor="text1"/>
          <w:sz w:val="23"/>
          <w:szCs w:val="23"/>
          <w14:textFill>
            <w14:solidFill>
              <w14:schemeClr w14:val="tx1"/>
            </w14:solidFill>
          </w14:textFill>
        </w:rPr>
        <w:t>不超过</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个</w:t>
      </w:r>
      <w:r>
        <w:rPr>
          <w:rFonts w:ascii="宋体" w:hAnsi="宋体" w:eastAsia="宋体" w:cs="宋体"/>
          <w:color w:val="000000" w:themeColor="text1"/>
          <w:sz w:val="23"/>
          <w:szCs w:val="23"/>
          <w14:textFill>
            <w14:solidFill>
              <w14:schemeClr w14:val="tx1"/>
            </w14:solidFill>
          </w14:textFill>
        </w:rPr>
        <w:t>日历天</w:t>
      </w:r>
      <w:r>
        <w:rPr>
          <w:rFonts w:hint="eastAsia" w:ascii="宋体" w:hAnsi="宋体" w:eastAsia="宋体" w:cs="宋体"/>
          <w:color w:val="000000" w:themeColor="text1"/>
          <w:sz w:val="23"/>
          <w:szCs w:val="23"/>
          <w14:textFill>
            <w14:solidFill>
              <w14:schemeClr w14:val="tx1"/>
            </w14:solidFill>
          </w14:textFill>
        </w:rPr>
        <w:t>（交货期自接到招标人供货书面通知之日起算），到货后不超过</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14:textFill>
            <w14:solidFill>
              <w14:schemeClr w14:val="tx1"/>
            </w14:solidFill>
          </w14:textFill>
        </w:rPr>
        <w:t>个日历天内完成安装、调试并通过当地特种设备检测机构验收</w:t>
      </w:r>
      <w:r>
        <w:rPr>
          <w:rFonts w:ascii="宋体" w:hAnsi="宋体" w:eastAsia="宋体" w:cs="宋体"/>
          <w:color w:val="000000" w:themeColor="text1"/>
          <w:sz w:val="23"/>
          <w:szCs w:val="23"/>
          <w14:textFill>
            <w14:solidFill>
              <w14:schemeClr w14:val="tx1"/>
            </w14:solidFill>
          </w14:textFill>
        </w:rPr>
        <w:t>，质量标准</w:t>
      </w:r>
      <w:r>
        <w:rPr>
          <w:rFonts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，税率：</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w:t>
      </w:r>
    </w:p>
    <w:p>
      <w:pPr>
        <w:spacing w:before="3" w:line="374" w:lineRule="auto"/>
        <w:ind w:right="63" w:firstLine="482"/>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宋体"/>
          <w:color w:val="000000" w:themeColor="text1"/>
          <w:sz w:val="23"/>
          <w:szCs w:val="23"/>
          <w:u w:val="single"/>
          <w:lang w:val="en-US" w:eastAsia="zh-CN"/>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天内递交委托合同价</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的履约保证金，并按中标通知书、招标文件和本投标函的约定与你方签订委托合同，履行规定的一切责任和义务。</w:t>
      </w:r>
    </w:p>
    <w:p>
      <w:pPr>
        <w:spacing w:before="1" w:line="375" w:lineRule="auto"/>
        <w:ind w:left="5" w:right="63" w:firstLine="54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我们同意从投标之日起在天的有效期内恪守本招标文件，在此期限期满之前的任何时间，本投标函全部条款内容对我方具有约束力。</w:t>
      </w:r>
    </w:p>
    <w:p>
      <w:pPr>
        <w:spacing w:before="2" w:line="374" w:lineRule="auto"/>
        <w:ind w:left="1" w:right="63" w:firstLine="546"/>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在合同协议书正式签署生效之前，本投标函连同你方的中标通知书将构成我们双方之间共同遵守的文件，对双方具有约束力。</w:t>
      </w:r>
    </w:p>
    <w:p>
      <w:pPr>
        <w:spacing w:before="1" w:line="373" w:lineRule="auto"/>
        <w:ind w:left="3334" w:right="84" w:firstLine="132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投标单位：</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 xml:space="preserve"> (盖章)</w:t>
      </w:r>
    </w:p>
    <w:p>
      <w:pPr>
        <w:spacing w:before="1" w:line="373" w:lineRule="auto"/>
        <w:ind w:left="3334" w:right="84" w:firstLine="132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法定代表</w:t>
      </w:r>
      <w:r>
        <w:rPr>
          <w:rFonts w:hint="eastAsia" w:ascii="宋体" w:hAnsi="宋体" w:eastAsia="宋体" w:cs="宋体"/>
          <w:color w:val="000000" w:themeColor="text1"/>
          <w:sz w:val="23"/>
          <w:szCs w:val="23"/>
          <w:lang w:val="en-US" w:eastAsia="zh-CN"/>
          <w14:textFill>
            <w14:solidFill>
              <w14:schemeClr w14:val="tx1"/>
            </w14:solidFill>
          </w14:textFill>
        </w:rPr>
        <w:t>人</w:t>
      </w:r>
      <w:r>
        <w:rPr>
          <w:rFonts w:ascii="宋体" w:hAnsi="宋体" w:eastAsia="宋体" w:cs="宋体"/>
          <w:color w:val="000000" w:themeColor="text1"/>
          <w:sz w:val="23"/>
          <w:szCs w:val="23"/>
          <w14:textFill>
            <w14:solidFill>
              <w14:schemeClr w14:val="tx1"/>
            </w14:solidFill>
          </w14:textFill>
        </w:rPr>
        <w:t>或委托代理人：(签字或盖章)</w:t>
      </w:r>
    </w:p>
    <w:p>
      <w:pPr>
        <w:spacing w:before="1" w:line="230" w:lineRule="auto"/>
        <w:ind w:firstLine="4715" w:firstLineChars="205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联系人：</w:t>
      </w:r>
      <w:r>
        <w:rPr>
          <w:rFonts w:ascii="宋体" w:hAnsi="宋体" w:eastAsia="宋体" w:cs="宋体"/>
          <w:color w:val="000000" w:themeColor="text1"/>
          <w:sz w:val="23"/>
          <w:szCs w:val="23"/>
          <w:u w:val="single"/>
          <w14:textFill>
            <w14:solidFill>
              <w14:schemeClr w14:val="tx1"/>
            </w14:solidFill>
          </w14:textFill>
        </w:rPr>
        <w:t xml:space="preserve">               </w:t>
      </w:r>
    </w:p>
    <w:p>
      <w:pPr>
        <w:spacing w:before="181" w:line="230" w:lineRule="auto"/>
        <w:ind w:firstLine="4715" w:firstLineChars="205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联系地址：</w:t>
      </w:r>
      <w:r>
        <w:rPr>
          <w:rFonts w:ascii="宋体" w:hAnsi="宋体" w:eastAsia="宋体" w:cs="宋体"/>
          <w:color w:val="000000" w:themeColor="text1"/>
          <w:sz w:val="23"/>
          <w:szCs w:val="23"/>
          <w:u w:val="single"/>
          <w14:textFill>
            <w14:solidFill>
              <w14:schemeClr w14:val="tx1"/>
            </w14:solidFill>
          </w14:textFill>
        </w:rPr>
        <w:t xml:space="preserve">              </w:t>
      </w:r>
    </w:p>
    <w:p>
      <w:pPr>
        <w:spacing w:before="182" w:line="230" w:lineRule="auto"/>
        <w:ind w:firstLine="4715" w:firstLineChars="205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电话：</w:t>
      </w:r>
      <w:r>
        <w:rPr>
          <w:rFonts w:ascii="宋体" w:hAnsi="宋体" w:eastAsia="宋体" w:cs="宋体"/>
          <w:color w:val="000000" w:themeColor="text1"/>
          <w:sz w:val="23"/>
          <w:szCs w:val="23"/>
          <w:u w:val="single"/>
          <w14:textFill>
            <w14:solidFill>
              <w14:schemeClr w14:val="tx1"/>
            </w14:solidFill>
          </w14:textFill>
        </w:rPr>
        <w:t xml:space="preserve">               </w:t>
      </w:r>
    </w:p>
    <w:p>
      <w:pPr>
        <w:tabs>
          <w:tab w:val="left" w:pos="6005"/>
        </w:tabs>
        <w:spacing w:before="178" w:line="384" w:lineRule="auto"/>
        <w:ind w:right="63" w:firstLine="4715" w:firstLineChars="205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邮编：</w:t>
      </w:r>
      <w:r>
        <w:rPr>
          <w:rFonts w:ascii="宋体" w:hAnsi="宋体" w:eastAsia="宋体" w:cs="宋体"/>
          <w:color w:val="000000" w:themeColor="text1"/>
          <w:sz w:val="23"/>
          <w:szCs w:val="23"/>
          <w:u w:val="single"/>
          <w14:textFill>
            <w14:solidFill>
              <w14:schemeClr w14:val="tx1"/>
            </w14:solidFill>
          </w14:textFill>
        </w:rPr>
        <w:t xml:space="preserve">               </w:t>
      </w:r>
    </w:p>
    <w:p>
      <w:pPr>
        <w:tabs>
          <w:tab w:val="left" w:pos="6005"/>
        </w:tabs>
        <w:spacing w:before="178" w:line="384" w:lineRule="auto"/>
        <w:ind w:left="5271" w:right="63" w:hanging="593"/>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u w:val="single"/>
          <w14:textFill>
            <w14:solidFill>
              <w14:schemeClr w14:val="tx1"/>
            </w14:solidFill>
          </w14:textFill>
        </w:rPr>
        <w:tab/>
      </w:r>
      <w:r>
        <w:rPr>
          <w:rFonts w:ascii="宋体" w:hAnsi="宋体" w:eastAsia="宋体" w:cs="宋体"/>
          <w:color w:val="000000" w:themeColor="text1"/>
          <w:sz w:val="23"/>
          <w:szCs w:val="23"/>
          <w14:textFill>
            <w14:solidFill>
              <w14:schemeClr w14:val="tx1"/>
            </w14:solidFill>
          </w14:textFill>
        </w:rPr>
        <w:t>年</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月</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日</w:t>
      </w:r>
    </w:p>
    <w:p>
      <w:pPr>
        <w:jc w:val="both"/>
        <w:rPr>
          <w:rFonts w:eastAsiaTheme="minorEastAsia"/>
          <w:color w:val="000000" w:themeColor="text1"/>
          <w14:textFill>
            <w14:solidFill>
              <w14:schemeClr w14:val="tx1"/>
            </w14:solidFill>
          </w14:textFill>
        </w:rPr>
        <w:sectPr>
          <w:footerReference r:id="rId17" w:type="default"/>
          <w:pgSz w:w="11907" w:h="16840"/>
          <w:pgMar w:top="1418" w:right="1559" w:bottom="1418" w:left="1474" w:header="0" w:footer="723" w:gutter="0"/>
          <w:cols w:space="720" w:num="1"/>
        </w:sectPr>
      </w:pPr>
    </w:p>
    <w:p>
      <w:pPr>
        <w:spacing w:before="310" w:line="221" w:lineRule="auto"/>
        <w:ind w:left="92"/>
        <w:jc w:val="both"/>
        <w:outlineLvl w:val="1"/>
        <w:rPr>
          <w:rFonts w:ascii="宋体" w:hAnsi="宋体" w:eastAsia="宋体" w:cs="宋体"/>
          <w:color w:val="000000" w:themeColor="text1"/>
          <w:sz w:val="28"/>
          <w:szCs w:val="28"/>
          <w14:textFill>
            <w14:solidFill>
              <w14:schemeClr w14:val="tx1"/>
            </w14:solidFill>
          </w14:textFill>
        </w:rPr>
      </w:pPr>
      <w:bookmarkStart w:id="61" w:name="_bookmark16"/>
      <w:bookmarkEnd w:id="61"/>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格式二：法定代表人身份证明</w:t>
      </w:r>
    </w:p>
    <w:p>
      <w:pPr>
        <w:spacing w:line="337" w:lineRule="auto"/>
        <w:jc w:val="both"/>
        <w:rPr>
          <w:color w:val="000000" w:themeColor="text1"/>
          <w14:textFill>
            <w14:solidFill>
              <w14:schemeClr w14:val="tx1"/>
            </w14:solidFill>
          </w14:textFill>
        </w:rPr>
      </w:pPr>
    </w:p>
    <w:p>
      <w:pPr>
        <w:spacing w:line="338" w:lineRule="auto"/>
        <w:jc w:val="both"/>
        <w:rPr>
          <w:color w:val="000000" w:themeColor="text1"/>
          <w14:textFill>
            <w14:solidFill>
              <w14:schemeClr w14:val="tx1"/>
            </w14:solidFill>
          </w14:textFill>
        </w:rPr>
      </w:pPr>
    </w:p>
    <w:p>
      <w:pPr>
        <w:spacing w:before="75" w:line="228" w:lineRule="auto"/>
        <w:ind w:left="3216"/>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法定代表人身份证明</w:t>
      </w:r>
    </w:p>
    <w:p>
      <w:pPr>
        <w:spacing w:line="290" w:lineRule="auto"/>
        <w:jc w:val="both"/>
        <w:rPr>
          <w:color w:val="000000" w:themeColor="text1"/>
          <w14:textFill>
            <w14:solidFill>
              <w14:schemeClr w14:val="tx1"/>
            </w14:solidFill>
          </w14:textFill>
        </w:rPr>
      </w:pPr>
    </w:p>
    <w:p>
      <w:pPr>
        <w:spacing w:line="290" w:lineRule="auto"/>
        <w:jc w:val="both"/>
        <w:rPr>
          <w:color w:val="000000" w:themeColor="text1"/>
          <w14:textFill>
            <w14:solidFill>
              <w14:schemeClr w14:val="tx1"/>
            </w14:solidFill>
          </w14:textFill>
        </w:rPr>
      </w:pPr>
    </w:p>
    <w:p>
      <w:pPr>
        <w:spacing w:line="291" w:lineRule="auto"/>
        <w:jc w:val="both"/>
        <w:rPr>
          <w:color w:val="000000" w:themeColor="text1"/>
          <w14:textFill>
            <w14:solidFill>
              <w14:schemeClr w14:val="tx1"/>
            </w14:solidFill>
          </w14:textFill>
        </w:rPr>
      </w:pPr>
    </w:p>
    <w:p>
      <w:pPr>
        <w:spacing w:line="440" w:lineRule="exact"/>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投标人名称：</w:t>
      </w:r>
      <w:r>
        <w:rPr>
          <w:rFonts w:ascii="宋体" w:hAnsi="宋体" w:eastAsia="宋体" w:cs="宋体"/>
          <w:color w:val="000000" w:themeColor="text1"/>
          <w:sz w:val="23"/>
          <w:szCs w:val="23"/>
          <w:u w:val="single"/>
          <w14:textFill>
            <w14:solidFill>
              <w14:schemeClr w14:val="tx1"/>
            </w14:solidFill>
          </w14:textFill>
        </w:rPr>
        <w:t xml:space="preserve">                                         </w:t>
      </w:r>
    </w:p>
    <w:p>
      <w:pPr>
        <w:spacing w:line="440" w:lineRule="exact"/>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单位性质：</w:t>
      </w:r>
      <w:r>
        <w:rPr>
          <w:rFonts w:ascii="宋体" w:hAnsi="宋体" w:eastAsia="宋体" w:cs="宋体"/>
          <w:color w:val="000000" w:themeColor="text1"/>
          <w:sz w:val="23"/>
          <w:szCs w:val="23"/>
          <w:u w:val="single"/>
          <w14:textFill>
            <w14:solidFill>
              <w14:schemeClr w14:val="tx1"/>
            </w14:solidFill>
          </w14:textFill>
        </w:rPr>
        <w:t xml:space="preserve">                                         </w:t>
      </w:r>
    </w:p>
    <w:p>
      <w:pPr>
        <w:spacing w:line="440" w:lineRule="exact"/>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地址：</w:t>
      </w:r>
      <w:r>
        <w:rPr>
          <w:rFonts w:ascii="宋体" w:hAnsi="宋体" w:eastAsia="宋体" w:cs="宋体"/>
          <w:color w:val="000000" w:themeColor="text1"/>
          <w:sz w:val="23"/>
          <w:szCs w:val="23"/>
          <w:u w:val="single"/>
          <w14:textFill>
            <w14:solidFill>
              <w14:schemeClr w14:val="tx1"/>
            </w14:solidFill>
          </w14:textFill>
        </w:rPr>
        <w:t xml:space="preserve">                                         </w:t>
      </w:r>
    </w:p>
    <w:p>
      <w:pPr>
        <w:spacing w:line="440" w:lineRule="exact"/>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成立时间：</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年</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月</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日</w:t>
      </w:r>
    </w:p>
    <w:p>
      <w:pPr>
        <w:spacing w:line="440" w:lineRule="exact"/>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经营期限：</w:t>
      </w:r>
      <w:r>
        <w:rPr>
          <w:rFonts w:ascii="宋体" w:hAnsi="宋体" w:eastAsia="宋体" w:cs="宋体"/>
          <w:color w:val="000000" w:themeColor="text1"/>
          <w:sz w:val="23"/>
          <w:szCs w:val="23"/>
          <w:u w:val="single"/>
          <w14:textFill>
            <w14:solidFill>
              <w14:schemeClr w14:val="tx1"/>
            </w14:solidFill>
          </w14:textFill>
        </w:rPr>
        <w:t xml:space="preserve">                                         </w:t>
      </w:r>
    </w:p>
    <w:p>
      <w:pPr>
        <w:spacing w:line="440" w:lineRule="exact"/>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姓名：</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性别：</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年龄：</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职务：</w:t>
      </w:r>
      <w:r>
        <w:rPr>
          <w:rFonts w:ascii="宋体" w:hAnsi="宋体" w:eastAsia="宋体" w:cs="宋体"/>
          <w:color w:val="000000" w:themeColor="text1"/>
          <w:sz w:val="23"/>
          <w:szCs w:val="23"/>
          <w:u w:val="single"/>
          <w14:textFill>
            <w14:solidFill>
              <w14:schemeClr w14:val="tx1"/>
            </w14:solidFill>
          </w14:textFill>
        </w:rPr>
        <w:t xml:space="preserve">   </w:t>
      </w:r>
    </w:p>
    <w:p>
      <w:pPr>
        <w:spacing w:line="440" w:lineRule="exact"/>
        <w:ind w:left="105" w:leftChars="5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系(投标人名称)的法定代表人。特此证明。</w:t>
      </w:r>
    </w:p>
    <w:p>
      <w:pPr>
        <w:spacing w:line="259" w:lineRule="auto"/>
        <w:jc w:val="both"/>
        <w:rPr>
          <w:color w:val="000000" w:themeColor="text1"/>
          <w14:textFill>
            <w14:solidFill>
              <w14:schemeClr w14:val="tx1"/>
            </w14:solidFill>
          </w14:textFill>
        </w:rPr>
      </w:pPr>
    </w:p>
    <w:p>
      <w:pPr>
        <w:spacing w:line="259" w:lineRule="auto"/>
        <w:jc w:val="both"/>
        <w:rPr>
          <w:color w:val="000000" w:themeColor="text1"/>
          <w14:textFill>
            <w14:solidFill>
              <w14:schemeClr w14:val="tx1"/>
            </w14:solidFill>
          </w14:textFill>
        </w:rPr>
      </w:pPr>
    </w:p>
    <w:p>
      <w:pPr>
        <w:spacing w:line="260" w:lineRule="auto"/>
        <w:jc w:val="both"/>
        <w:rPr>
          <w:color w:val="000000" w:themeColor="text1"/>
          <w14:textFill>
            <w14:solidFill>
              <w14:schemeClr w14:val="tx1"/>
            </w14:solidFill>
          </w14:textFill>
        </w:rPr>
      </w:pPr>
    </w:p>
    <w:p>
      <w:pPr>
        <w:tabs>
          <w:tab w:val="left" w:pos="7132"/>
        </w:tabs>
        <w:spacing w:before="75" w:line="384" w:lineRule="auto"/>
        <w:ind w:left="6162" w:right="203" w:hanging="118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投标人：</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 xml:space="preserve"> (盖章)</w:t>
      </w:r>
    </w:p>
    <w:p>
      <w:pPr>
        <w:tabs>
          <w:tab w:val="left" w:pos="7132"/>
        </w:tabs>
        <w:spacing w:before="75" w:line="384" w:lineRule="auto"/>
        <w:ind w:left="6162" w:right="203" w:hanging="118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年</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月</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日</w:t>
      </w:r>
    </w:p>
    <w:p>
      <w:pPr>
        <w:tabs>
          <w:tab w:val="left" w:pos="6144"/>
        </w:tabs>
        <w:spacing w:before="75" w:line="384" w:lineRule="auto"/>
        <w:ind w:left="5053" w:hanging="467"/>
        <w:jc w:val="both"/>
        <w:rPr>
          <w:rFonts w:ascii="宋体" w:hAnsi="宋体" w:eastAsia="宋体" w:cs="宋体"/>
          <w:color w:val="000000" w:themeColor="text1"/>
          <w:sz w:val="23"/>
          <w:szCs w:val="23"/>
          <w14:textFill>
            <w14:solidFill>
              <w14:schemeClr w14:val="tx1"/>
            </w14:solidFill>
          </w14:textFill>
        </w:rPr>
      </w:pPr>
    </w:p>
    <w:p>
      <w:pPr>
        <w:jc w:val="both"/>
        <w:rPr>
          <w:color w:val="000000" w:themeColor="text1"/>
          <w14:textFill>
            <w14:solidFill>
              <w14:schemeClr w14:val="tx1"/>
            </w14:solidFill>
          </w14:textFill>
        </w:rPr>
      </w:pPr>
    </w:p>
    <w:p>
      <w:pPr>
        <w:spacing w:line="140" w:lineRule="exact"/>
        <w:jc w:val="both"/>
        <w:rPr>
          <w:color w:val="000000" w:themeColor="text1"/>
          <w14:textFill>
            <w14:solidFill>
              <w14:schemeClr w14:val="tx1"/>
            </w14:solidFill>
          </w14:textFill>
        </w:rPr>
      </w:pPr>
    </w:p>
    <w:tbl>
      <w:tblPr>
        <w:tblStyle w:val="35"/>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tcPr>
          <w:p>
            <w:pPr>
              <w:spacing w:line="257" w:lineRule="auto"/>
              <w:jc w:val="both"/>
              <w:rPr>
                <w:color w:val="000000" w:themeColor="text1"/>
                <w14:textFill>
                  <w14:solidFill>
                    <w14:schemeClr w14:val="tx1"/>
                  </w14:solidFill>
                </w14:textFill>
              </w:rPr>
            </w:pPr>
          </w:p>
          <w:p>
            <w:pPr>
              <w:spacing w:line="258" w:lineRule="auto"/>
              <w:jc w:val="both"/>
              <w:rPr>
                <w:color w:val="000000" w:themeColor="text1"/>
                <w14:textFill>
                  <w14:solidFill>
                    <w14:schemeClr w14:val="tx1"/>
                  </w14:solidFill>
                </w14:textFill>
              </w:rPr>
            </w:pPr>
          </w:p>
          <w:p>
            <w:pPr>
              <w:spacing w:before="74" w:line="228" w:lineRule="auto"/>
              <w:ind w:left="2458"/>
              <w:jc w:val="both"/>
              <w:outlineLvl w:val="1"/>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法定代表人身份证复制件</w:t>
            </w:r>
          </w:p>
        </w:tc>
      </w:tr>
    </w:tbl>
    <w:p>
      <w:pPr>
        <w:jc w:val="both"/>
        <w:rPr>
          <w:color w:val="000000" w:themeColor="text1"/>
          <w14:textFill>
            <w14:solidFill>
              <w14:schemeClr w14:val="tx1"/>
            </w14:solidFill>
          </w14:textFill>
        </w:rPr>
      </w:pPr>
    </w:p>
    <w:p>
      <w:pPr>
        <w:jc w:val="both"/>
        <w:rPr>
          <w:color w:val="000000" w:themeColor="text1"/>
          <w14:textFill>
            <w14:solidFill>
              <w14:schemeClr w14:val="tx1"/>
            </w14:solidFill>
          </w14:textFill>
        </w:rPr>
        <w:sectPr>
          <w:footerReference r:id="rId18" w:type="default"/>
          <w:pgSz w:w="11907" w:h="16840"/>
          <w:pgMar w:top="1418" w:right="1559" w:bottom="1418" w:left="1474" w:header="0" w:footer="723" w:gutter="0"/>
          <w:cols w:space="720" w:num="1"/>
        </w:sectPr>
      </w:pPr>
    </w:p>
    <w:p>
      <w:pPr>
        <w:spacing w:before="310" w:line="221" w:lineRule="auto"/>
        <w:ind w:left="388"/>
        <w:jc w:val="both"/>
        <w:rPr>
          <w:rFonts w:ascii="宋体" w:hAnsi="宋体" w:eastAsia="宋体" w:cs="宋体"/>
          <w:color w:val="000000" w:themeColor="text1"/>
          <w:sz w:val="28"/>
          <w:szCs w:val="28"/>
          <w14:textFill>
            <w14:solidFill>
              <w14:schemeClr w14:val="tx1"/>
            </w14:solidFill>
          </w14:textFill>
        </w:rPr>
      </w:pPr>
      <w:bookmarkStart w:id="62" w:name="_bookmark17"/>
      <w:bookmarkEnd w:id="62"/>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格式三：</w:t>
      </w:r>
      <w:r>
        <w:rPr>
          <w:rFonts w:hint="eastAsia"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法定代表人</w:t>
      </w:r>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授权委托书</w:t>
      </w:r>
    </w:p>
    <w:p>
      <w:pPr>
        <w:spacing w:line="328" w:lineRule="auto"/>
        <w:jc w:val="both"/>
        <w:rPr>
          <w:color w:val="000000" w:themeColor="text1"/>
          <w14:textFill>
            <w14:solidFill>
              <w14:schemeClr w14:val="tx1"/>
            </w14:solidFill>
          </w14:textFill>
        </w:rPr>
      </w:pPr>
    </w:p>
    <w:p>
      <w:pPr>
        <w:spacing w:line="328" w:lineRule="auto"/>
        <w:jc w:val="both"/>
        <w:rPr>
          <w:color w:val="000000" w:themeColor="text1"/>
          <w14:textFill>
            <w14:solidFill>
              <w14:schemeClr w14:val="tx1"/>
            </w14:solidFill>
          </w14:textFill>
        </w:rPr>
      </w:pPr>
    </w:p>
    <w:p>
      <w:pPr>
        <w:spacing w:before="75" w:line="227" w:lineRule="auto"/>
        <w:jc w:val="center"/>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法定代表人</w:t>
      </w: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授权委托书</w:t>
      </w:r>
    </w:p>
    <w:p>
      <w:pPr>
        <w:spacing w:line="386" w:lineRule="auto"/>
        <w:jc w:val="both"/>
        <w:rPr>
          <w:color w:val="000000" w:themeColor="text1"/>
          <w14:textFill>
            <w14:solidFill>
              <w14:schemeClr w14:val="tx1"/>
            </w14:solidFill>
          </w14:textFill>
        </w:rPr>
      </w:pPr>
    </w:p>
    <w:p>
      <w:pPr>
        <w:spacing w:before="75" w:line="375" w:lineRule="auto"/>
        <w:ind w:firstLine="589"/>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本人</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 xml:space="preserve"> (姓名)系</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 xml:space="preserve"> (投标人名称)的法定代表人，现委托</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 xml:space="preserve"> (姓名)为我方代理人。代理人根据授权，以我方名义签署、澄清、说明、补正、递交、撤回、修改</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 xml:space="preserve"> (项目及标段名称)的投标文件、签订合同和处理有关事宜，其法律后果由我方承担。</w:t>
      </w:r>
    </w:p>
    <w:p>
      <w:pPr>
        <w:spacing w:line="375" w:lineRule="auto"/>
        <w:ind w:left="34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委托期限</w:t>
      </w:r>
      <w:r>
        <w:rPr>
          <w:rFonts w:ascii="宋体" w:hAnsi="宋体" w:eastAsia="宋体" w:cs="宋体"/>
          <w:color w:val="000000" w:themeColor="text1"/>
          <w:sz w:val="23"/>
          <w:szCs w:val="23"/>
          <w:u w:val="single"/>
          <w14:textFill>
            <w14:solidFill>
              <w14:schemeClr w14:val="tx1"/>
            </w14:solidFill>
          </w14:textFill>
        </w:rPr>
        <w:t xml:space="preserve">  </w:t>
      </w:r>
      <w:r>
        <w:rPr>
          <w:rFonts w:hint="eastAsia"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w:t>
      </w:r>
    </w:p>
    <w:p>
      <w:pPr>
        <w:spacing w:line="375" w:lineRule="auto"/>
        <w:ind w:left="347"/>
        <w:jc w:val="both"/>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委托代理人联系电话：</w:t>
      </w:r>
      <w:r>
        <w:rPr>
          <w:rFonts w:hint="eastAsia" w:ascii="宋体" w:hAnsi="宋体" w:eastAsia="宋体" w:cs="宋体"/>
          <w:color w:val="000000" w:themeColor="text1"/>
          <w:sz w:val="23"/>
          <w:szCs w:val="23"/>
          <w:u w:val="single"/>
          <w14:textFill>
            <w14:solidFill>
              <w14:schemeClr w14:val="tx1"/>
            </w14:solidFill>
          </w14:textFill>
        </w:rPr>
        <w:t xml:space="preserve">            </w:t>
      </w:r>
    </w:p>
    <w:p>
      <w:pPr>
        <w:spacing w:line="228" w:lineRule="auto"/>
        <w:ind w:left="34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代理人无转委托权。</w:t>
      </w:r>
    </w:p>
    <w:p>
      <w:pPr>
        <w:spacing w:before="181" w:line="227" w:lineRule="auto"/>
        <w:ind w:left="36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附：委托代理人身份证明</w:t>
      </w:r>
    </w:p>
    <w:p>
      <w:pPr>
        <w:spacing w:line="285" w:lineRule="auto"/>
        <w:jc w:val="both"/>
        <w:rPr>
          <w:color w:val="000000" w:themeColor="text1"/>
          <w14:textFill>
            <w14:solidFill>
              <w14:schemeClr w14:val="tx1"/>
            </w14:solidFill>
          </w14:textFill>
        </w:rPr>
      </w:pPr>
    </w:p>
    <w:p>
      <w:pPr>
        <w:spacing w:line="286" w:lineRule="auto"/>
        <w:jc w:val="both"/>
        <w:rPr>
          <w:color w:val="000000" w:themeColor="text1"/>
          <w14:textFill>
            <w14:solidFill>
              <w14:schemeClr w14:val="tx1"/>
            </w14:solidFill>
          </w14:textFill>
        </w:rPr>
      </w:pPr>
    </w:p>
    <w:p>
      <w:pPr>
        <w:spacing w:before="76" w:line="376" w:lineRule="auto"/>
        <w:ind w:left="35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投标人：</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 xml:space="preserve"> (盖单位公章)</w:t>
      </w:r>
    </w:p>
    <w:p>
      <w:pPr>
        <w:spacing w:line="227" w:lineRule="auto"/>
        <w:ind w:left="349"/>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法定代表人：</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 xml:space="preserve"> (签字或盖章)</w:t>
      </w:r>
    </w:p>
    <w:p>
      <w:pPr>
        <w:spacing w:before="185" w:line="374" w:lineRule="auto"/>
        <w:ind w:left="35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身份证号码：</w:t>
      </w:r>
      <w:r>
        <w:rPr>
          <w:rFonts w:ascii="宋体" w:hAnsi="宋体" w:eastAsia="宋体" w:cs="宋体"/>
          <w:color w:val="000000" w:themeColor="text1"/>
          <w:sz w:val="23"/>
          <w:szCs w:val="23"/>
          <w:u w:val="single"/>
          <w14:textFill>
            <w14:solidFill>
              <w14:schemeClr w14:val="tx1"/>
            </w14:solidFill>
          </w14:textFill>
        </w:rPr>
        <w:t xml:space="preserve">                  </w:t>
      </w:r>
    </w:p>
    <w:p>
      <w:pPr>
        <w:spacing w:line="228" w:lineRule="auto"/>
        <w:ind w:left="34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委托代理人：</w:t>
      </w:r>
      <w:r>
        <w:rPr>
          <w:rFonts w:ascii="宋体" w:hAnsi="宋体" w:eastAsia="宋体" w:cs="宋体"/>
          <w:color w:val="000000" w:themeColor="text1"/>
          <w:sz w:val="23"/>
          <w:szCs w:val="23"/>
          <w:u w:val="single"/>
          <w14:textFill>
            <w14:solidFill>
              <w14:schemeClr w14:val="tx1"/>
            </w14:solidFill>
          </w14:textFill>
        </w:rPr>
        <w:t xml:space="preserve">                  </w:t>
      </w:r>
    </w:p>
    <w:p>
      <w:pPr>
        <w:spacing w:before="184" w:line="227" w:lineRule="auto"/>
        <w:ind w:left="348"/>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手机号码：</w:t>
      </w:r>
      <w:r>
        <w:rPr>
          <w:rFonts w:ascii="宋体" w:hAnsi="宋体" w:eastAsia="宋体" w:cs="宋体"/>
          <w:color w:val="000000" w:themeColor="text1"/>
          <w:sz w:val="23"/>
          <w:szCs w:val="23"/>
          <w:u w:val="single"/>
          <w14:textFill>
            <w14:solidFill>
              <w14:schemeClr w14:val="tx1"/>
            </w14:solidFill>
          </w14:textFill>
        </w:rPr>
        <w:t xml:space="preserve">                  </w:t>
      </w:r>
    </w:p>
    <w:p>
      <w:pPr>
        <w:spacing w:before="183" w:line="228" w:lineRule="auto"/>
        <w:ind w:left="35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身份证号码：</w:t>
      </w:r>
      <w:r>
        <w:rPr>
          <w:rFonts w:ascii="宋体" w:hAnsi="宋体" w:eastAsia="宋体" w:cs="宋体"/>
          <w:color w:val="000000" w:themeColor="text1"/>
          <w:sz w:val="23"/>
          <w:szCs w:val="23"/>
          <w:u w:val="single"/>
          <w14:textFill>
            <w14:solidFill>
              <w14:schemeClr w14:val="tx1"/>
            </w14:solidFill>
          </w14:textFill>
        </w:rPr>
        <w:t xml:space="preserve">                  </w:t>
      </w:r>
    </w:p>
    <w:p>
      <w:pPr>
        <w:spacing w:line="285" w:lineRule="auto"/>
        <w:jc w:val="both"/>
        <w:rPr>
          <w:color w:val="000000" w:themeColor="text1"/>
          <w14:textFill>
            <w14:solidFill>
              <w14:schemeClr w14:val="tx1"/>
            </w14:solidFill>
          </w14:textFill>
        </w:rPr>
      </w:pPr>
    </w:p>
    <w:p>
      <w:pPr>
        <w:spacing w:line="286" w:lineRule="auto"/>
        <w:jc w:val="both"/>
        <w:rPr>
          <w:color w:val="000000" w:themeColor="text1"/>
          <w14:textFill>
            <w14:solidFill>
              <w14:schemeClr w14:val="tx1"/>
            </w14:solidFill>
          </w14:textFill>
        </w:rPr>
      </w:pPr>
    </w:p>
    <w:p>
      <w:pPr>
        <w:tabs>
          <w:tab w:val="left" w:pos="7132"/>
        </w:tabs>
        <w:spacing w:before="75" w:line="384" w:lineRule="auto"/>
        <w:ind w:left="6162" w:right="203" w:hanging="118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年</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月</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日</w:t>
      </w:r>
    </w:p>
    <w:p>
      <w:pPr>
        <w:jc w:val="both"/>
        <w:rPr>
          <w:color w:val="000000" w:themeColor="text1"/>
          <w14:textFill>
            <w14:solidFill>
              <w14:schemeClr w14:val="tx1"/>
            </w14:solidFill>
          </w14:textFill>
        </w:rPr>
      </w:pPr>
    </w:p>
    <w:p>
      <w:pPr>
        <w:jc w:val="both"/>
        <w:rPr>
          <w:color w:val="000000" w:themeColor="text1"/>
          <w14:textFill>
            <w14:solidFill>
              <w14:schemeClr w14:val="tx1"/>
            </w14:solidFill>
          </w14:textFill>
        </w:rPr>
      </w:pPr>
    </w:p>
    <w:p>
      <w:pPr>
        <w:spacing w:line="105" w:lineRule="exact"/>
        <w:jc w:val="both"/>
        <w:rPr>
          <w:color w:val="000000" w:themeColor="text1"/>
          <w14:textFill>
            <w14:solidFill>
              <w14:schemeClr w14:val="tx1"/>
            </w14:solidFill>
          </w14:textFill>
        </w:rPr>
      </w:pPr>
    </w:p>
    <w:tbl>
      <w:tblPr>
        <w:tblStyle w:val="35"/>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tcPr>
          <w:p>
            <w:pPr>
              <w:spacing w:line="256" w:lineRule="auto"/>
              <w:jc w:val="both"/>
              <w:rPr>
                <w:color w:val="000000" w:themeColor="text1"/>
                <w14:textFill>
                  <w14:solidFill>
                    <w14:schemeClr w14:val="tx1"/>
                  </w14:solidFill>
                </w14:textFill>
              </w:rPr>
            </w:pPr>
          </w:p>
          <w:p>
            <w:pPr>
              <w:spacing w:line="257" w:lineRule="auto"/>
              <w:jc w:val="both"/>
              <w:rPr>
                <w:color w:val="000000" w:themeColor="text1"/>
                <w14:textFill>
                  <w14:solidFill>
                    <w14:schemeClr w14:val="tx1"/>
                  </w14:solidFill>
                </w14:textFill>
              </w:rPr>
            </w:pPr>
          </w:p>
          <w:p>
            <w:pPr>
              <w:spacing w:before="75" w:line="228" w:lineRule="auto"/>
              <w:ind w:left="2422"/>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委托代理人身份证复制件</w:t>
            </w:r>
          </w:p>
        </w:tc>
      </w:tr>
    </w:tbl>
    <w:p>
      <w:pPr>
        <w:jc w:val="both"/>
        <w:rPr>
          <w:color w:val="000000" w:themeColor="text1"/>
          <w14:textFill>
            <w14:solidFill>
              <w14:schemeClr w14:val="tx1"/>
            </w14:solidFill>
          </w14:textFill>
        </w:rPr>
      </w:pPr>
    </w:p>
    <w:p>
      <w:pPr>
        <w:jc w:val="both"/>
        <w:rPr>
          <w:color w:val="000000" w:themeColor="text1"/>
          <w14:textFill>
            <w14:solidFill>
              <w14:schemeClr w14:val="tx1"/>
            </w14:solidFill>
          </w14:textFill>
        </w:rPr>
        <w:sectPr>
          <w:footerReference r:id="rId19" w:type="default"/>
          <w:pgSz w:w="11907" w:h="16840"/>
          <w:pgMar w:top="1418" w:right="1559" w:bottom="1418" w:left="1474" w:header="0" w:footer="723" w:gutter="0"/>
          <w:cols w:space="720" w:num="1"/>
        </w:sectPr>
      </w:pPr>
    </w:p>
    <w:p>
      <w:pPr>
        <w:spacing w:before="163" w:line="221" w:lineRule="auto"/>
        <w:ind w:left="617"/>
        <w:jc w:val="both"/>
        <w:outlineLvl w:val="1"/>
        <w:rPr>
          <w:rFonts w:ascii="宋体" w:hAnsi="宋体" w:eastAsia="宋体" w:cs="宋体"/>
          <w:color w:val="000000" w:themeColor="text1"/>
          <w:sz w:val="28"/>
          <w:szCs w:val="28"/>
          <w14:textFill>
            <w14:solidFill>
              <w14:schemeClr w14:val="tx1"/>
            </w14:solidFill>
          </w14:textFill>
        </w:rPr>
      </w:pPr>
      <w:bookmarkStart w:id="63" w:name="_bookmark18"/>
      <w:bookmarkEnd w:id="63"/>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格式四：投标报价表</w:t>
      </w:r>
    </w:p>
    <w:p>
      <w:pPr>
        <w:spacing w:before="246" w:line="224" w:lineRule="auto"/>
        <w:ind w:left="6702"/>
        <w:jc w:val="both"/>
        <w:rPr>
          <w:rFonts w:ascii="宋体" w:hAnsi="宋体" w:eastAsia="宋体" w:cs="宋体"/>
          <w:color w:val="000000" w:themeColor="text1"/>
          <w:sz w:val="31"/>
          <w:szCs w:val="31"/>
          <w14:textFill>
            <w14:solidFill>
              <w14:schemeClr w14:val="tx1"/>
            </w14:solidFill>
          </w14:textFill>
        </w:rPr>
      </w:pPr>
      <w:r>
        <w:rPr>
          <w:rFonts w:ascii="宋体" w:hAnsi="宋体" w:eastAsia="宋体" w:cs="宋体"/>
          <w:color w:val="000000" w:themeColor="text1"/>
          <w:sz w:val="31"/>
          <w:szCs w:val="31"/>
          <w14:textOutline w14:w="5791" w14:cap="sq" w14:cmpd="sng" w14:algn="ctr">
            <w14:solidFill>
              <w14:srgbClr w14:val="000000"/>
            </w14:solidFill>
            <w14:prstDash w14:val="solid"/>
            <w14:bevel/>
          </w14:textOutline>
          <w14:textFill>
            <w14:solidFill>
              <w14:schemeClr w14:val="tx1"/>
            </w14:solidFill>
          </w14:textFill>
        </w:rPr>
        <w:t>投标报价表</w:t>
      </w:r>
    </w:p>
    <w:p>
      <w:pPr>
        <w:spacing w:before="130" w:line="229" w:lineRule="auto"/>
        <w:ind w:left="11859"/>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单位：人民币元</w:t>
      </w:r>
    </w:p>
    <w:p>
      <w:pPr>
        <w:spacing w:line="98" w:lineRule="auto"/>
        <w:jc w:val="both"/>
        <w:rPr>
          <w:color w:val="000000" w:themeColor="text1"/>
          <w:sz w:val="2"/>
          <w14:textFill>
            <w14:solidFill>
              <w14:schemeClr w14:val="tx1"/>
            </w14:solidFill>
          </w14:textFill>
        </w:rPr>
      </w:pPr>
    </w:p>
    <w:tbl>
      <w:tblPr>
        <w:tblStyle w:val="35"/>
        <w:tblW w:w="146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1813"/>
        <w:gridCol w:w="882"/>
        <w:gridCol w:w="1004"/>
        <w:gridCol w:w="1168"/>
        <w:gridCol w:w="1140"/>
        <w:gridCol w:w="1446"/>
        <w:gridCol w:w="1520"/>
        <w:gridCol w:w="900"/>
        <w:gridCol w:w="1269"/>
        <w:gridCol w:w="1424"/>
        <w:gridCol w:w="123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852" w:type="dxa"/>
          </w:tcPr>
          <w:p>
            <w:pPr>
              <w:spacing w:before="176" w:line="193" w:lineRule="auto"/>
              <w:ind w:left="394"/>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1</w:t>
            </w:r>
          </w:p>
        </w:tc>
        <w:tc>
          <w:tcPr>
            <w:tcW w:w="1813" w:type="dxa"/>
          </w:tcPr>
          <w:p>
            <w:pPr>
              <w:spacing w:before="177" w:line="192" w:lineRule="auto"/>
              <w:ind w:left="893"/>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2</w:t>
            </w:r>
          </w:p>
        </w:tc>
        <w:tc>
          <w:tcPr>
            <w:tcW w:w="882" w:type="dxa"/>
          </w:tcPr>
          <w:p>
            <w:pPr>
              <w:spacing w:before="178" w:line="190" w:lineRule="auto"/>
              <w:ind w:left="396"/>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3</w:t>
            </w:r>
          </w:p>
        </w:tc>
        <w:tc>
          <w:tcPr>
            <w:tcW w:w="1004" w:type="dxa"/>
          </w:tcPr>
          <w:p>
            <w:pPr>
              <w:spacing w:before="177" w:line="192" w:lineRule="auto"/>
              <w:ind w:left="453"/>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4</w:t>
            </w:r>
          </w:p>
        </w:tc>
        <w:tc>
          <w:tcPr>
            <w:tcW w:w="1168" w:type="dxa"/>
          </w:tcPr>
          <w:p>
            <w:pPr>
              <w:spacing w:before="179" w:line="189" w:lineRule="auto"/>
              <w:ind w:left="562"/>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5</w:t>
            </w:r>
          </w:p>
        </w:tc>
        <w:tc>
          <w:tcPr>
            <w:tcW w:w="1140" w:type="dxa"/>
          </w:tcPr>
          <w:p>
            <w:pPr>
              <w:spacing w:before="178" w:line="190" w:lineRule="auto"/>
              <w:ind w:left="522"/>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6</w:t>
            </w:r>
          </w:p>
        </w:tc>
        <w:tc>
          <w:tcPr>
            <w:tcW w:w="1446" w:type="dxa"/>
          </w:tcPr>
          <w:p>
            <w:pPr>
              <w:spacing w:before="179" w:line="189" w:lineRule="auto"/>
              <w:ind w:left="679"/>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7</w:t>
            </w:r>
          </w:p>
        </w:tc>
        <w:tc>
          <w:tcPr>
            <w:tcW w:w="1520" w:type="dxa"/>
          </w:tcPr>
          <w:p>
            <w:pPr>
              <w:spacing w:before="178" w:line="190" w:lineRule="auto"/>
              <w:ind w:left="715"/>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8</w:t>
            </w:r>
          </w:p>
        </w:tc>
        <w:tc>
          <w:tcPr>
            <w:tcW w:w="900" w:type="dxa"/>
          </w:tcPr>
          <w:p>
            <w:pPr>
              <w:spacing w:before="178" w:line="190" w:lineRule="auto"/>
              <w:ind w:left="404"/>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9</w:t>
            </w:r>
          </w:p>
        </w:tc>
        <w:tc>
          <w:tcPr>
            <w:tcW w:w="1269" w:type="dxa"/>
          </w:tcPr>
          <w:p>
            <w:pPr>
              <w:spacing w:before="176" w:line="191" w:lineRule="auto"/>
              <w:ind w:left="551"/>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10</w:t>
            </w:r>
          </w:p>
        </w:tc>
        <w:tc>
          <w:tcPr>
            <w:tcW w:w="1424" w:type="dxa"/>
          </w:tcPr>
          <w:p>
            <w:pPr>
              <w:spacing w:before="176" w:line="193" w:lineRule="auto"/>
              <w:ind w:left="628"/>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11</w:t>
            </w:r>
          </w:p>
        </w:tc>
        <w:tc>
          <w:tcPr>
            <w:tcW w:w="1235" w:type="dxa"/>
          </w:tcPr>
          <w:p>
            <w:pPr>
              <w:spacing w:before="176" w:line="193" w:lineRule="auto"/>
              <w:ind w:left="534"/>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12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852" w:type="dxa"/>
          </w:tcPr>
          <w:p>
            <w:pPr>
              <w:spacing w:line="471" w:lineRule="auto"/>
              <w:jc w:val="both"/>
              <w:rPr>
                <w:color w:val="000000" w:themeColor="text1"/>
                <w14:textFill>
                  <w14:solidFill>
                    <w14:schemeClr w14:val="tx1"/>
                  </w14:solidFill>
                </w14:textFill>
              </w:rPr>
            </w:pPr>
          </w:p>
          <w:p>
            <w:pPr>
              <w:spacing w:before="65" w:line="229" w:lineRule="auto"/>
              <w:ind w:left="274"/>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项号</w:t>
            </w:r>
          </w:p>
        </w:tc>
        <w:tc>
          <w:tcPr>
            <w:tcW w:w="1813" w:type="dxa"/>
          </w:tcPr>
          <w:p>
            <w:pPr>
              <w:spacing w:line="273" w:lineRule="auto"/>
              <w:jc w:val="both"/>
              <w:rPr>
                <w:color w:val="000000" w:themeColor="text1"/>
                <w14:textFill>
                  <w14:solidFill>
                    <w14:schemeClr w14:val="tx1"/>
                  </w14:solidFill>
                </w14:textFill>
              </w:rPr>
            </w:pPr>
          </w:p>
          <w:p>
            <w:pPr>
              <w:spacing w:before="65" w:line="401" w:lineRule="exact"/>
              <w:ind w:left="528"/>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position w:val="14"/>
                <w:sz w:val="20"/>
                <w:szCs w:val="20"/>
                <w14:textFill>
                  <w14:solidFill>
                    <w14:schemeClr w14:val="tx1"/>
                  </w14:solidFill>
                </w14:textFill>
              </w:rPr>
              <w:t>货物名称</w:t>
            </w:r>
          </w:p>
          <w:p>
            <w:pPr>
              <w:spacing w:line="228" w:lineRule="auto"/>
              <w:ind w:left="529"/>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型号规格</w:t>
            </w:r>
          </w:p>
        </w:tc>
        <w:tc>
          <w:tcPr>
            <w:tcW w:w="882" w:type="dxa"/>
          </w:tcPr>
          <w:p>
            <w:pPr>
              <w:spacing w:line="272" w:lineRule="auto"/>
              <w:jc w:val="both"/>
              <w:rPr>
                <w:color w:val="000000" w:themeColor="text1"/>
                <w14:textFill>
                  <w14:solidFill>
                    <w14:schemeClr w14:val="tx1"/>
                  </w14:solidFill>
                </w14:textFill>
              </w:rPr>
            </w:pPr>
          </w:p>
          <w:p>
            <w:pPr>
              <w:spacing w:before="65" w:line="379" w:lineRule="auto"/>
              <w:ind w:left="16" w:right="59" w:firstLine="220"/>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产地(品牌)</w:t>
            </w:r>
          </w:p>
        </w:tc>
        <w:tc>
          <w:tcPr>
            <w:tcW w:w="1004" w:type="dxa"/>
          </w:tcPr>
          <w:p>
            <w:pPr>
              <w:spacing w:line="471" w:lineRule="auto"/>
              <w:jc w:val="both"/>
              <w:rPr>
                <w:color w:val="000000" w:themeColor="text1"/>
                <w14:textFill>
                  <w14:solidFill>
                    <w14:schemeClr w14:val="tx1"/>
                  </w14:solidFill>
                </w14:textFill>
              </w:rPr>
            </w:pPr>
          </w:p>
          <w:p>
            <w:pPr>
              <w:spacing w:before="66" w:line="228" w:lineRule="auto"/>
              <w:ind w:left="316"/>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数量</w:t>
            </w:r>
          </w:p>
        </w:tc>
        <w:tc>
          <w:tcPr>
            <w:tcW w:w="1168" w:type="dxa"/>
          </w:tcPr>
          <w:p>
            <w:pPr>
              <w:spacing w:line="272" w:lineRule="auto"/>
              <w:jc w:val="both"/>
              <w:rPr>
                <w:color w:val="000000" w:themeColor="text1"/>
                <w14:textFill>
                  <w14:solidFill>
                    <w14:schemeClr w14:val="tx1"/>
                  </w14:solidFill>
                </w14:textFill>
              </w:rPr>
            </w:pPr>
          </w:p>
          <w:p>
            <w:pPr>
              <w:spacing w:before="65" w:line="379" w:lineRule="auto"/>
              <w:ind w:left="290" w:right="141" w:hanging="81"/>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出厂单价(含税)</w:t>
            </w:r>
          </w:p>
        </w:tc>
        <w:tc>
          <w:tcPr>
            <w:tcW w:w="1140" w:type="dxa"/>
          </w:tcPr>
          <w:p>
            <w:pPr>
              <w:spacing w:before="141" w:line="228" w:lineRule="auto"/>
              <w:ind w:left="161"/>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运杂、及</w:t>
            </w:r>
          </w:p>
          <w:p>
            <w:pPr>
              <w:spacing w:before="151" w:line="229" w:lineRule="auto"/>
              <w:ind w:left="260"/>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保险费</w:t>
            </w:r>
          </w:p>
          <w:p>
            <w:pPr>
              <w:spacing w:before="153" w:line="228" w:lineRule="auto"/>
              <w:ind w:left="303"/>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(含税)</w:t>
            </w:r>
          </w:p>
        </w:tc>
        <w:tc>
          <w:tcPr>
            <w:tcW w:w="1446" w:type="dxa"/>
          </w:tcPr>
          <w:p>
            <w:pPr>
              <w:spacing w:before="141" w:line="228" w:lineRule="auto"/>
              <w:ind w:left="211"/>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特殊工具费</w:t>
            </w:r>
          </w:p>
          <w:p>
            <w:pPr>
              <w:spacing w:before="151" w:line="228" w:lineRule="auto"/>
              <w:ind w:left="214"/>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备品备件费</w:t>
            </w:r>
          </w:p>
          <w:p>
            <w:pPr>
              <w:spacing w:before="153" w:line="228" w:lineRule="auto"/>
              <w:ind w:left="449"/>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(含税)</w:t>
            </w:r>
          </w:p>
        </w:tc>
        <w:tc>
          <w:tcPr>
            <w:tcW w:w="1520" w:type="dxa"/>
          </w:tcPr>
          <w:p>
            <w:pPr>
              <w:spacing w:line="274" w:lineRule="auto"/>
              <w:jc w:val="both"/>
              <w:rPr>
                <w:color w:val="000000" w:themeColor="text1"/>
                <w14:textFill>
                  <w14:solidFill>
                    <w14:schemeClr w14:val="tx1"/>
                  </w14:solidFill>
                </w14:textFill>
              </w:rPr>
            </w:pPr>
          </w:p>
          <w:p>
            <w:pPr>
              <w:spacing w:before="65" w:line="228" w:lineRule="auto"/>
              <w:ind w:left="248"/>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相关服务费</w:t>
            </w:r>
          </w:p>
          <w:p>
            <w:pPr>
              <w:spacing w:before="153" w:line="228" w:lineRule="auto"/>
              <w:ind w:left="496"/>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(含税)</w:t>
            </w:r>
          </w:p>
        </w:tc>
        <w:tc>
          <w:tcPr>
            <w:tcW w:w="900" w:type="dxa"/>
          </w:tcPr>
          <w:p>
            <w:pPr>
              <w:spacing w:line="272" w:lineRule="auto"/>
              <w:jc w:val="both"/>
              <w:rPr>
                <w:color w:val="000000" w:themeColor="text1"/>
                <w14:textFill>
                  <w14:solidFill>
                    <w14:schemeClr w14:val="tx1"/>
                  </w14:solidFill>
                </w14:textFill>
              </w:rPr>
            </w:pPr>
          </w:p>
          <w:p>
            <w:pPr>
              <w:spacing w:before="65" w:line="379" w:lineRule="auto"/>
              <w:ind w:left="179" w:right="130" w:firstLine="69"/>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其他(含税)</w:t>
            </w:r>
          </w:p>
        </w:tc>
        <w:tc>
          <w:tcPr>
            <w:tcW w:w="1269" w:type="dxa"/>
          </w:tcPr>
          <w:p>
            <w:pPr>
              <w:spacing w:line="272" w:lineRule="auto"/>
              <w:jc w:val="both"/>
              <w:rPr>
                <w:color w:val="000000" w:themeColor="text1"/>
                <w14:textFill>
                  <w14:solidFill>
                    <w14:schemeClr w14:val="tx1"/>
                  </w14:solidFill>
                </w14:textFill>
              </w:rPr>
            </w:pPr>
          </w:p>
          <w:p>
            <w:pPr>
              <w:spacing w:before="65" w:line="379" w:lineRule="auto"/>
              <w:ind w:left="361" w:right="109" w:hanging="34"/>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综合单价(含税)</w:t>
            </w:r>
          </w:p>
        </w:tc>
        <w:tc>
          <w:tcPr>
            <w:tcW w:w="1424" w:type="dxa"/>
          </w:tcPr>
          <w:p>
            <w:pPr>
              <w:spacing w:line="471" w:lineRule="auto"/>
              <w:jc w:val="both"/>
              <w:rPr>
                <w:color w:val="000000" w:themeColor="text1"/>
                <w14:textFill>
                  <w14:solidFill>
                    <w14:schemeClr w14:val="tx1"/>
                  </w14:solidFill>
                </w14:textFill>
              </w:rPr>
            </w:pPr>
          </w:p>
          <w:p>
            <w:pPr>
              <w:spacing w:before="65" w:line="227" w:lineRule="auto"/>
              <w:ind w:left="510"/>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总价</w:t>
            </w:r>
          </w:p>
        </w:tc>
        <w:tc>
          <w:tcPr>
            <w:tcW w:w="1235" w:type="dxa"/>
          </w:tcPr>
          <w:p>
            <w:pPr>
              <w:spacing w:line="471" w:lineRule="auto"/>
              <w:jc w:val="both"/>
              <w:rPr>
                <w:color w:val="000000" w:themeColor="text1"/>
                <w14:textFill>
                  <w14:solidFill>
                    <w14:schemeClr w14:val="tx1"/>
                  </w14:solidFill>
                </w14:textFill>
              </w:rPr>
            </w:pPr>
          </w:p>
          <w:p>
            <w:pPr>
              <w:spacing w:before="65" w:line="230" w:lineRule="auto"/>
              <w:ind w:left="415"/>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52" w:type="dxa"/>
          </w:tcPr>
          <w:p>
            <w:pPr>
              <w:jc w:val="both"/>
              <w:rPr>
                <w:color w:val="000000" w:themeColor="text1"/>
                <w14:textFill>
                  <w14:solidFill>
                    <w14:schemeClr w14:val="tx1"/>
                  </w14:solidFill>
                </w14:textFill>
              </w:rPr>
            </w:pPr>
          </w:p>
        </w:tc>
        <w:tc>
          <w:tcPr>
            <w:tcW w:w="1813" w:type="dxa"/>
          </w:tcPr>
          <w:p>
            <w:pPr>
              <w:jc w:val="both"/>
              <w:rPr>
                <w:color w:val="000000" w:themeColor="text1"/>
                <w14:textFill>
                  <w14:solidFill>
                    <w14:schemeClr w14:val="tx1"/>
                  </w14:solidFill>
                </w14:textFill>
              </w:rPr>
            </w:pPr>
          </w:p>
        </w:tc>
        <w:tc>
          <w:tcPr>
            <w:tcW w:w="882" w:type="dxa"/>
          </w:tcPr>
          <w:p>
            <w:pPr>
              <w:jc w:val="both"/>
              <w:rPr>
                <w:color w:val="000000" w:themeColor="text1"/>
                <w14:textFill>
                  <w14:solidFill>
                    <w14:schemeClr w14:val="tx1"/>
                  </w14:solidFill>
                </w14:textFill>
              </w:rPr>
            </w:pPr>
          </w:p>
        </w:tc>
        <w:tc>
          <w:tcPr>
            <w:tcW w:w="1004" w:type="dxa"/>
          </w:tcPr>
          <w:p>
            <w:pPr>
              <w:jc w:val="both"/>
              <w:rPr>
                <w:color w:val="000000" w:themeColor="text1"/>
                <w14:textFill>
                  <w14:solidFill>
                    <w14:schemeClr w14:val="tx1"/>
                  </w14:solidFill>
                </w14:textFill>
              </w:rPr>
            </w:pPr>
          </w:p>
        </w:tc>
        <w:tc>
          <w:tcPr>
            <w:tcW w:w="1168" w:type="dxa"/>
          </w:tcPr>
          <w:p>
            <w:pPr>
              <w:jc w:val="both"/>
              <w:rPr>
                <w:color w:val="000000" w:themeColor="text1"/>
                <w14:textFill>
                  <w14:solidFill>
                    <w14:schemeClr w14:val="tx1"/>
                  </w14:solidFill>
                </w14:textFill>
              </w:rPr>
            </w:pPr>
          </w:p>
        </w:tc>
        <w:tc>
          <w:tcPr>
            <w:tcW w:w="1140" w:type="dxa"/>
          </w:tcPr>
          <w:p>
            <w:pPr>
              <w:jc w:val="both"/>
              <w:rPr>
                <w:color w:val="000000" w:themeColor="text1"/>
                <w14:textFill>
                  <w14:solidFill>
                    <w14:schemeClr w14:val="tx1"/>
                  </w14:solidFill>
                </w14:textFill>
              </w:rPr>
            </w:pPr>
          </w:p>
        </w:tc>
        <w:tc>
          <w:tcPr>
            <w:tcW w:w="1446" w:type="dxa"/>
          </w:tcPr>
          <w:p>
            <w:pPr>
              <w:jc w:val="both"/>
              <w:rPr>
                <w:color w:val="000000" w:themeColor="text1"/>
                <w14:textFill>
                  <w14:solidFill>
                    <w14:schemeClr w14:val="tx1"/>
                  </w14:solidFill>
                </w14:textFill>
              </w:rPr>
            </w:pPr>
          </w:p>
        </w:tc>
        <w:tc>
          <w:tcPr>
            <w:tcW w:w="1520" w:type="dxa"/>
          </w:tcPr>
          <w:p>
            <w:pPr>
              <w:jc w:val="both"/>
              <w:rPr>
                <w:color w:val="000000" w:themeColor="text1"/>
                <w14:textFill>
                  <w14:solidFill>
                    <w14:schemeClr w14:val="tx1"/>
                  </w14:solidFill>
                </w14:textFill>
              </w:rPr>
            </w:pPr>
          </w:p>
        </w:tc>
        <w:tc>
          <w:tcPr>
            <w:tcW w:w="900" w:type="dxa"/>
          </w:tcPr>
          <w:p>
            <w:pPr>
              <w:jc w:val="both"/>
              <w:rPr>
                <w:color w:val="000000" w:themeColor="text1"/>
                <w14:textFill>
                  <w14:solidFill>
                    <w14:schemeClr w14:val="tx1"/>
                  </w14:solidFill>
                </w14:textFill>
              </w:rPr>
            </w:pPr>
          </w:p>
        </w:tc>
        <w:tc>
          <w:tcPr>
            <w:tcW w:w="1269" w:type="dxa"/>
          </w:tcPr>
          <w:p>
            <w:pPr>
              <w:jc w:val="both"/>
              <w:rPr>
                <w:color w:val="000000" w:themeColor="text1"/>
                <w14:textFill>
                  <w14:solidFill>
                    <w14:schemeClr w14:val="tx1"/>
                  </w14:solidFill>
                </w14:textFill>
              </w:rPr>
            </w:pPr>
          </w:p>
        </w:tc>
        <w:tc>
          <w:tcPr>
            <w:tcW w:w="1424" w:type="dxa"/>
          </w:tcPr>
          <w:p>
            <w:pPr>
              <w:jc w:val="both"/>
              <w:rPr>
                <w:color w:val="000000" w:themeColor="text1"/>
                <w14:textFill>
                  <w14:solidFill>
                    <w14:schemeClr w14:val="tx1"/>
                  </w14:solidFill>
                </w14:textFill>
              </w:rPr>
            </w:pPr>
          </w:p>
        </w:tc>
        <w:tc>
          <w:tcPr>
            <w:tcW w:w="123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52" w:type="dxa"/>
          </w:tcPr>
          <w:p>
            <w:pPr>
              <w:jc w:val="both"/>
              <w:rPr>
                <w:color w:val="000000" w:themeColor="text1"/>
                <w14:textFill>
                  <w14:solidFill>
                    <w14:schemeClr w14:val="tx1"/>
                  </w14:solidFill>
                </w14:textFill>
              </w:rPr>
            </w:pPr>
          </w:p>
        </w:tc>
        <w:tc>
          <w:tcPr>
            <w:tcW w:w="1813" w:type="dxa"/>
          </w:tcPr>
          <w:p>
            <w:pPr>
              <w:jc w:val="both"/>
              <w:rPr>
                <w:color w:val="000000" w:themeColor="text1"/>
                <w14:textFill>
                  <w14:solidFill>
                    <w14:schemeClr w14:val="tx1"/>
                  </w14:solidFill>
                </w14:textFill>
              </w:rPr>
            </w:pPr>
          </w:p>
        </w:tc>
        <w:tc>
          <w:tcPr>
            <w:tcW w:w="882" w:type="dxa"/>
          </w:tcPr>
          <w:p>
            <w:pPr>
              <w:jc w:val="both"/>
              <w:rPr>
                <w:color w:val="000000" w:themeColor="text1"/>
                <w14:textFill>
                  <w14:solidFill>
                    <w14:schemeClr w14:val="tx1"/>
                  </w14:solidFill>
                </w14:textFill>
              </w:rPr>
            </w:pPr>
          </w:p>
        </w:tc>
        <w:tc>
          <w:tcPr>
            <w:tcW w:w="1004" w:type="dxa"/>
          </w:tcPr>
          <w:p>
            <w:pPr>
              <w:jc w:val="both"/>
              <w:rPr>
                <w:color w:val="000000" w:themeColor="text1"/>
                <w14:textFill>
                  <w14:solidFill>
                    <w14:schemeClr w14:val="tx1"/>
                  </w14:solidFill>
                </w14:textFill>
              </w:rPr>
            </w:pPr>
          </w:p>
        </w:tc>
        <w:tc>
          <w:tcPr>
            <w:tcW w:w="1168" w:type="dxa"/>
          </w:tcPr>
          <w:p>
            <w:pPr>
              <w:jc w:val="both"/>
              <w:rPr>
                <w:color w:val="000000" w:themeColor="text1"/>
                <w14:textFill>
                  <w14:solidFill>
                    <w14:schemeClr w14:val="tx1"/>
                  </w14:solidFill>
                </w14:textFill>
              </w:rPr>
            </w:pPr>
          </w:p>
        </w:tc>
        <w:tc>
          <w:tcPr>
            <w:tcW w:w="1140" w:type="dxa"/>
          </w:tcPr>
          <w:p>
            <w:pPr>
              <w:jc w:val="both"/>
              <w:rPr>
                <w:color w:val="000000" w:themeColor="text1"/>
                <w14:textFill>
                  <w14:solidFill>
                    <w14:schemeClr w14:val="tx1"/>
                  </w14:solidFill>
                </w14:textFill>
              </w:rPr>
            </w:pPr>
          </w:p>
        </w:tc>
        <w:tc>
          <w:tcPr>
            <w:tcW w:w="1446" w:type="dxa"/>
          </w:tcPr>
          <w:p>
            <w:pPr>
              <w:jc w:val="both"/>
              <w:rPr>
                <w:color w:val="000000" w:themeColor="text1"/>
                <w14:textFill>
                  <w14:solidFill>
                    <w14:schemeClr w14:val="tx1"/>
                  </w14:solidFill>
                </w14:textFill>
              </w:rPr>
            </w:pPr>
          </w:p>
        </w:tc>
        <w:tc>
          <w:tcPr>
            <w:tcW w:w="1520" w:type="dxa"/>
          </w:tcPr>
          <w:p>
            <w:pPr>
              <w:jc w:val="both"/>
              <w:rPr>
                <w:color w:val="000000" w:themeColor="text1"/>
                <w14:textFill>
                  <w14:solidFill>
                    <w14:schemeClr w14:val="tx1"/>
                  </w14:solidFill>
                </w14:textFill>
              </w:rPr>
            </w:pPr>
          </w:p>
        </w:tc>
        <w:tc>
          <w:tcPr>
            <w:tcW w:w="900" w:type="dxa"/>
          </w:tcPr>
          <w:p>
            <w:pPr>
              <w:jc w:val="both"/>
              <w:rPr>
                <w:color w:val="000000" w:themeColor="text1"/>
                <w14:textFill>
                  <w14:solidFill>
                    <w14:schemeClr w14:val="tx1"/>
                  </w14:solidFill>
                </w14:textFill>
              </w:rPr>
            </w:pPr>
          </w:p>
        </w:tc>
        <w:tc>
          <w:tcPr>
            <w:tcW w:w="1269" w:type="dxa"/>
          </w:tcPr>
          <w:p>
            <w:pPr>
              <w:jc w:val="both"/>
              <w:rPr>
                <w:color w:val="000000" w:themeColor="text1"/>
                <w14:textFill>
                  <w14:solidFill>
                    <w14:schemeClr w14:val="tx1"/>
                  </w14:solidFill>
                </w14:textFill>
              </w:rPr>
            </w:pPr>
          </w:p>
        </w:tc>
        <w:tc>
          <w:tcPr>
            <w:tcW w:w="1424" w:type="dxa"/>
          </w:tcPr>
          <w:p>
            <w:pPr>
              <w:jc w:val="both"/>
              <w:rPr>
                <w:color w:val="000000" w:themeColor="text1"/>
                <w14:textFill>
                  <w14:solidFill>
                    <w14:schemeClr w14:val="tx1"/>
                  </w14:solidFill>
                </w14:textFill>
              </w:rPr>
            </w:pPr>
          </w:p>
        </w:tc>
        <w:tc>
          <w:tcPr>
            <w:tcW w:w="123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tcPr>
          <w:p>
            <w:pPr>
              <w:jc w:val="both"/>
              <w:rPr>
                <w:color w:val="000000" w:themeColor="text1"/>
                <w14:textFill>
                  <w14:solidFill>
                    <w14:schemeClr w14:val="tx1"/>
                  </w14:solidFill>
                </w14:textFill>
              </w:rPr>
            </w:pPr>
          </w:p>
        </w:tc>
        <w:tc>
          <w:tcPr>
            <w:tcW w:w="1813" w:type="dxa"/>
          </w:tcPr>
          <w:p>
            <w:pPr>
              <w:jc w:val="both"/>
              <w:rPr>
                <w:color w:val="000000" w:themeColor="text1"/>
                <w14:textFill>
                  <w14:solidFill>
                    <w14:schemeClr w14:val="tx1"/>
                  </w14:solidFill>
                </w14:textFill>
              </w:rPr>
            </w:pPr>
          </w:p>
        </w:tc>
        <w:tc>
          <w:tcPr>
            <w:tcW w:w="882" w:type="dxa"/>
          </w:tcPr>
          <w:p>
            <w:pPr>
              <w:jc w:val="both"/>
              <w:rPr>
                <w:color w:val="000000" w:themeColor="text1"/>
                <w14:textFill>
                  <w14:solidFill>
                    <w14:schemeClr w14:val="tx1"/>
                  </w14:solidFill>
                </w14:textFill>
              </w:rPr>
            </w:pPr>
          </w:p>
        </w:tc>
        <w:tc>
          <w:tcPr>
            <w:tcW w:w="1004" w:type="dxa"/>
          </w:tcPr>
          <w:p>
            <w:pPr>
              <w:jc w:val="both"/>
              <w:rPr>
                <w:color w:val="000000" w:themeColor="text1"/>
                <w14:textFill>
                  <w14:solidFill>
                    <w14:schemeClr w14:val="tx1"/>
                  </w14:solidFill>
                </w14:textFill>
              </w:rPr>
            </w:pPr>
          </w:p>
        </w:tc>
        <w:tc>
          <w:tcPr>
            <w:tcW w:w="1168" w:type="dxa"/>
          </w:tcPr>
          <w:p>
            <w:pPr>
              <w:jc w:val="both"/>
              <w:rPr>
                <w:color w:val="000000" w:themeColor="text1"/>
                <w14:textFill>
                  <w14:solidFill>
                    <w14:schemeClr w14:val="tx1"/>
                  </w14:solidFill>
                </w14:textFill>
              </w:rPr>
            </w:pPr>
          </w:p>
        </w:tc>
        <w:tc>
          <w:tcPr>
            <w:tcW w:w="1140" w:type="dxa"/>
          </w:tcPr>
          <w:p>
            <w:pPr>
              <w:jc w:val="both"/>
              <w:rPr>
                <w:color w:val="000000" w:themeColor="text1"/>
                <w14:textFill>
                  <w14:solidFill>
                    <w14:schemeClr w14:val="tx1"/>
                  </w14:solidFill>
                </w14:textFill>
              </w:rPr>
            </w:pPr>
          </w:p>
        </w:tc>
        <w:tc>
          <w:tcPr>
            <w:tcW w:w="1446" w:type="dxa"/>
          </w:tcPr>
          <w:p>
            <w:pPr>
              <w:jc w:val="both"/>
              <w:rPr>
                <w:color w:val="000000" w:themeColor="text1"/>
                <w14:textFill>
                  <w14:solidFill>
                    <w14:schemeClr w14:val="tx1"/>
                  </w14:solidFill>
                </w14:textFill>
              </w:rPr>
            </w:pPr>
          </w:p>
        </w:tc>
        <w:tc>
          <w:tcPr>
            <w:tcW w:w="1520" w:type="dxa"/>
          </w:tcPr>
          <w:p>
            <w:pPr>
              <w:jc w:val="both"/>
              <w:rPr>
                <w:color w:val="000000" w:themeColor="text1"/>
                <w14:textFill>
                  <w14:solidFill>
                    <w14:schemeClr w14:val="tx1"/>
                  </w14:solidFill>
                </w14:textFill>
              </w:rPr>
            </w:pPr>
          </w:p>
        </w:tc>
        <w:tc>
          <w:tcPr>
            <w:tcW w:w="900" w:type="dxa"/>
          </w:tcPr>
          <w:p>
            <w:pPr>
              <w:jc w:val="both"/>
              <w:rPr>
                <w:color w:val="000000" w:themeColor="text1"/>
                <w14:textFill>
                  <w14:solidFill>
                    <w14:schemeClr w14:val="tx1"/>
                  </w14:solidFill>
                </w14:textFill>
              </w:rPr>
            </w:pPr>
          </w:p>
        </w:tc>
        <w:tc>
          <w:tcPr>
            <w:tcW w:w="1269" w:type="dxa"/>
          </w:tcPr>
          <w:p>
            <w:pPr>
              <w:jc w:val="both"/>
              <w:rPr>
                <w:color w:val="000000" w:themeColor="text1"/>
                <w14:textFill>
                  <w14:solidFill>
                    <w14:schemeClr w14:val="tx1"/>
                  </w14:solidFill>
                </w14:textFill>
              </w:rPr>
            </w:pPr>
          </w:p>
        </w:tc>
        <w:tc>
          <w:tcPr>
            <w:tcW w:w="1424" w:type="dxa"/>
          </w:tcPr>
          <w:p>
            <w:pPr>
              <w:jc w:val="both"/>
              <w:rPr>
                <w:color w:val="000000" w:themeColor="text1"/>
                <w14:textFill>
                  <w14:solidFill>
                    <w14:schemeClr w14:val="tx1"/>
                  </w14:solidFill>
                </w14:textFill>
              </w:rPr>
            </w:pPr>
          </w:p>
        </w:tc>
        <w:tc>
          <w:tcPr>
            <w:tcW w:w="123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2665" w:type="dxa"/>
            <w:gridSpan w:val="2"/>
          </w:tcPr>
          <w:p>
            <w:pPr>
              <w:spacing w:before="149" w:line="227" w:lineRule="auto"/>
              <w:ind w:left="182"/>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Outline w14:w="3797" w14:cap="sq" w14:cmpd="sng" w14:algn="ctr">
                  <w14:solidFill>
                    <w14:srgbClr w14:val="000000"/>
                  </w14:solidFill>
                  <w14:prstDash w14:val="solid"/>
                  <w14:bevel/>
                </w14:textOutline>
                <w14:textFill>
                  <w14:solidFill>
                    <w14:schemeClr w14:val="tx1"/>
                  </w14:solidFill>
                </w14:textFill>
              </w:rPr>
              <w:t>投标总价合计</w:t>
            </w:r>
          </w:p>
        </w:tc>
        <w:tc>
          <w:tcPr>
            <w:tcW w:w="11988" w:type="dxa"/>
            <w:gridSpan w:val="10"/>
          </w:tcPr>
          <w:p>
            <w:pPr>
              <w:spacing w:before="149" w:line="229" w:lineRule="auto"/>
              <w:ind w:left="328"/>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Outline w14:w="3797" w14:cap="sq" w14:cmpd="sng" w14:algn="ctr">
                  <w14:solidFill>
                    <w14:srgbClr w14:val="000000"/>
                  </w14:solidFill>
                  <w14:prstDash w14:val="solid"/>
                  <w14:bevel/>
                </w14:textOutline>
                <w14:textFill>
                  <w14:solidFill>
                    <w14:schemeClr w14:val="tx1"/>
                  </w14:solidFill>
                </w14:textFill>
              </w:rPr>
              <w:t>小写：元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665" w:type="dxa"/>
            <w:gridSpan w:val="2"/>
          </w:tcPr>
          <w:p>
            <w:pPr>
              <w:spacing w:before="253" w:line="229" w:lineRule="auto"/>
              <w:ind w:left="201"/>
              <w:jc w:val="both"/>
              <w:rPr>
                <w:rFonts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w:t>
            </w:r>
            <w:r>
              <w:rPr>
                <w:rFonts w:ascii="宋体" w:hAnsi="宋体" w:eastAsia="宋体" w:cs="宋体"/>
                <w:color w:val="000000" w:themeColor="text1"/>
                <w:sz w:val="20"/>
                <w:szCs w:val="20"/>
                <w14:textOutline w14:w="3797" w14:cap="sq" w14:cmpd="sng" w14:algn="ctr">
                  <w14:solidFill>
                    <w14:srgbClr w14:val="000000"/>
                  </w14:solidFill>
                  <w14:prstDash w14:val="solid"/>
                  <w14:bevel/>
                </w14:textOutline>
                <w14:textFill>
                  <w14:solidFill>
                    <w14:schemeClr w14:val="tx1"/>
                  </w14:solidFill>
                </w14:textFill>
              </w:rPr>
              <w:t>质保期后的维保费用</w:t>
            </w:r>
          </w:p>
        </w:tc>
        <w:tc>
          <w:tcPr>
            <w:tcW w:w="11988" w:type="dxa"/>
            <w:gridSpan w:val="10"/>
          </w:tcPr>
          <w:p>
            <w:pPr>
              <w:tabs>
                <w:tab w:val="left" w:pos="2220"/>
              </w:tabs>
              <w:spacing w:before="253" w:line="227" w:lineRule="auto"/>
              <w:ind w:left="314"/>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u w:val="single"/>
                <w14:textFill>
                  <w14:solidFill>
                    <w14:schemeClr w14:val="tx1"/>
                  </w14:solidFill>
                </w14:textFill>
              </w:rPr>
              <w:tab/>
            </w:r>
            <w:r>
              <w:rPr>
                <w:rFonts w:ascii="宋体" w:hAnsi="宋体" w:eastAsia="宋体" w:cs="宋体"/>
                <w:color w:val="000000" w:themeColor="text1"/>
                <w:sz w:val="20"/>
                <w:szCs w:val="20"/>
                <w14:textOutline w14:w="3797" w14:cap="sq" w14:cmpd="sng" w14:algn="ctr">
                  <w14:solidFill>
                    <w14:srgbClr w14:val="000000"/>
                  </w14:solidFill>
                  <w14:prstDash w14:val="solid"/>
                  <w14:bevel/>
                </w14:textOutline>
                <w14:textFill>
                  <w14:solidFill>
                    <w14:schemeClr w14:val="tx1"/>
                  </w14:solidFill>
                </w14:textFill>
              </w:rPr>
              <w:t>元/年(不计入投标报价)</w:t>
            </w:r>
          </w:p>
        </w:tc>
      </w:tr>
    </w:tbl>
    <w:p>
      <w:pPr>
        <w:spacing w:before="59" w:line="227" w:lineRule="auto"/>
        <w:ind w:left="621"/>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注：1、第6栏指制造厂运至交货地点全部货物运杂费和保险费，第9栏其它费用包括投标分项报价表中除本表5-8外的所有费用。</w:t>
      </w:r>
    </w:p>
    <w:p>
      <w:pPr>
        <w:spacing w:before="54" w:line="227" w:lineRule="auto"/>
        <w:ind w:left="1217"/>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2、第10栏综合单价=5+6+7+8</w:t>
      </w:r>
      <w:r>
        <w:rPr>
          <w:rFonts w:hint="eastAsia" w:ascii="宋体" w:hAnsi="宋体" w:eastAsia="宋体" w:cs="宋体"/>
          <w:color w:val="000000" w:themeColor="text1"/>
          <w:sz w:val="20"/>
          <w:szCs w:val="20"/>
          <w:lang w:val="en-US" w:eastAsia="zh-CN"/>
          <w14:textFill>
            <w14:solidFill>
              <w14:schemeClr w14:val="tx1"/>
            </w14:solidFill>
          </w14:textFill>
        </w:rPr>
        <w:t>+9</w:t>
      </w:r>
      <w:r>
        <w:rPr>
          <w:rFonts w:ascii="宋体" w:hAnsi="宋体" w:eastAsia="宋体" w:cs="宋体"/>
          <w:color w:val="000000" w:themeColor="text1"/>
          <w:sz w:val="20"/>
          <w:szCs w:val="20"/>
          <w14:textFill>
            <w14:solidFill>
              <w14:schemeClr w14:val="tx1"/>
            </w14:solidFill>
          </w14:textFill>
        </w:rPr>
        <w:t>。</w:t>
      </w:r>
    </w:p>
    <w:p>
      <w:pPr>
        <w:spacing w:before="54" w:line="227" w:lineRule="auto"/>
        <w:ind w:left="1218"/>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sz w:val="20"/>
          <w:szCs w:val="20"/>
          <w14:textFill>
            <w14:solidFill>
              <w14:schemeClr w14:val="tx1"/>
            </w14:solidFill>
          </w14:textFill>
        </w:rPr>
        <w:t>3、第11栏合价=4×10项。</w:t>
      </w:r>
    </w:p>
    <w:p>
      <w:pPr>
        <w:spacing w:before="54" w:line="271" w:lineRule="exact"/>
        <w:ind w:left="1213"/>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position w:val="1"/>
          <w:sz w:val="20"/>
          <w:szCs w:val="20"/>
          <w14:textFill>
            <w14:solidFill>
              <w14:schemeClr w14:val="tx1"/>
            </w14:solidFill>
          </w14:textFill>
        </w:rPr>
        <w:t>4、投标总价合计为总价的合计，应与投标函的投标总价一致。</w:t>
      </w:r>
    </w:p>
    <w:p>
      <w:pPr>
        <w:spacing w:before="29" w:line="265" w:lineRule="exact"/>
        <w:ind w:left="1218"/>
        <w:jc w:val="both"/>
        <w:rPr>
          <w:rFonts w:ascii="宋体" w:hAnsi="宋体" w:eastAsia="宋体" w:cs="宋体"/>
          <w:color w:val="000000" w:themeColor="text1"/>
          <w:sz w:val="20"/>
          <w:szCs w:val="20"/>
          <w14:textFill>
            <w14:solidFill>
              <w14:schemeClr w14:val="tx1"/>
            </w14:solidFill>
          </w14:textFill>
        </w:rPr>
      </w:pPr>
      <w:r>
        <w:rPr>
          <w:rFonts w:ascii="宋体" w:hAnsi="宋体" w:eastAsia="宋体" w:cs="宋体"/>
          <w:color w:val="000000" w:themeColor="text1"/>
          <w:position w:val="1"/>
          <w:sz w:val="20"/>
          <w:szCs w:val="20"/>
          <w14:textFill>
            <w14:solidFill>
              <w14:schemeClr w14:val="tx1"/>
            </w14:solidFill>
          </w14:textFill>
        </w:rPr>
        <w:t>5、投标报价表中含价栏目，若无报价的须填“含”、“无”等字样，若出现空白，招标人视为已含在投标报价中。</w:t>
      </w:r>
    </w:p>
    <w:p>
      <w:pPr>
        <w:spacing w:before="35" w:line="269" w:lineRule="exact"/>
        <w:ind w:left="1216"/>
        <w:jc w:val="both"/>
        <w:rPr>
          <w:rFonts w:ascii="宋体" w:hAnsi="宋体" w:eastAsia="宋体" w:cs="宋体"/>
          <w:color w:val="000000" w:themeColor="text1"/>
          <w:position w:val="1"/>
          <w:sz w:val="20"/>
          <w:szCs w:val="20"/>
          <w14:textFill>
            <w14:solidFill>
              <w14:schemeClr w14:val="tx1"/>
            </w14:solidFill>
          </w14:textFill>
        </w:rPr>
      </w:pPr>
      <w:r>
        <w:rPr>
          <w:rFonts w:ascii="宋体" w:hAnsi="宋体" w:eastAsia="宋体" w:cs="宋体"/>
          <w:color w:val="000000" w:themeColor="text1"/>
          <w:position w:val="1"/>
          <w:sz w:val="20"/>
          <w:szCs w:val="20"/>
          <w14:textFill>
            <w14:solidFill>
              <w14:schemeClr w14:val="tx1"/>
            </w14:solidFill>
          </w14:textFill>
        </w:rPr>
        <w:t>6、如交货货物数量调整时，综合单价不作调整。</w:t>
      </w:r>
    </w:p>
    <w:p>
      <w:pPr>
        <w:spacing w:before="35" w:line="269" w:lineRule="exact"/>
        <w:ind w:left="1216"/>
        <w:jc w:val="both"/>
        <w:rPr>
          <w:rFonts w:ascii="宋体" w:hAnsi="宋体" w:eastAsia="宋体" w:cs="宋体"/>
          <w:color w:val="000000" w:themeColor="text1"/>
          <w:position w:val="1"/>
          <w:sz w:val="20"/>
          <w:szCs w:val="20"/>
          <w14:textFill>
            <w14:solidFill>
              <w14:schemeClr w14:val="tx1"/>
            </w14:solidFill>
          </w14:textFill>
        </w:rPr>
      </w:pPr>
      <w:r>
        <w:rPr>
          <w:rFonts w:hint="eastAsia" w:ascii="宋体" w:hAnsi="宋体" w:eastAsia="宋体" w:cs="宋体"/>
          <w:color w:val="000000" w:themeColor="text1"/>
          <w:position w:val="1"/>
          <w:sz w:val="20"/>
          <w:szCs w:val="20"/>
          <w14:textFill>
            <w14:solidFill>
              <w14:schemeClr w14:val="tx1"/>
            </w14:solidFill>
          </w14:textFill>
        </w:rPr>
        <w:t>7、本项目无须总承包服务费。</w:t>
      </w:r>
    </w:p>
    <w:p>
      <w:pPr>
        <w:pStyle w:val="2"/>
        <w:rPr>
          <w:lang w:val="en-US"/>
        </w:rPr>
      </w:pPr>
    </w:p>
    <w:p>
      <w:pPr>
        <w:jc w:val="both"/>
        <w:rPr>
          <w:color w:val="000000" w:themeColor="text1"/>
          <w14:textFill>
            <w14:solidFill>
              <w14:schemeClr w14:val="tx1"/>
            </w14:solidFill>
          </w14:textFill>
        </w:rPr>
        <w:sectPr>
          <w:footerReference r:id="rId20" w:type="default"/>
          <w:pgSz w:w="16840" w:h="11907"/>
          <w:pgMar w:top="1418" w:right="1559" w:bottom="1418" w:left="1474" w:header="0" w:footer="722" w:gutter="0"/>
          <w:cols w:space="720" w:num="1"/>
        </w:sectPr>
      </w:pPr>
    </w:p>
    <w:p>
      <w:pPr>
        <w:spacing w:before="310" w:line="221" w:lineRule="auto"/>
        <w:ind w:left="720"/>
        <w:jc w:val="both"/>
        <w:outlineLvl w:val="1"/>
        <w:rPr>
          <w:rFonts w:ascii="宋体" w:hAnsi="宋体" w:eastAsia="宋体" w:cs="宋体"/>
          <w:color w:val="000000" w:themeColor="text1"/>
          <w:sz w:val="28"/>
          <w:szCs w:val="28"/>
          <w14:textFill>
            <w14:solidFill>
              <w14:schemeClr w14:val="tx1"/>
            </w14:solidFill>
          </w14:textFill>
        </w:rPr>
      </w:pPr>
      <w:bookmarkStart w:id="64" w:name="_bookmark19"/>
      <w:bookmarkEnd w:id="64"/>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格式五：资料一览表</w:t>
      </w:r>
    </w:p>
    <w:p>
      <w:pPr>
        <w:spacing w:line="337" w:lineRule="auto"/>
        <w:jc w:val="both"/>
        <w:rPr>
          <w:color w:val="000000" w:themeColor="text1"/>
          <w14:textFill>
            <w14:solidFill>
              <w14:schemeClr w14:val="tx1"/>
            </w14:solidFill>
          </w14:textFill>
        </w:rPr>
      </w:pPr>
    </w:p>
    <w:p>
      <w:pPr>
        <w:spacing w:line="338" w:lineRule="auto"/>
        <w:jc w:val="both"/>
        <w:rPr>
          <w:color w:val="000000" w:themeColor="text1"/>
          <w14:textFill>
            <w14:solidFill>
              <w14:schemeClr w14:val="tx1"/>
            </w14:solidFill>
          </w14:textFill>
        </w:rPr>
      </w:pPr>
    </w:p>
    <w:p>
      <w:pPr>
        <w:spacing w:before="75" w:line="227" w:lineRule="auto"/>
        <w:ind w:left="252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投标人提供的实质性响应招标文件资料一览表</w:t>
      </w:r>
    </w:p>
    <w:p>
      <w:pPr>
        <w:jc w:val="both"/>
        <w:rPr>
          <w:color w:val="000000" w:themeColor="text1"/>
          <w14:textFill>
            <w14:solidFill>
              <w14:schemeClr w14:val="tx1"/>
            </w14:solidFill>
          </w14:textFill>
        </w:rPr>
      </w:pPr>
    </w:p>
    <w:p>
      <w:pPr>
        <w:spacing w:line="210" w:lineRule="exact"/>
        <w:jc w:val="both"/>
        <w:rPr>
          <w:color w:val="000000" w:themeColor="text1"/>
          <w14:textFill>
            <w14:solidFill>
              <w14:schemeClr w14:val="tx1"/>
            </w14:solidFill>
          </w14:textFill>
        </w:rPr>
      </w:pPr>
    </w:p>
    <w:tbl>
      <w:tblPr>
        <w:tblStyle w:val="35"/>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pPr>
              <w:spacing w:before="272" w:line="230" w:lineRule="auto"/>
              <w:ind w:left="264"/>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序号</w:t>
            </w:r>
          </w:p>
        </w:tc>
        <w:tc>
          <w:tcPr>
            <w:tcW w:w="3826" w:type="dxa"/>
          </w:tcPr>
          <w:p>
            <w:pPr>
              <w:spacing w:before="272" w:line="229" w:lineRule="auto"/>
              <w:ind w:left="1448"/>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资料名称</w:t>
            </w:r>
          </w:p>
        </w:tc>
        <w:tc>
          <w:tcPr>
            <w:tcW w:w="2408" w:type="dxa"/>
          </w:tcPr>
          <w:p>
            <w:pPr>
              <w:spacing w:before="272" w:line="228" w:lineRule="auto"/>
              <w:ind w:left="91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共页</w:t>
            </w:r>
          </w:p>
        </w:tc>
        <w:tc>
          <w:tcPr>
            <w:tcW w:w="2130" w:type="dxa"/>
          </w:tcPr>
          <w:p>
            <w:pPr>
              <w:spacing w:before="272" w:line="230" w:lineRule="auto"/>
              <w:ind w:left="71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pPr>
              <w:jc w:val="both"/>
              <w:rPr>
                <w:color w:val="000000" w:themeColor="text1"/>
                <w14:textFill>
                  <w14:solidFill>
                    <w14:schemeClr w14:val="tx1"/>
                  </w14:solidFill>
                </w14:textFill>
              </w:rPr>
            </w:pPr>
          </w:p>
        </w:tc>
        <w:tc>
          <w:tcPr>
            <w:tcW w:w="3826" w:type="dxa"/>
          </w:tcPr>
          <w:p>
            <w:pPr>
              <w:jc w:val="both"/>
              <w:rPr>
                <w:color w:val="000000" w:themeColor="text1"/>
                <w14:textFill>
                  <w14:solidFill>
                    <w14:schemeClr w14:val="tx1"/>
                  </w14:solidFill>
                </w14:textFill>
              </w:rPr>
            </w:pPr>
          </w:p>
        </w:tc>
        <w:tc>
          <w:tcPr>
            <w:tcW w:w="2408" w:type="dxa"/>
          </w:tcPr>
          <w:p>
            <w:pPr>
              <w:jc w:val="both"/>
              <w:rPr>
                <w:color w:val="000000" w:themeColor="text1"/>
                <w14:textFill>
                  <w14:solidFill>
                    <w14:schemeClr w14:val="tx1"/>
                  </w14:solidFill>
                </w14:textFill>
              </w:rPr>
            </w:pPr>
          </w:p>
        </w:tc>
        <w:tc>
          <w:tcPr>
            <w:tcW w:w="2130"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pPr>
              <w:jc w:val="both"/>
              <w:rPr>
                <w:color w:val="000000" w:themeColor="text1"/>
                <w14:textFill>
                  <w14:solidFill>
                    <w14:schemeClr w14:val="tx1"/>
                  </w14:solidFill>
                </w14:textFill>
              </w:rPr>
            </w:pPr>
          </w:p>
        </w:tc>
        <w:tc>
          <w:tcPr>
            <w:tcW w:w="3826" w:type="dxa"/>
          </w:tcPr>
          <w:p>
            <w:pPr>
              <w:jc w:val="both"/>
              <w:rPr>
                <w:color w:val="000000" w:themeColor="text1"/>
                <w14:textFill>
                  <w14:solidFill>
                    <w14:schemeClr w14:val="tx1"/>
                  </w14:solidFill>
                </w14:textFill>
              </w:rPr>
            </w:pPr>
          </w:p>
        </w:tc>
        <w:tc>
          <w:tcPr>
            <w:tcW w:w="2408" w:type="dxa"/>
          </w:tcPr>
          <w:p>
            <w:pPr>
              <w:jc w:val="both"/>
              <w:rPr>
                <w:color w:val="000000" w:themeColor="text1"/>
                <w14:textFill>
                  <w14:solidFill>
                    <w14:schemeClr w14:val="tx1"/>
                  </w14:solidFill>
                </w14:textFill>
              </w:rPr>
            </w:pPr>
          </w:p>
        </w:tc>
        <w:tc>
          <w:tcPr>
            <w:tcW w:w="2130"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pPr>
              <w:jc w:val="both"/>
              <w:rPr>
                <w:color w:val="000000" w:themeColor="text1"/>
                <w14:textFill>
                  <w14:solidFill>
                    <w14:schemeClr w14:val="tx1"/>
                  </w14:solidFill>
                </w14:textFill>
              </w:rPr>
            </w:pPr>
          </w:p>
        </w:tc>
        <w:tc>
          <w:tcPr>
            <w:tcW w:w="3826" w:type="dxa"/>
          </w:tcPr>
          <w:p>
            <w:pPr>
              <w:jc w:val="both"/>
              <w:rPr>
                <w:color w:val="000000" w:themeColor="text1"/>
                <w14:textFill>
                  <w14:solidFill>
                    <w14:schemeClr w14:val="tx1"/>
                  </w14:solidFill>
                </w14:textFill>
              </w:rPr>
            </w:pPr>
          </w:p>
        </w:tc>
        <w:tc>
          <w:tcPr>
            <w:tcW w:w="2408" w:type="dxa"/>
          </w:tcPr>
          <w:p>
            <w:pPr>
              <w:jc w:val="both"/>
              <w:rPr>
                <w:color w:val="000000" w:themeColor="text1"/>
                <w14:textFill>
                  <w14:solidFill>
                    <w14:schemeClr w14:val="tx1"/>
                  </w14:solidFill>
                </w14:textFill>
              </w:rPr>
            </w:pPr>
          </w:p>
        </w:tc>
        <w:tc>
          <w:tcPr>
            <w:tcW w:w="2130"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pPr>
              <w:jc w:val="both"/>
              <w:rPr>
                <w:color w:val="000000" w:themeColor="text1"/>
                <w14:textFill>
                  <w14:solidFill>
                    <w14:schemeClr w14:val="tx1"/>
                  </w14:solidFill>
                </w14:textFill>
              </w:rPr>
            </w:pPr>
          </w:p>
        </w:tc>
        <w:tc>
          <w:tcPr>
            <w:tcW w:w="3826" w:type="dxa"/>
          </w:tcPr>
          <w:p>
            <w:pPr>
              <w:jc w:val="both"/>
              <w:rPr>
                <w:color w:val="000000" w:themeColor="text1"/>
                <w14:textFill>
                  <w14:solidFill>
                    <w14:schemeClr w14:val="tx1"/>
                  </w14:solidFill>
                </w14:textFill>
              </w:rPr>
            </w:pPr>
          </w:p>
        </w:tc>
        <w:tc>
          <w:tcPr>
            <w:tcW w:w="2408" w:type="dxa"/>
          </w:tcPr>
          <w:p>
            <w:pPr>
              <w:jc w:val="both"/>
              <w:rPr>
                <w:color w:val="000000" w:themeColor="text1"/>
                <w14:textFill>
                  <w14:solidFill>
                    <w14:schemeClr w14:val="tx1"/>
                  </w14:solidFill>
                </w14:textFill>
              </w:rPr>
            </w:pPr>
          </w:p>
        </w:tc>
        <w:tc>
          <w:tcPr>
            <w:tcW w:w="2130"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pPr>
              <w:jc w:val="both"/>
              <w:rPr>
                <w:color w:val="000000" w:themeColor="text1"/>
                <w14:textFill>
                  <w14:solidFill>
                    <w14:schemeClr w14:val="tx1"/>
                  </w14:solidFill>
                </w14:textFill>
              </w:rPr>
            </w:pPr>
          </w:p>
        </w:tc>
        <w:tc>
          <w:tcPr>
            <w:tcW w:w="3826" w:type="dxa"/>
          </w:tcPr>
          <w:p>
            <w:pPr>
              <w:jc w:val="both"/>
              <w:rPr>
                <w:color w:val="000000" w:themeColor="text1"/>
                <w14:textFill>
                  <w14:solidFill>
                    <w14:schemeClr w14:val="tx1"/>
                  </w14:solidFill>
                </w14:textFill>
              </w:rPr>
            </w:pPr>
          </w:p>
        </w:tc>
        <w:tc>
          <w:tcPr>
            <w:tcW w:w="2408" w:type="dxa"/>
          </w:tcPr>
          <w:p>
            <w:pPr>
              <w:jc w:val="both"/>
              <w:rPr>
                <w:color w:val="000000" w:themeColor="text1"/>
                <w14:textFill>
                  <w14:solidFill>
                    <w14:schemeClr w14:val="tx1"/>
                  </w14:solidFill>
                </w14:textFill>
              </w:rPr>
            </w:pPr>
          </w:p>
        </w:tc>
        <w:tc>
          <w:tcPr>
            <w:tcW w:w="2130"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pPr>
              <w:jc w:val="both"/>
              <w:rPr>
                <w:color w:val="000000" w:themeColor="text1"/>
                <w14:textFill>
                  <w14:solidFill>
                    <w14:schemeClr w14:val="tx1"/>
                  </w14:solidFill>
                </w14:textFill>
              </w:rPr>
            </w:pPr>
          </w:p>
        </w:tc>
        <w:tc>
          <w:tcPr>
            <w:tcW w:w="3826" w:type="dxa"/>
          </w:tcPr>
          <w:p>
            <w:pPr>
              <w:jc w:val="both"/>
              <w:rPr>
                <w:color w:val="000000" w:themeColor="text1"/>
                <w14:textFill>
                  <w14:solidFill>
                    <w14:schemeClr w14:val="tx1"/>
                  </w14:solidFill>
                </w14:textFill>
              </w:rPr>
            </w:pPr>
          </w:p>
        </w:tc>
        <w:tc>
          <w:tcPr>
            <w:tcW w:w="2408" w:type="dxa"/>
          </w:tcPr>
          <w:p>
            <w:pPr>
              <w:jc w:val="both"/>
              <w:rPr>
                <w:color w:val="000000" w:themeColor="text1"/>
                <w14:textFill>
                  <w14:solidFill>
                    <w14:schemeClr w14:val="tx1"/>
                  </w14:solidFill>
                </w14:textFill>
              </w:rPr>
            </w:pPr>
          </w:p>
        </w:tc>
        <w:tc>
          <w:tcPr>
            <w:tcW w:w="2130"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pPr>
              <w:jc w:val="both"/>
              <w:rPr>
                <w:color w:val="000000" w:themeColor="text1"/>
                <w14:textFill>
                  <w14:solidFill>
                    <w14:schemeClr w14:val="tx1"/>
                  </w14:solidFill>
                </w14:textFill>
              </w:rPr>
            </w:pPr>
          </w:p>
        </w:tc>
        <w:tc>
          <w:tcPr>
            <w:tcW w:w="3826" w:type="dxa"/>
          </w:tcPr>
          <w:p>
            <w:pPr>
              <w:jc w:val="both"/>
              <w:rPr>
                <w:color w:val="000000" w:themeColor="text1"/>
                <w14:textFill>
                  <w14:solidFill>
                    <w14:schemeClr w14:val="tx1"/>
                  </w14:solidFill>
                </w14:textFill>
              </w:rPr>
            </w:pPr>
          </w:p>
        </w:tc>
        <w:tc>
          <w:tcPr>
            <w:tcW w:w="2408" w:type="dxa"/>
          </w:tcPr>
          <w:p>
            <w:pPr>
              <w:jc w:val="both"/>
              <w:rPr>
                <w:color w:val="000000" w:themeColor="text1"/>
                <w14:textFill>
                  <w14:solidFill>
                    <w14:schemeClr w14:val="tx1"/>
                  </w14:solidFill>
                </w14:textFill>
              </w:rPr>
            </w:pPr>
          </w:p>
        </w:tc>
        <w:tc>
          <w:tcPr>
            <w:tcW w:w="2130"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pPr>
              <w:jc w:val="both"/>
              <w:rPr>
                <w:color w:val="000000" w:themeColor="text1"/>
                <w14:textFill>
                  <w14:solidFill>
                    <w14:schemeClr w14:val="tx1"/>
                  </w14:solidFill>
                </w14:textFill>
              </w:rPr>
            </w:pPr>
          </w:p>
        </w:tc>
        <w:tc>
          <w:tcPr>
            <w:tcW w:w="3826" w:type="dxa"/>
          </w:tcPr>
          <w:p>
            <w:pPr>
              <w:jc w:val="both"/>
              <w:rPr>
                <w:color w:val="000000" w:themeColor="text1"/>
                <w14:textFill>
                  <w14:solidFill>
                    <w14:schemeClr w14:val="tx1"/>
                  </w14:solidFill>
                </w14:textFill>
              </w:rPr>
            </w:pPr>
          </w:p>
        </w:tc>
        <w:tc>
          <w:tcPr>
            <w:tcW w:w="2408" w:type="dxa"/>
          </w:tcPr>
          <w:p>
            <w:pPr>
              <w:jc w:val="both"/>
              <w:rPr>
                <w:color w:val="000000" w:themeColor="text1"/>
                <w14:textFill>
                  <w14:solidFill>
                    <w14:schemeClr w14:val="tx1"/>
                  </w14:solidFill>
                </w14:textFill>
              </w:rPr>
            </w:pPr>
          </w:p>
        </w:tc>
        <w:tc>
          <w:tcPr>
            <w:tcW w:w="2130"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88" w:hRule="atLeast"/>
        </w:trPr>
        <w:tc>
          <w:tcPr>
            <w:tcW w:w="997" w:type="dxa"/>
          </w:tcPr>
          <w:p>
            <w:pPr>
              <w:jc w:val="both"/>
              <w:rPr>
                <w:color w:val="000000" w:themeColor="text1"/>
                <w14:textFill>
                  <w14:solidFill>
                    <w14:schemeClr w14:val="tx1"/>
                  </w14:solidFill>
                </w14:textFill>
              </w:rPr>
            </w:pPr>
          </w:p>
        </w:tc>
        <w:tc>
          <w:tcPr>
            <w:tcW w:w="3826" w:type="dxa"/>
          </w:tcPr>
          <w:p>
            <w:pPr>
              <w:jc w:val="both"/>
              <w:rPr>
                <w:color w:val="000000" w:themeColor="text1"/>
                <w14:textFill>
                  <w14:solidFill>
                    <w14:schemeClr w14:val="tx1"/>
                  </w14:solidFill>
                </w14:textFill>
              </w:rPr>
            </w:pPr>
          </w:p>
        </w:tc>
        <w:tc>
          <w:tcPr>
            <w:tcW w:w="2408" w:type="dxa"/>
          </w:tcPr>
          <w:p>
            <w:pPr>
              <w:jc w:val="both"/>
              <w:rPr>
                <w:color w:val="000000" w:themeColor="text1"/>
                <w14:textFill>
                  <w14:solidFill>
                    <w14:schemeClr w14:val="tx1"/>
                  </w14:solidFill>
                </w14:textFill>
              </w:rPr>
            </w:pPr>
          </w:p>
        </w:tc>
        <w:tc>
          <w:tcPr>
            <w:tcW w:w="2130"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pPr>
              <w:jc w:val="both"/>
              <w:rPr>
                <w:color w:val="000000" w:themeColor="text1"/>
                <w14:textFill>
                  <w14:solidFill>
                    <w14:schemeClr w14:val="tx1"/>
                  </w14:solidFill>
                </w14:textFill>
              </w:rPr>
            </w:pPr>
          </w:p>
        </w:tc>
        <w:tc>
          <w:tcPr>
            <w:tcW w:w="3826" w:type="dxa"/>
          </w:tcPr>
          <w:p>
            <w:pPr>
              <w:jc w:val="both"/>
              <w:rPr>
                <w:color w:val="000000" w:themeColor="text1"/>
                <w14:textFill>
                  <w14:solidFill>
                    <w14:schemeClr w14:val="tx1"/>
                  </w14:solidFill>
                </w14:textFill>
              </w:rPr>
            </w:pPr>
          </w:p>
        </w:tc>
        <w:tc>
          <w:tcPr>
            <w:tcW w:w="2408" w:type="dxa"/>
          </w:tcPr>
          <w:p>
            <w:pPr>
              <w:jc w:val="both"/>
              <w:rPr>
                <w:color w:val="000000" w:themeColor="text1"/>
                <w14:textFill>
                  <w14:solidFill>
                    <w14:schemeClr w14:val="tx1"/>
                  </w14:solidFill>
                </w14:textFill>
              </w:rPr>
            </w:pPr>
          </w:p>
        </w:tc>
        <w:tc>
          <w:tcPr>
            <w:tcW w:w="2130"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pPr>
              <w:jc w:val="both"/>
              <w:rPr>
                <w:color w:val="000000" w:themeColor="text1"/>
                <w14:textFill>
                  <w14:solidFill>
                    <w14:schemeClr w14:val="tx1"/>
                  </w14:solidFill>
                </w14:textFill>
              </w:rPr>
            </w:pPr>
          </w:p>
        </w:tc>
        <w:tc>
          <w:tcPr>
            <w:tcW w:w="3826" w:type="dxa"/>
          </w:tcPr>
          <w:p>
            <w:pPr>
              <w:jc w:val="both"/>
              <w:rPr>
                <w:color w:val="000000" w:themeColor="text1"/>
                <w14:textFill>
                  <w14:solidFill>
                    <w14:schemeClr w14:val="tx1"/>
                  </w14:solidFill>
                </w14:textFill>
              </w:rPr>
            </w:pPr>
          </w:p>
        </w:tc>
        <w:tc>
          <w:tcPr>
            <w:tcW w:w="2408" w:type="dxa"/>
          </w:tcPr>
          <w:p>
            <w:pPr>
              <w:jc w:val="both"/>
              <w:rPr>
                <w:color w:val="000000" w:themeColor="text1"/>
                <w14:textFill>
                  <w14:solidFill>
                    <w14:schemeClr w14:val="tx1"/>
                  </w14:solidFill>
                </w14:textFill>
              </w:rPr>
            </w:pPr>
          </w:p>
        </w:tc>
        <w:tc>
          <w:tcPr>
            <w:tcW w:w="2130" w:type="dxa"/>
          </w:tcPr>
          <w:p>
            <w:pPr>
              <w:jc w:val="both"/>
              <w:rPr>
                <w:color w:val="000000" w:themeColor="text1"/>
                <w14:textFill>
                  <w14:solidFill>
                    <w14:schemeClr w14:val="tx1"/>
                  </w14:solidFill>
                </w14:textFill>
              </w:rPr>
            </w:pPr>
          </w:p>
        </w:tc>
      </w:tr>
    </w:tbl>
    <w:p>
      <w:pPr>
        <w:spacing w:before="145" w:line="228" w:lineRule="auto"/>
        <w:ind w:left="800"/>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注：本表请按投标人须知前附表</w:t>
      </w:r>
      <w:r>
        <w:rPr>
          <w:rFonts w:ascii="Calibri" w:hAnsi="Calibri" w:eastAsia="Calibri" w:cs="Calibri"/>
          <w:color w:val="000000" w:themeColor="text1"/>
          <w:sz w:val="23"/>
          <w:szCs w:val="23"/>
          <w14:textFill>
            <w14:solidFill>
              <w14:schemeClr w14:val="tx1"/>
            </w14:solidFill>
          </w14:textFill>
        </w:rPr>
        <w:t>3.5.7“</w:t>
      </w:r>
      <w:r>
        <w:rPr>
          <w:rFonts w:ascii="宋体" w:hAnsi="宋体" w:eastAsia="宋体" w:cs="宋体"/>
          <w:color w:val="000000" w:themeColor="text1"/>
          <w:sz w:val="23"/>
          <w:szCs w:val="23"/>
          <w14:textFill>
            <w14:solidFill>
              <w14:schemeClr w14:val="tx1"/>
            </w14:solidFill>
          </w14:textFill>
        </w:rPr>
        <w:t>一、实质性响应招标文件资料</w:t>
      </w:r>
      <w:r>
        <w:rPr>
          <w:rFonts w:ascii="Calibri" w:hAnsi="Calibri" w:eastAsia="Calibri" w:cs="Calibri"/>
          <w:color w:val="000000" w:themeColor="text1"/>
          <w:sz w:val="23"/>
          <w:szCs w:val="23"/>
          <w14:textFill>
            <w14:solidFill>
              <w14:schemeClr w14:val="tx1"/>
            </w14:solidFill>
          </w14:textFill>
        </w:rPr>
        <w:t>”</w:t>
      </w:r>
      <w:r>
        <w:rPr>
          <w:rFonts w:ascii="宋体" w:hAnsi="宋体" w:eastAsia="宋体" w:cs="宋体"/>
          <w:color w:val="000000" w:themeColor="text1"/>
          <w:sz w:val="23"/>
          <w:szCs w:val="23"/>
          <w14:textFill>
            <w14:solidFill>
              <w14:schemeClr w14:val="tx1"/>
            </w14:solidFill>
          </w14:textFill>
        </w:rPr>
        <w:t>内容填写。</w:t>
      </w:r>
    </w:p>
    <w:p>
      <w:pPr>
        <w:spacing w:line="281" w:lineRule="auto"/>
        <w:jc w:val="both"/>
        <w:rPr>
          <w:color w:val="000000" w:themeColor="text1"/>
          <w14:textFill>
            <w14:solidFill>
              <w14:schemeClr w14:val="tx1"/>
            </w14:solidFill>
          </w14:textFill>
        </w:rPr>
      </w:pPr>
    </w:p>
    <w:p>
      <w:pPr>
        <w:spacing w:line="282" w:lineRule="auto"/>
        <w:jc w:val="both"/>
        <w:rPr>
          <w:color w:val="000000" w:themeColor="text1"/>
          <w14:textFill>
            <w14:solidFill>
              <w14:schemeClr w14:val="tx1"/>
            </w14:solidFill>
          </w14:textFill>
        </w:rPr>
      </w:pPr>
    </w:p>
    <w:p>
      <w:pPr>
        <w:spacing w:line="282" w:lineRule="auto"/>
        <w:jc w:val="both"/>
        <w:rPr>
          <w:color w:val="000000" w:themeColor="text1"/>
          <w14:textFill>
            <w14:solidFill>
              <w14:schemeClr w14:val="tx1"/>
            </w14:solidFill>
          </w14:textFill>
        </w:rPr>
      </w:pPr>
    </w:p>
    <w:p>
      <w:pPr>
        <w:tabs>
          <w:tab w:val="left" w:pos="7132"/>
        </w:tabs>
        <w:spacing w:before="75" w:line="384" w:lineRule="auto"/>
        <w:ind w:left="6162" w:right="203" w:hanging="118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投标人：</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 xml:space="preserve"> (盖章)</w:t>
      </w:r>
    </w:p>
    <w:p>
      <w:pPr>
        <w:tabs>
          <w:tab w:val="left" w:pos="7132"/>
        </w:tabs>
        <w:spacing w:before="75" w:line="384" w:lineRule="auto"/>
        <w:ind w:left="6162" w:right="203" w:hanging="118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年</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月</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日</w:t>
      </w:r>
    </w:p>
    <w:p>
      <w:pPr>
        <w:jc w:val="both"/>
        <w:rPr>
          <w:color w:val="000000" w:themeColor="text1"/>
          <w14:textFill>
            <w14:solidFill>
              <w14:schemeClr w14:val="tx1"/>
            </w14:solidFill>
          </w14:textFill>
        </w:rPr>
        <w:sectPr>
          <w:footerReference r:id="rId21" w:type="default"/>
          <w:pgSz w:w="11907" w:h="16840"/>
          <w:pgMar w:top="1418" w:right="1559" w:bottom="1418" w:left="1474" w:header="0" w:footer="723" w:gutter="0"/>
          <w:cols w:space="720" w:num="1"/>
        </w:sectPr>
      </w:pPr>
    </w:p>
    <w:p>
      <w:pPr>
        <w:spacing w:line="328" w:lineRule="auto"/>
        <w:jc w:val="both"/>
        <w:rPr>
          <w:color w:val="000000" w:themeColor="text1"/>
          <w14:textFill>
            <w14:solidFill>
              <w14:schemeClr w14:val="tx1"/>
            </w14:solidFill>
          </w14:textFill>
        </w:rPr>
      </w:pPr>
    </w:p>
    <w:p>
      <w:pPr>
        <w:spacing w:line="328" w:lineRule="auto"/>
        <w:jc w:val="both"/>
        <w:rPr>
          <w:color w:val="000000" w:themeColor="text1"/>
          <w14:textFill>
            <w14:solidFill>
              <w14:schemeClr w14:val="tx1"/>
            </w14:solidFill>
          </w14:textFill>
        </w:rPr>
      </w:pPr>
    </w:p>
    <w:p>
      <w:pPr>
        <w:spacing w:before="91" w:line="221" w:lineRule="auto"/>
        <w:ind w:left="578"/>
        <w:jc w:val="both"/>
        <w:outlineLvl w:val="1"/>
        <w:rPr>
          <w:rFonts w:ascii="宋体" w:hAnsi="宋体" w:eastAsia="宋体" w:cs="宋体"/>
          <w:color w:val="000000" w:themeColor="text1"/>
          <w:sz w:val="28"/>
          <w:szCs w:val="28"/>
          <w14:textFill>
            <w14:solidFill>
              <w14:schemeClr w14:val="tx1"/>
            </w14:solidFill>
          </w14:textFill>
        </w:rPr>
      </w:pPr>
      <w:bookmarkStart w:id="65" w:name="_bookmark20"/>
      <w:bookmarkEnd w:id="65"/>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格式六：打分资料一览表</w:t>
      </w:r>
    </w:p>
    <w:p>
      <w:pPr>
        <w:spacing w:before="312" w:line="227" w:lineRule="auto"/>
        <w:ind w:left="2985"/>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投标人提供的评审打分资料一览表</w:t>
      </w:r>
    </w:p>
    <w:p>
      <w:pPr>
        <w:jc w:val="both"/>
        <w:rPr>
          <w:color w:val="000000" w:themeColor="text1"/>
          <w14:textFill>
            <w14:solidFill>
              <w14:schemeClr w14:val="tx1"/>
            </w14:solidFill>
          </w14:textFill>
        </w:rPr>
      </w:pPr>
    </w:p>
    <w:p>
      <w:pPr>
        <w:spacing w:line="210" w:lineRule="exact"/>
        <w:jc w:val="both"/>
        <w:rPr>
          <w:color w:val="000000" w:themeColor="text1"/>
          <w14:textFill>
            <w14:solidFill>
              <w14:schemeClr w14:val="tx1"/>
            </w14:solidFill>
          </w14:textFill>
        </w:rPr>
      </w:pPr>
    </w:p>
    <w:tbl>
      <w:tblPr>
        <w:tblStyle w:val="35"/>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pPr>
              <w:spacing w:before="231" w:line="230" w:lineRule="auto"/>
              <w:ind w:left="336"/>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序号</w:t>
            </w:r>
          </w:p>
        </w:tc>
        <w:tc>
          <w:tcPr>
            <w:tcW w:w="4675" w:type="dxa"/>
          </w:tcPr>
          <w:p>
            <w:pPr>
              <w:spacing w:before="231" w:line="229" w:lineRule="auto"/>
              <w:ind w:left="1874"/>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资料名称</w:t>
            </w:r>
          </w:p>
        </w:tc>
        <w:tc>
          <w:tcPr>
            <w:tcW w:w="1700" w:type="dxa"/>
          </w:tcPr>
          <w:p>
            <w:pPr>
              <w:spacing w:before="231" w:line="228" w:lineRule="auto"/>
              <w:ind w:left="558"/>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共页</w:t>
            </w:r>
          </w:p>
        </w:tc>
        <w:tc>
          <w:tcPr>
            <w:tcW w:w="1705" w:type="dxa"/>
          </w:tcPr>
          <w:p>
            <w:pPr>
              <w:spacing w:before="231" w:line="230" w:lineRule="auto"/>
              <w:ind w:left="501"/>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Outline w14:w="4356" w14:cap="sq" w14:cmpd="sng" w14:algn="ctr">
                  <w14:solidFill>
                    <w14:srgbClr w14:val="000000"/>
                  </w14:solidFill>
                  <w14:prstDash w14:val="solid"/>
                  <w14:bevel/>
                </w14:textOutline>
                <w14:textFill>
                  <w14:solidFill>
                    <w14:schemeClr w14:val="tx1"/>
                  </w14:solidFill>
                </w14:textFill>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pPr>
              <w:jc w:val="both"/>
              <w:rPr>
                <w:color w:val="000000" w:themeColor="text1"/>
                <w14:textFill>
                  <w14:solidFill>
                    <w14:schemeClr w14:val="tx1"/>
                  </w14:solidFill>
                </w14:textFill>
              </w:rPr>
            </w:pPr>
          </w:p>
        </w:tc>
        <w:tc>
          <w:tcPr>
            <w:tcW w:w="4675" w:type="dxa"/>
          </w:tcPr>
          <w:p>
            <w:pPr>
              <w:jc w:val="both"/>
              <w:rPr>
                <w:color w:val="000000" w:themeColor="text1"/>
                <w14:textFill>
                  <w14:solidFill>
                    <w14:schemeClr w14:val="tx1"/>
                  </w14:solidFill>
                </w14:textFill>
              </w:rPr>
            </w:pPr>
          </w:p>
        </w:tc>
        <w:tc>
          <w:tcPr>
            <w:tcW w:w="1700" w:type="dxa"/>
          </w:tcPr>
          <w:p>
            <w:pPr>
              <w:jc w:val="both"/>
              <w:rPr>
                <w:color w:val="000000" w:themeColor="text1"/>
                <w14:textFill>
                  <w14:solidFill>
                    <w14:schemeClr w14:val="tx1"/>
                  </w14:solidFill>
                </w14:textFill>
              </w:rPr>
            </w:pPr>
          </w:p>
        </w:tc>
        <w:tc>
          <w:tcPr>
            <w:tcW w:w="17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pPr>
              <w:jc w:val="both"/>
              <w:rPr>
                <w:color w:val="000000" w:themeColor="text1"/>
                <w14:textFill>
                  <w14:solidFill>
                    <w14:schemeClr w14:val="tx1"/>
                  </w14:solidFill>
                </w14:textFill>
              </w:rPr>
            </w:pPr>
          </w:p>
        </w:tc>
        <w:tc>
          <w:tcPr>
            <w:tcW w:w="4675" w:type="dxa"/>
          </w:tcPr>
          <w:p>
            <w:pPr>
              <w:jc w:val="both"/>
              <w:rPr>
                <w:color w:val="000000" w:themeColor="text1"/>
                <w14:textFill>
                  <w14:solidFill>
                    <w14:schemeClr w14:val="tx1"/>
                  </w14:solidFill>
                </w14:textFill>
              </w:rPr>
            </w:pPr>
          </w:p>
        </w:tc>
        <w:tc>
          <w:tcPr>
            <w:tcW w:w="1700" w:type="dxa"/>
          </w:tcPr>
          <w:p>
            <w:pPr>
              <w:jc w:val="both"/>
              <w:rPr>
                <w:color w:val="000000" w:themeColor="text1"/>
                <w14:textFill>
                  <w14:solidFill>
                    <w14:schemeClr w14:val="tx1"/>
                  </w14:solidFill>
                </w14:textFill>
              </w:rPr>
            </w:pPr>
          </w:p>
        </w:tc>
        <w:tc>
          <w:tcPr>
            <w:tcW w:w="17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pPr>
              <w:jc w:val="both"/>
              <w:rPr>
                <w:color w:val="000000" w:themeColor="text1"/>
                <w14:textFill>
                  <w14:solidFill>
                    <w14:schemeClr w14:val="tx1"/>
                  </w14:solidFill>
                </w14:textFill>
              </w:rPr>
            </w:pPr>
          </w:p>
        </w:tc>
        <w:tc>
          <w:tcPr>
            <w:tcW w:w="4675" w:type="dxa"/>
          </w:tcPr>
          <w:p>
            <w:pPr>
              <w:jc w:val="both"/>
              <w:rPr>
                <w:color w:val="000000" w:themeColor="text1"/>
                <w14:textFill>
                  <w14:solidFill>
                    <w14:schemeClr w14:val="tx1"/>
                  </w14:solidFill>
                </w14:textFill>
              </w:rPr>
            </w:pPr>
          </w:p>
        </w:tc>
        <w:tc>
          <w:tcPr>
            <w:tcW w:w="1700" w:type="dxa"/>
          </w:tcPr>
          <w:p>
            <w:pPr>
              <w:jc w:val="both"/>
              <w:rPr>
                <w:color w:val="000000" w:themeColor="text1"/>
                <w14:textFill>
                  <w14:solidFill>
                    <w14:schemeClr w14:val="tx1"/>
                  </w14:solidFill>
                </w14:textFill>
              </w:rPr>
            </w:pPr>
          </w:p>
        </w:tc>
        <w:tc>
          <w:tcPr>
            <w:tcW w:w="17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pPr>
              <w:jc w:val="both"/>
              <w:rPr>
                <w:color w:val="000000" w:themeColor="text1"/>
                <w14:textFill>
                  <w14:solidFill>
                    <w14:schemeClr w14:val="tx1"/>
                  </w14:solidFill>
                </w14:textFill>
              </w:rPr>
            </w:pPr>
          </w:p>
        </w:tc>
        <w:tc>
          <w:tcPr>
            <w:tcW w:w="4675" w:type="dxa"/>
          </w:tcPr>
          <w:p>
            <w:pPr>
              <w:jc w:val="both"/>
              <w:rPr>
                <w:color w:val="000000" w:themeColor="text1"/>
                <w14:textFill>
                  <w14:solidFill>
                    <w14:schemeClr w14:val="tx1"/>
                  </w14:solidFill>
                </w14:textFill>
              </w:rPr>
            </w:pPr>
          </w:p>
        </w:tc>
        <w:tc>
          <w:tcPr>
            <w:tcW w:w="1700" w:type="dxa"/>
          </w:tcPr>
          <w:p>
            <w:pPr>
              <w:jc w:val="both"/>
              <w:rPr>
                <w:color w:val="000000" w:themeColor="text1"/>
                <w14:textFill>
                  <w14:solidFill>
                    <w14:schemeClr w14:val="tx1"/>
                  </w14:solidFill>
                </w14:textFill>
              </w:rPr>
            </w:pPr>
          </w:p>
        </w:tc>
        <w:tc>
          <w:tcPr>
            <w:tcW w:w="17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pPr>
              <w:jc w:val="both"/>
              <w:rPr>
                <w:color w:val="000000" w:themeColor="text1"/>
                <w14:textFill>
                  <w14:solidFill>
                    <w14:schemeClr w14:val="tx1"/>
                  </w14:solidFill>
                </w14:textFill>
              </w:rPr>
            </w:pPr>
          </w:p>
        </w:tc>
        <w:tc>
          <w:tcPr>
            <w:tcW w:w="4675" w:type="dxa"/>
          </w:tcPr>
          <w:p>
            <w:pPr>
              <w:jc w:val="both"/>
              <w:rPr>
                <w:color w:val="000000" w:themeColor="text1"/>
                <w14:textFill>
                  <w14:solidFill>
                    <w14:schemeClr w14:val="tx1"/>
                  </w14:solidFill>
                </w14:textFill>
              </w:rPr>
            </w:pPr>
          </w:p>
        </w:tc>
        <w:tc>
          <w:tcPr>
            <w:tcW w:w="1700" w:type="dxa"/>
          </w:tcPr>
          <w:p>
            <w:pPr>
              <w:jc w:val="both"/>
              <w:rPr>
                <w:color w:val="000000" w:themeColor="text1"/>
                <w14:textFill>
                  <w14:solidFill>
                    <w14:schemeClr w14:val="tx1"/>
                  </w14:solidFill>
                </w14:textFill>
              </w:rPr>
            </w:pPr>
          </w:p>
        </w:tc>
        <w:tc>
          <w:tcPr>
            <w:tcW w:w="17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pPr>
              <w:jc w:val="both"/>
              <w:rPr>
                <w:color w:val="000000" w:themeColor="text1"/>
                <w14:textFill>
                  <w14:solidFill>
                    <w14:schemeClr w14:val="tx1"/>
                  </w14:solidFill>
                </w14:textFill>
              </w:rPr>
            </w:pPr>
          </w:p>
        </w:tc>
        <w:tc>
          <w:tcPr>
            <w:tcW w:w="4675" w:type="dxa"/>
          </w:tcPr>
          <w:p>
            <w:pPr>
              <w:jc w:val="both"/>
              <w:rPr>
                <w:color w:val="000000" w:themeColor="text1"/>
                <w14:textFill>
                  <w14:solidFill>
                    <w14:schemeClr w14:val="tx1"/>
                  </w14:solidFill>
                </w14:textFill>
              </w:rPr>
            </w:pPr>
          </w:p>
        </w:tc>
        <w:tc>
          <w:tcPr>
            <w:tcW w:w="1700" w:type="dxa"/>
          </w:tcPr>
          <w:p>
            <w:pPr>
              <w:jc w:val="both"/>
              <w:rPr>
                <w:color w:val="000000" w:themeColor="text1"/>
                <w14:textFill>
                  <w14:solidFill>
                    <w14:schemeClr w14:val="tx1"/>
                  </w14:solidFill>
                </w14:textFill>
              </w:rPr>
            </w:pPr>
          </w:p>
        </w:tc>
        <w:tc>
          <w:tcPr>
            <w:tcW w:w="1705" w:type="dxa"/>
          </w:tcPr>
          <w:p>
            <w:pPr>
              <w:jc w:val="both"/>
              <w:rPr>
                <w:color w:val="000000" w:themeColor="text1"/>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pPr>
              <w:jc w:val="both"/>
              <w:rPr>
                <w:color w:val="000000" w:themeColor="text1"/>
                <w14:textFill>
                  <w14:solidFill>
                    <w14:schemeClr w14:val="tx1"/>
                  </w14:solidFill>
                </w14:textFill>
              </w:rPr>
            </w:pPr>
          </w:p>
        </w:tc>
        <w:tc>
          <w:tcPr>
            <w:tcW w:w="4675" w:type="dxa"/>
          </w:tcPr>
          <w:p>
            <w:pPr>
              <w:jc w:val="both"/>
              <w:rPr>
                <w:color w:val="000000" w:themeColor="text1"/>
                <w14:textFill>
                  <w14:solidFill>
                    <w14:schemeClr w14:val="tx1"/>
                  </w14:solidFill>
                </w14:textFill>
              </w:rPr>
            </w:pPr>
          </w:p>
        </w:tc>
        <w:tc>
          <w:tcPr>
            <w:tcW w:w="1700" w:type="dxa"/>
          </w:tcPr>
          <w:p>
            <w:pPr>
              <w:jc w:val="both"/>
              <w:rPr>
                <w:color w:val="000000" w:themeColor="text1"/>
                <w14:textFill>
                  <w14:solidFill>
                    <w14:schemeClr w14:val="tx1"/>
                  </w14:solidFill>
                </w14:textFill>
              </w:rPr>
            </w:pPr>
          </w:p>
        </w:tc>
        <w:tc>
          <w:tcPr>
            <w:tcW w:w="1705" w:type="dxa"/>
          </w:tcPr>
          <w:p>
            <w:pPr>
              <w:jc w:val="both"/>
              <w:rPr>
                <w:color w:val="000000" w:themeColor="text1"/>
                <w14:textFill>
                  <w14:solidFill>
                    <w14:schemeClr w14:val="tx1"/>
                  </w14:solidFill>
                </w14:textFill>
              </w:rPr>
            </w:pPr>
          </w:p>
        </w:tc>
      </w:tr>
    </w:tbl>
    <w:p>
      <w:pPr>
        <w:spacing w:before="146" w:line="232" w:lineRule="auto"/>
        <w:ind w:left="538"/>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注：本表请按投标人须知前附表3.5.7“二、评审打分资料”内容填写。</w:t>
      </w:r>
    </w:p>
    <w:p>
      <w:pPr>
        <w:spacing w:line="255" w:lineRule="auto"/>
        <w:jc w:val="both"/>
        <w:rPr>
          <w:color w:val="000000" w:themeColor="text1"/>
          <w14:textFill>
            <w14:solidFill>
              <w14:schemeClr w14:val="tx1"/>
            </w14:solidFill>
          </w14:textFill>
        </w:rPr>
      </w:pPr>
    </w:p>
    <w:p>
      <w:pPr>
        <w:spacing w:line="255" w:lineRule="auto"/>
        <w:jc w:val="both"/>
        <w:rPr>
          <w:color w:val="000000" w:themeColor="text1"/>
          <w14:textFill>
            <w14:solidFill>
              <w14:schemeClr w14:val="tx1"/>
            </w14:solidFill>
          </w14:textFill>
        </w:rPr>
      </w:pPr>
    </w:p>
    <w:p>
      <w:pPr>
        <w:spacing w:line="255" w:lineRule="auto"/>
        <w:jc w:val="both"/>
        <w:rPr>
          <w:color w:val="000000" w:themeColor="text1"/>
          <w14:textFill>
            <w14:solidFill>
              <w14:schemeClr w14:val="tx1"/>
            </w14:solidFill>
          </w14:textFill>
        </w:rPr>
      </w:pPr>
    </w:p>
    <w:p>
      <w:pPr>
        <w:spacing w:line="255" w:lineRule="auto"/>
        <w:jc w:val="both"/>
        <w:rPr>
          <w:color w:val="000000" w:themeColor="text1"/>
          <w14:textFill>
            <w14:solidFill>
              <w14:schemeClr w14:val="tx1"/>
            </w14:solidFill>
          </w14:textFill>
        </w:rPr>
      </w:pPr>
    </w:p>
    <w:p>
      <w:pPr>
        <w:spacing w:line="256" w:lineRule="auto"/>
        <w:jc w:val="both"/>
        <w:rPr>
          <w:color w:val="000000" w:themeColor="text1"/>
          <w14:textFill>
            <w14:solidFill>
              <w14:schemeClr w14:val="tx1"/>
            </w14:solidFill>
          </w14:textFill>
        </w:rPr>
      </w:pPr>
    </w:p>
    <w:p>
      <w:pPr>
        <w:tabs>
          <w:tab w:val="left" w:pos="7132"/>
        </w:tabs>
        <w:spacing w:before="75" w:line="384" w:lineRule="auto"/>
        <w:ind w:left="6162" w:right="203" w:hanging="118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t>投标人：</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 xml:space="preserve"> (盖章)</w:t>
      </w:r>
    </w:p>
    <w:p>
      <w:pPr>
        <w:tabs>
          <w:tab w:val="left" w:pos="7132"/>
        </w:tabs>
        <w:spacing w:before="75" w:line="384" w:lineRule="auto"/>
        <w:ind w:left="6162" w:right="203" w:hanging="1187"/>
        <w:jc w:val="both"/>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年</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月</w:t>
      </w:r>
      <w:r>
        <w:rPr>
          <w:rFonts w:ascii="宋体" w:hAnsi="宋体" w:eastAsia="宋体" w:cs="宋体"/>
          <w:color w:val="000000" w:themeColor="text1"/>
          <w:sz w:val="23"/>
          <w:szCs w:val="23"/>
          <w:u w:val="single"/>
          <w14:textFill>
            <w14:solidFill>
              <w14:schemeClr w14:val="tx1"/>
            </w14:solidFill>
          </w14:textFill>
        </w:rPr>
        <w:t xml:space="preserve">    </w:t>
      </w:r>
      <w:r>
        <w:rPr>
          <w:rFonts w:ascii="宋体" w:hAnsi="宋体" w:eastAsia="宋体" w:cs="宋体"/>
          <w:color w:val="000000" w:themeColor="text1"/>
          <w:sz w:val="23"/>
          <w:szCs w:val="23"/>
          <w14:textFill>
            <w14:solidFill>
              <w14:schemeClr w14:val="tx1"/>
            </w14:solidFill>
          </w14:textFill>
        </w:rPr>
        <w:t>日</w:t>
      </w:r>
    </w:p>
    <w:p>
      <w:pPr>
        <w:tabs>
          <w:tab w:val="left" w:pos="6569"/>
        </w:tabs>
        <w:spacing w:before="75" w:line="384" w:lineRule="auto"/>
        <w:ind w:left="5708" w:right="270" w:hanging="1173"/>
        <w:jc w:val="both"/>
        <w:rPr>
          <w:rFonts w:ascii="宋体" w:hAnsi="宋体" w:eastAsia="宋体" w:cs="宋体"/>
          <w:color w:val="000000" w:themeColor="text1"/>
          <w:sz w:val="23"/>
          <w:szCs w:val="23"/>
          <w14:textFill>
            <w14:solidFill>
              <w14:schemeClr w14:val="tx1"/>
            </w14:solidFill>
          </w14:textFill>
        </w:rPr>
      </w:pPr>
    </w:p>
    <w:p>
      <w:pPr>
        <w:tabs>
          <w:tab w:val="left" w:pos="6569"/>
        </w:tabs>
        <w:spacing w:before="75" w:line="384" w:lineRule="auto"/>
        <w:ind w:left="5708" w:right="270" w:hanging="1173"/>
        <w:jc w:val="both"/>
        <w:rPr>
          <w:rFonts w:ascii="宋体" w:hAnsi="宋体" w:eastAsia="宋体" w:cs="宋体"/>
          <w:color w:val="000000" w:themeColor="text1"/>
          <w:sz w:val="23"/>
          <w:szCs w:val="23"/>
          <w14:textFill>
            <w14:solidFill>
              <w14:schemeClr w14:val="tx1"/>
            </w14:solidFill>
          </w14:textFill>
        </w:rPr>
      </w:pPr>
    </w:p>
    <w:p>
      <w:pPr>
        <w:tabs>
          <w:tab w:val="left" w:pos="6569"/>
        </w:tabs>
        <w:spacing w:before="75" w:line="384" w:lineRule="auto"/>
        <w:ind w:left="5708" w:right="270" w:hanging="1173"/>
        <w:jc w:val="both"/>
        <w:rPr>
          <w:rFonts w:ascii="宋体" w:hAnsi="宋体" w:eastAsia="宋体" w:cs="宋体"/>
          <w:color w:val="000000" w:themeColor="text1"/>
          <w:sz w:val="23"/>
          <w:szCs w:val="23"/>
          <w14:textFill>
            <w14:solidFill>
              <w14:schemeClr w14:val="tx1"/>
            </w14:solidFill>
          </w14:textFill>
        </w:rPr>
      </w:pPr>
    </w:p>
    <w:p>
      <w:pPr>
        <w:tabs>
          <w:tab w:val="left" w:pos="6569"/>
        </w:tabs>
        <w:spacing w:before="75" w:line="384" w:lineRule="auto"/>
        <w:ind w:left="5708" w:right="270" w:hanging="1173"/>
        <w:jc w:val="both"/>
        <w:rPr>
          <w:rFonts w:ascii="宋体" w:hAnsi="宋体" w:eastAsia="宋体" w:cs="宋体"/>
          <w:color w:val="000000" w:themeColor="text1"/>
          <w:sz w:val="23"/>
          <w:szCs w:val="23"/>
          <w14:textFill>
            <w14:solidFill>
              <w14:schemeClr w14:val="tx1"/>
            </w14:solidFill>
          </w14:textFill>
        </w:rPr>
      </w:pPr>
    </w:p>
    <w:p>
      <w:pPr>
        <w:tabs>
          <w:tab w:val="left" w:pos="6569"/>
        </w:tabs>
        <w:spacing w:before="75" w:line="384" w:lineRule="auto"/>
        <w:ind w:left="5708" w:right="270" w:hanging="1173"/>
        <w:jc w:val="both"/>
        <w:rPr>
          <w:rFonts w:ascii="宋体" w:hAnsi="宋体" w:eastAsia="宋体" w:cs="宋体"/>
          <w:color w:val="000000" w:themeColor="text1"/>
          <w:sz w:val="23"/>
          <w:szCs w:val="23"/>
          <w14:textFill>
            <w14:solidFill>
              <w14:schemeClr w14:val="tx1"/>
            </w14:solidFill>
          </w14:textFill>
        </w:rPr>
      </w:pPr>
    </w:p>
    <w:p>
      <w:pPr>
        <w:tabs>
          <w:tab w:val="left" w:pos="6569"/>
        </w:tabs>
        <w:spacing w:before="75" w:line="384" w:lineRule="auto"/>
        <w:ind w:left="5708" w:right="270" w:hanging="1173"/>
        <w:jc w:val="both"/>
        <w:rPr>
          <w:rFonts w:ascii="宋体" w:hAnsi="宋体" w:eastAsia="宋体" w:cs="宋体"/>
          <w:color w:val="000000" w:themeColor="text1"/>
          <w:sz w:val="23"/>
          <w:szCs w:val="23"/>
          <w14:textFill>
            <w14:solidFill>
              <w14:schemeClr w14:val="tx1"/>
            </w14:solidFill>
          </w14:textFill>
        </w:rPr>
      </w:pPr>
    </w:p>
    <w:p>
      <w:pPr>
        <w:tabs>
          <w:tab w:val="left" w:pos="6569"/>
        </w:tabs>
        <w:spacing w:before="75" w:line="384" w:lineRule="auto"/>
        <w:ind w:left="5708" w:right="270" w:hanging="1173"/>
        <w:jc w:val="both"/>
        <w:rPr>
          <w:rFonts w:ascii="宋体" w:hAnsi="宋体" w:eastAsia="宋体" w:cs="宋体"/>
          <w:color w:val="000000" w:themeColor="text1"/>
          <w:sz w:val="23"/>
          <w:szCs w:val="23"/>
          <w14:textFill>
            <w14:solidFill>
              <w14:schemeClr w14:val="tx1"/>
            </w14:solidFill>
          </w14:textFill>
        </w:rPr>
      </w:pPr>
    </w:p>
    <w:p>
      <w:pPr>
        <w:spacing w:before="91" w:line="221" w:lineRule="auto"/>
        <w:jc w:val="center"/>
        <w:outlineLvl w:val="1"/>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格式</w:t>
      </w:r>
      <w:r>
        <w:rPr>
          <w:rFonts w:hint="eastAsia"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七</w:t>
      </w:r>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w:t>
      </w:r>
      <w:r>
        <w:rPr>
          <w:rFonts w:hint="eastAsia"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投标人基本情况</w:t>
      </w:r>
    </w:p>
    <w:p>
      <w:pPr>
        <w:spacing w:line="360" w:lineRule="auto"/>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投标人基本情况</w:t>
      </w:r>
    </w:p>
    <w:p>
      <w:pPr>
        <w:spacing w:line="360" w:lineRule="auto"/>
        <w:ind w:firstLine="315" w:firstLineChars="150"/>
        <w:jc w:val="center"/>
        <w:rPr>
          <w:rFonts w:hAnsi="宋体" w:cs="宋体"/>
          <w:b/>
          <w:bCs/>
          <w:color w:val="000000" w:themeColor="text1"/>
          <w14:textFill>
            <w14:solidFill>
              <w14:schemeClr w14:val="tx1"/>
            </w14:solidFill>
          </w14:textFill>
        </w:rPr>
      </w:pPr>
    </w:p>
    <w:tbl>
      <w:tblPr>
        <w:tblStyle w:val="27"/>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注册地址</w:t>
            </w:r>
          </w:p>
        </w:tc>
        <w:tc>
          <w:tcPr>
            <w:tcW w:w="3402" w:type="dxa"/>
            <w:gridSpan w:val="3"/>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c>
          <w:tcPr>
            <w:tcW w:w="1389"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邮政编码</w:t>
            </w:r>
          </w:p>
        </w:tc>
        <w:tc>
          <w:tcPr>
            <w:tcW w:w="2552" w:type="dxa"/>
            <w:gridSpan w:val="3"/>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联系方式</w:t>
            </w:r>
          </w:p>
        </w:tc>
        <w:tc>
          <w:tcPr>
            <w:tcW w:w="993"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联系人</w:t>
            </w:r>
          </w:p>
        </w:tc>
        <w:tc>
          <w:tcPr>
            <w:tcW w:w="2409"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c>
          <w:tcPr>
            <w:tcW w:w="1389"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电话</w:t>
            </w:r>
          </w:p>
        </w:tc>
        <w:tc>
          <w:tcPr>
            <w:tcW w:w="2552" w:type="dxa"/>
            <w:gridSpan w:val="3"/>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vAlign w:val="center"/>
          </w:tcPr>
          <w:p>
            <w:pPr>
              <w:autoSpaceDE/>
              <w:autoSpaceDN/>
              <w:adjustRightInd/>
              <w:rPr>
                <w:rFonts w:hAnsi="宋体"/>
                <w:color w:val="000000" w:themeColor="text1"/>
                <w14:textFill>
                  <w14:solidFill>
                    <w14:schemeClr w14:val="tx1"/>
                  </w14:solidFill>
                </w14:textFill>
              </w:rPr>
            </w:pPr>
          </w:p>
        </w:tc>
        <w:tc>
          <w:tcPr>
            <w:tcW w:w="993"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传真</w:t>
            </w:r>
          </w:p>
        </w:tc>
        <w:tc>
          <w:tcPr>
            <w:tcW w:w="2409"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c>
          <w:tcPr>
            <w:tcW w:w="1389"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网址</w:t>
            </w:r>
          </w:p>
        </w:tc>
        <w:tc>
          <w:tcPr>
            <w:tcW w:w="2552" w:type="dxa"/>
            <w:gridSpan w:val="3"/>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组织结构</w:t>
            </w:r>
          </w:p>
        </w:tc>
        <w:tc>
          <w:tcPr>
            <w:tcW w:w="7343" w:type="dxa"/>
            <w:gridSpan w:val="7"/>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法定代表人</w:t>
            </w:r>
          </w:p>
        </w:tc>
        <w:tc>
          <w:tcPr>
            <w:tcW w:w="993"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姓名</w:t>
            </w:r>
          </w:p>
        </w:tc>
        <w:tc>
          <w:tcPr>
            <w:tcW w:w="1134"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c>
          <w:tcPr>
            <w:tcW w:w="1275"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技术职称</w:t>
            </w:r>
          </w:p>
        </w:tc>
        <w:tc>
          <w:tcPr>
            <w:tcW w:w="1562"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c>
          <w:tcPr>
            <w:tcW w:w="1038"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电话</w:t>
            </w:r>
          </w:p>
        </w:tc>
        <w:tc>
          <w:tcPr>
            <w:tcW w:w="1341"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技术负责人</w:t>
            </w:r>
          </w:p>
        </w:tc>
        <w:tc>
          <w:tcPr>
            <w:tcW w:w="993"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姓名</w:t>
            </w:r>
          </w:p>
        </w:tc>
        <w:tc>
          <w:tcPr>
            <w:tcW w:w="1134"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c>
          <w:tcPr>
            <w:tcW w:w="1275"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技术职称</w:t>
            </w:r>
          </w:p>
        </w:tc>
        <w:tc>
          <w:tcPr>
            <w:tcW w:w="1562"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c>
          <w:tcPr>
            <w:tcW w:w="1038"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电话</w:t>
            </w:r>
          </w:p>
        </w:tc>
        <w:tc>
          <w:tcPr>
            <w:tcW w:w="1341" w:type="dxa"/>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成立时间</w:t>
            </w:r>
          </w:p>
        </w:tc>
        <w:tc>
          <w:tcPr>
            <w:tcW w:w="2127"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c>
          <w:tcPr>
            <w:tcW w:w="5216" w:type="dxa"/>
            <w:gridSpan w:val="5"/>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c>
          <w:tcPr>
            <w:tcW w:w="1275" w:type="dxa"/>
            <w:vMerge w:val="restart"/>
            <w:tcBorders>
              <w:top w:val="nil"/>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其中</w:t>
            </w:r>
          </w:p>
        </w:tc>
        <w:tc>
          <w:tcPr>
            <w:tcW w:w="1562"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c>
          <w:tcPr>
            <w:tcW w:w="5216" w:type="dxa"/>
            <w:vMerge w:val="continue"/>
            <w:tcBorders>
              <w:top w:val="nil"/>
              <w:left w:val="nil"/>
              <w:bottom w:val="single" w:color="auto" w:sz="4" w:space="0"/>
              <w:right w:val="single" w:color="auto" w:sz="4" w:space="0"/>
            </w:tcBorders>
            <w:vAlign w:val="center"/>
          </w:tcPr>
          <w:p>
            <w:pPr>
              <w:autoSpaceDE/>
              <w:autoSpaceDN/>
              <w:adjustRightInd/>
              <w:rPr>
                <w:rFonts w:hAnsi="宋体"/>
                <w:color w:val="000000" w:themeColor="text1"/>
                <w14:textFill>
                  <w14:solidFill>
                    <w14:schemeClr w14:val="tx1"/>
                  </w14:solidFill>
                </w14:textFill>
              </w:rPr>
            </w:pPr>
          </w:p>
        </w:tc>
        <w:tc>
          <w:tcPr>
            <w:tcW w:w="1562"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注册资金</w:t>
            </w:r>
          </w:p>
        </w:tc>
        <w:tc>
          <w:tcPr>
            <w:tcW w:w="2127"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c>
          <w:tcPr>
            <w:tcW w:w="5216" w:type="dxa"/>
            <w:vMerge w:val="continue"/>
            <w:tcBorders>
              <w:top w:val="nil"/>
              <w:left w:val="nil"/>
              <w:bottom w:val="single" w:color="auto" w:sz="4" w:space="0"/>
              <w:right w:val="single" w:color="auto" w:sz="4" w:space="0"/>
            </w:tcBorders>
            <w:vAlign w:val="center"/>
          </w:tcPr>
          <w:p>
            <w:pPr>
              <w:autoSpaceDE/>
              <w:autoSpaceDN/>
              <w:adjustRightInd/>
              <w:rPr>
                <w:rFonts w:hAnsi="宋体"/>
                <w:color w:val="000000" w:themeColor="text1"/>
                <w14:textFill>
                  <w14:solidFill>
                    <w14:schemeClr w14:val="tx1"/>
                  </w14:solidFill>
                </w14:textFill>
              </w:rPr>
            </w:pPr>
          </w:p>
        </w:tc>
        <w:tc>
          <w:tcPr>
            <w:tcW w:w="1562"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开户银行</w:t>
            </w:r>
          </w:p>
        </w:tc>
        <w:tc>
          <w:tcPr>
            <w:tcW w:w="2127"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c>
          <w:tcPr>
            <w:tcW w:w="5216" w:type="dxa"/>
            <w:vMerge w:val="continue"/>
            <w:tcBorders>
              <w:top w:val="nil"/>
              <w:left w:val="nil"/>
              <w:bottom w:val="single" w:color="auto" w:sz="4" w:space="0"/>
              <w:right w:val="single" w:color="auto" w:sz="4" w:space="0"/>
            </w:tcBorders>
            <w:vAlign w:val="center"/>
          </w:tcPr>
          <w:p>
            <w:pPr>
              <w:autoSpaceDE/>
              <w:autoSpaceDN/>
              <w:adjustRightInd/>
              <w:rPr>
                <w:rFonts w:hAnsi="宋体"/>
                <w:color w:val="000000" w:themeColor="text1"/>
                <w14:textFill>
                  <w14:solidFill>
                    <w14:schemeClr w14:val="tx1"/>
                  </w14:solidFill>
                </w14:textFill>
              </w:rPr>
            </w:pPr>
          </w:p>
        </w:tc>
        <w:tc>
          <w:tcPr>
            <w:tcW w:w="1562"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账号</w:t>
            </w:r>
          </w:p>
        </w:tc>
        <w:tc>
          <w:tcPr>
            <w:tcW w:w="2127"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c>
          <w:tcPr>
            <w:tcW w:w="5216" w:type="dxa"/>
            <w:vMerge w:val="continue"/>
            <w:tcBorders>
              <w:top w:val="nil"/>
              <w:left w:val="nil"/>
              <w:bottom w:val="single" w:color="auto" w:sz="4" w:space="0"/>
              <w:right w:val="single" w:color="auto" w:sz="4" w:space="0"/>
            </w:tcBorders>
            <w:vAlign w:val="center"/>
          </w:tcPr>
          <w:p>
            <w:pPr>
              <w:autoSpaceDE/>
              <w:autoSpaceDN/>
              <w:adjustRightInd/>
              <w:rPr>
                <w:rFonts w:hAnsi="宋体"/>
                <w:color w:val="000000" w:themeColor="text1"/>
                <w14:textFill>
                  <w14:solidFill>
                    <w14:schemeClr w14:val="tx1"/>
                  </w14:solidFill>
                </w14:textFill>
              </w:rPr>
            </w:pPr>
          </w:p>
        </w:tc>
        <w:tc>
          <w:tcPr>
            <w:tcW w:w="1562"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技工</w:t>
            </w:r>
          </w:p>
        </w:tc>
        <w:tc>
          <w:tcPr>
            <w:tcW w:w="2379" w:type="dxa"/>
            <w:gridSpan w:val="2"/>
            <w:tcBorders>
              <w:top w:val="single" w:color="auto" w:sz="4" w:space="0"/>
              <w:left w:val="nil"/>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pPr>
              <w:ind w:firstLine="420" w:firstLineChars="200"/>
              <w:rPr>
                <w:rFonts w:hAnsi="宋体"/>
                <w:color w:val="000000" w:themeColor="text1"/>
                <w14:textFill>
                  <w14:solidFill>
                    <w14:schemeClr w14:val="tx1"/>
                  </w14:solidFill>
                </w14:textFill>
              </w:rPr>
            </w:pPr>
          </w:p>
        </w:tc>
      </w:tr>
    </w:tbl>
    <w:p>
      <w:pPr>
        <w:rPr>
          <w:color w:val="000000" w:themeColor="text1"/>
          <w14:textFill>
            <w14:solidFill>
              <w14:schemeClr w14:val="tx1"/>
            </w14:solidFill>
          </w14:textFill>
        </w:rPr>
      </w:pPr>
    </w:p>
    <w:p>
      <w:pPr>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附营业执照、资质证书等相关资格审查资料。</w:t>
      </w:r>
    </w:p>
    <w:p>
      <w:pPr>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3"/>
          <w:szCs w:val="23"/>
          <w14:textFill>
            <w14:solidFill>
              <w14:schemeClr w14:val="tx1"/>
            </w14:solidFill>
          </w14:textFill>
        </w:rPr>
        <w:br w:type="page"/>
      </w:r>
    </w:p>
    <w:p>
      <w:pPr>
        <w:tabs>
          <w:tab w:val="left" w:pos="6569"/>
        </w:tabs>
        <w:spacing w:before="75" w:line="384" w:lineRule="auto"/>
        <w:ind w:right="270"/>
        <w:rPr>
          <w:rFonts w:ascii="宋体" w:hAnsi="宋体" w:eastAsia="宋体" w:cs="宋体"/>
          <w:color w:val="000000" w:themeColor="text1"/>
          <w:sz w:val="23"/>
          <w:szCs w:val="23"/>
          <w14:textFill>
            <w14:solidFill>
              <w14:schemeClr w14:val="tx1"/>
            </w14:solidFill>
          </w14:textFill>
        </w:rPr>
      </w:pPr>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格式</w:t>
      </w:r>
      <w:r>
        <w:rPr>
          <w:rFonts w:hint="eastAsia"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八</w:t>
      </w:r>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w:t>
      </w:r>
    </w:p>
    <w:p>
      <w:pPr>
        <w:pStyle w:val="6"/>
        <w:spacing w:before="0" w:after="0"/>
        <w:jc w:val="right"/>
        <w:rPr>
          <w:rFonts w:ascii="仿宋" w:hAnsi="仿宋" w:eastAsia="仿宋"/>
          <w:color w:val="auto"/>
          <w:sz w:val="44"/>
          <w:szCs w:val="44"/>
        </w:rPr>
      </w:pPr>
      <w:r>
        <w:rPr>
          <w:color w:val="auto"/>
        </w:rPr>
        <mc:AlternateContent>
          <mc:Choice Requires="wps">
            <w:drawing>
              <wp:anchor distT="0" distB="0" distL="114300" distR="114300" simplePos="0" relativeHeight="251663360" behindDoc="0" locked="0" layoutInCell="1" allowOverlap="1">
                <wp:simplePos x="0" y="0"/>
                <wp:positionH relativeFrom="column">
                  <wp:posOffset>4201160</wp:posOffset>
                </wp:positionH>
                <wp:positionV relativeFrom="paragraph">
                  <wp:posOffset>29210</wp:posOffset>
                </wp:positionV>
                <wp:extent cx="1631950" cy="457200"/>
                <wp:effectExtent l="7620" t="7620" r="21590" b="22860"/>
                <wp:wrapNone/>
                <wp:docPr id="5" name="文本框 5"/>
                <wp:cNvGraphicFramePr/>
                <a:graphic xmlns:a="http://schemas.openxmlformats.org/drawingml/2006/main">
                  <a:graphicData uri="http://schemas.microsoft.com/office/word/2010/wordprocessingShape">
                    <wps:wsp>
                      <wps:cNvSpPr txBox="1"/>
                      <wps:spPr>
                        <a:xfrm>
                          <a:off x="0" y="0"/>
                          <a:ext cx="1631950" cy="457200"/>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pPr>
                              <w:rPr>
                                <w:sz w:val="48"/>
                                <w:szCs w:val="48"/>
                              </w:rPr>
                            </w:pPr>
                            <w:r>
                              <w:rPr>
                                <w:rFonts w:hint="eastAsia"/>
                                <w:sz w:val="48"/>
                                <w:szCs w:val="48"/>
                              </w:rPr>
                              <w:t>正本/副本</w:t>
                            </w:r>
                          </w:p>
                        </w:txbxContent>
                      </wps:txbx>
                      <wps:bodyPr upright="1"/>
                    </wps:wsp>
                  </a:graphicData>
                </a:graphic>
              </wp:anchor>
            </w:drawing>
          </mc:Choice>
          <mc:Fallback>
            <w:pict>
              <v:shape id="_x0000_s1026" o:spid="_x0000_s1026" o:spt="202" type="#_x0000_t202" style="position:absolute;left:0pt;margin-left:330.8pt;margin-top:2.3pt;height:36pt;width:128.5pt;z-index:251663360;mso-width-relative:page;mso-height-relative:page;" fillcolor="#FFFFFF" filled="t" stroked="t" coordsize="21600,21600" o:gfxdata="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D41zE9cAAAAIAQAADwAAAAAAAAABACAA&#10;AAAiAAAAZHJzL2Rvd25yZXYueG1sUEsBAhQAFAAAAAgAh07iQDG3COJHAgAAvgQAAA4AAAAAAAAA&#10;AQAgAAAAJgEAAGRycy9lMm9Eb2MueG1sUEsFBgAAAAAGAAYAWQEAAN8FAAAAAA==&#10;">
                <v:fill type="gradient" on="t" color2="#FFFFFF" angle="90" focus="100%" focussize="0,0">
                  <o:fill type="gradientUnscaled" v:ext="backwardCompatible"/>
                </v:fill>
                <v:stroke weight="1.25pt" color="#739CC3" joinstyle="miter"/>
                <v:imagedata o:title=""/>
                <o:lock v:ext="edit" aspectratio="f"/>
                <v:textbox>
                  <w:txbxContent>
                    <w:p>
                      <w:pPr>
                        <w:rPr>
                          <w:sz w:val="48"/>
                          <w:szCs w:val="48"/>
                        </w:rPr>
                      </w:pPr>
                      <w:r>
                        <w:rPr>
                          <w:rFonts w:hint="eastAsia"/>
                          <w:sz w:val="48"/>
                          <w:szCs w:val="48"/>
                        </w:rPr>
                        <w:t>正本/副本</w:t>
                      </w:r>
                    </w:p>
                  </w:txbxContent>
                </v:textbox>
              </v:shape>
            </w:pict>
          </mc:Fallback>
        </mc:AlternateContent>
      </w:r>
    </w:p>
    <w:p>
      <w:pPr>
        <w:pStyle w:val="6"/>
        <w:spacing w:before="0" w:after="0"/>
        <w:jc w:val="center"/>
        <w:rPr>
          <w:rFonts w:ascii="仿宋" w:hAnsi="仿宋" w:eastAsia="仿宋" w:cs="仿宋"/>
          <w:color w:val="auto"/>
          <w:sz w:val="44"/>
          <w:szCs w:val="44"/>
        </w:rPr>
      </w:pPr>
      <w:bookmarkStart w:id="66" w:name="_Toc92810557"/>
      <w:bookmarkStart w:id="67" w:name="_Toc21223"/>
    </w:p>
    <w:p>
      <w:pPr>
        <w:pStyle w:val="6"/>
        <w:spacing w:before="0" w:after="0"/>
        <w:jc w:val="center"/>
        <w:rPr>
          <w:rFonts w:ascii="仿宋" w:hAnsi="仿宋" w:eastAsia="仿宋" w:cs="仿宋"/>
          <w:color w:val="auto"/>
          <w:sz w:val="44"/>
          <w:szCs w:val="44"/>
        </w:rPr>
      </w:pPr>
      <w:bookmarkStart w:id="68" w:name="_Toc30016"/>
      <w:r>
        <w:rPr>
          <w:rFonts w:hint="eastAsia" w:ascii="仿宋" w:hAnsi="仿宋" w:eastAsia="仿宋" w:cs="仿宋"/>
          <w:color w:val="auto"/>
          <w:sz w:val="44"/>
          <w:szCs w:val="44"/>
        </w:rPr>
        <w:t>资格审查文件投标文件</w:t>
      </w:r>
      <w:bookmarkEnd w:id="66"/>
      <w:bookmarkEnd w:id="67"/>
      <w:bookmarkEnd w:id="68"/>
    </w:p>
    <w:p>
      <w:pPr>
        <w:spacing w:line="600" w:lineRule="exact"/>
        <w:jc w:val="center"/>
        <w:rPr>
          <w:rFonts w:ascii="仿宋" w:hAnsi="仿宋" w:eastAsia="仿宋" w:cs="仿宋"/>
          <w:color w:val="auto"/>
          <w:sz w:val="32"/>
          <w:szCs w:val="32"/>
        </w:rPr>
      </w:pPr>
      <w:r>
        <w:rPr>
          <w:rFonts w:hint="eastAsia" w:ascii="仿宋" w:hAnsi="仿宋" w:eastAsia="仿宋" w:cs="仿宋"/>
          <w:color w:val="auto"/>
          <w:sz w:val="32"/>
          <w:szCs w:val="32"/>
        </w:rPr>
        <w:t>（封面）</w:t>
      </w:r>
    </w:p>
    <w:p>
      <w:pPr>
        <w:spacing w:line="600" w:lineRule="exact"/>
        <w:rPr>
          <w:rFonts w:ascii="仿宋" w:hAnsi="仿宋" w:eastAsia="仿宋" w:cs="仿宋"/>
          <w:color w:val="auto"/>
          <w:szCs w:val="28"/>
        </w:rPr>
      </w:pPr>
    </w:p>
    <w:p>
      <w:pPr>
        <w:spacing w:line="600" w:lineRule="exact"/>
        <w:rPr>
          <w:rFonts w:ascii="仿宋" w:hAnsi="仿宋" w:eastAsia="仿宋" w:cs="仿宋"/>
          <w:color w:val="auto"/>
          <w:szCs w:val="28"/>
        </w:rPr>
      </w:pPr>
    </w:p>
    <w:p>
      <w:pPr>
        <w:spacing w:line="600" w:lineRule="exact"/>
        <w:rPr>
          <w:rFonts w:ascii="仿宋" w:hAnsi="仿宋" w:eastAsia="仿宋" w:cs="仿宋"/>
          <w:color w:val="auto"/>
          <w:sz w:val="24"/>
          <w:szCs w:val="28"/>
        </w:rPr>
      </w:pPr>
    </w:p>
    <w:p>
      <w:pPr>
        <w:spacing w:line="600" w:lineRule="exact"/>
        <w:ind w:firstLine="480" w:firstLineChars="200"/>
        <w:rPr>
          <w:rFonts w:ascii="仿宋" w:hAnsi="仿宋" w:eastAsia="仿宋" w:cs="仿宋"/>
          <w:color w:val="auto"/>
          <w:sz w:val="24"/>
          <w:szCs w:val="28"/>
          <w:u w:val="single"/>
        </w:rPr>
      </w:pPr>
      <w:r>
        <w:rPr>
          <w:rFonts w:hint="eastAsia" w:ascii="仿宋" w:hAnsi="仿宋" w:eastAsia="仿宋" w:cs="仿宋"/>
          <w:color w:val="auto"/>
          <w:sz w:val="24"/>
          <w:szCs w:val="28"/>
        </w:rPr>
        <w:t>招标人：</w:t>
      </w:r>
      <w:r>
        <w:rPr>
          <w:rFonts w:hint="eastAsia" w:ascii="仿宋" w:hAnsi="仿宋" w:eastAsia="仿宋" w:cs="仿宋"/>
          <w:strike/>
          <w:color w:val="auto"/>
          <w:sz w:val="24"/>
          <w:szCs w:val="28"/>
        </w:rPr>
        <w:t xml:space="preserve">                                              </w:t>
      </w:r>
    </w:p>
    <w:p>
      <w:pPr>
        <w:spacing w:line="600" w:lineRule="exact"/>
        <w:rPr>
          <w:rFonts w:ascii="仿宋" w:hAnsi="仿宋" w:eastAsia="仿宋" w:cs="仿宋"/>
          <w:color w:val="auto"/>
          <w:sz w:val="24"/>
          <w:szCs w:val="28"/>
          <w:u w:val="single"/>
        </w:rPr>
      </w:pPr>
    </w:p>
    <w:p>
      <w:pPr>
        <w:spacing w:line="600" w:lineRule="exact"/>
        <w:rPr>
          <w:rFonts w:ascii="仿宋" w:hAnsi="仿宋" w:eastAsia="仿宋" w:cs="仿宋"/>
          <w:color w:val="auto"/>
          <w:sz w:val="24"/>
          <w:szCs w:val="28"/>
          <w:u w:val="single"/>
        </w:rPr>
      </w:pPr>
    </w:p>
    <w:p>
      <w:pPr>
        <w:spacing w:line="600" w:lineRule="exact"/>
        <w:ind w:firstLine="480" w:firstLineChars="200"/>
        <w:rPr>
          <w:rFonts w:ascii="仿宋" w:hAnsi="仿宋" w:eastAsia="仿宋" w:cs="仿宋"/>
          <w:color w:val="auto"/>
          <w:sz w:val="24"/>
          <w:szCs w:val="28"/>
          <w:u w:val="single"/>
        </w:rPr>
      </w:pPr>
      <w:r>
        <w:rPr>
          <w:rFonts w:hint="eastAsia" w:ascii="仿宋" w:hAnsi="仿宋" w:eastAsia="仿宋" w:cs="仿宋"/>
          <w:color w:val="auto"/>
          <w:sz w:val="24"/>
          <w:szCs w:val="28"/>
        </w:rPr>
        <w:t>工程名称：</w:t>
      </w:r>
      <w:r>
        <w:rPr>
          <w:rFonts w:hint="eastAsia" w:ascii="仿宋" w:hAnsi="仿宋" w:eastAsia="仿宋" w:cs="仿宋"/>
          <w:color w:val="auto"/>
          <w:sz w:val="24"/>
          <w:szCs w:val="28"/>
          <w:u w:val="single"/>
        </w:rPr>
        <w:t xml:space="preserve">                                          </w:t>
      </w:r>
    </w:p>
    <w:p>
      <w:pPr>
        <w:spacing w:line="600" w:lineRule="exact"/>
        <w:rPr>
          <w:rFonts w:ascii="仿宋" w:hAnsi="仿宋" w:eastAsia="仿宋" w:cs="仿宋"/>
          <w:color w:val="auto"/>
          <w:sz w:val="24"/>
          <w:szCs w:val="28"/>
          <w:u w:val="single"/>
        </w:rPr>
      </w:pPr>
    </w:p>
    <w:p>
      <w:pPr>
        <w:spacing w:line="600" w:lineRule="exact"/>
        <w:ind w:firstLine="480" w:firstLineChars="200"/>
        <w:rPr>
          <w:rFonts w:ascii="仿宋" w:hAnsi="仿宋" w:eastAsia="仿宋" w:cs="仿宋"/>
          <w:color w:val="auto"/>
          <w:sz w:val="24"/>
          <w:szCs w:val="28"/>
        </w:rPr>
      </w:pPr>
    </w:p>
    <w:p>
      <w:pPr>
        <w:spacing w:line="600" w:lineRule="exact"/>
        <w:ind w:firstLine="480" w:firstLineChars="200"/>
        <w:rPr>
          <w:rFonts w:ascii="仿宋" w:hAnsi="仿宋" w:eastAsia="仿宋" w:cs="仿宋"/>
          <w:color w:val="auto"/>
          <w:sz w:val="24"/>
          <w:szCs w:val="28"/>
          <w:u w:val="single"/>
        </w:rPr>
      </w:pPr>
      <w:r>
        <w:rPr>
          <w:rFonts w:hint="eastAsia" w:ascii="仿宋" w:hAnsi="仿宋" w:eastAsia="仿宋" w:cs="仿宋"/>
          <w:color w:val="auto"/>
          <w:sz w:val="24"/>
          <w:szCs w:val="28"/>
        </w:rPr>
        <w:t>投标人：</w:t>
      </w:r>
      <w:r>
        <w:rPr>
          <w:rFonts w:hint="eastAsia" w:ascii="仿宋" w:hAnsi="仿宋" w:eastAsia="仿宋" w:cs="仿宋"/>
          <w:color w:val="auto"/>
          <w:sz w:val="24"/>
          <w:szCs w:val="28"/>
          <w:u w:val="single"/>
        </w:rPr>
        <w:t xml:space="preserve">                                    （盖公章）</w:t>
      </w:r>
    </w:p>
    <w:p>
      <w:pPr>
        <w:spacing w:line="600" w:lineRule="exact"/>
        <w:rPr>
          <w:rFonts w:ascii="仿宋" w:hAnsi="仿宋" w:eastAsia="仿宋" w:cs="仿宋"/>
          <w:color w:val="auto"/>
          <w:sz w:val="24"/>
          <w:szCs w:val="28"/>
          <w:u w:val="single"/>
        </w:rPr>
      </w:pPr>
    </w:p>
    <w:p>
      <w:pPr>
        <w:spacing w:line="600" w:lineRule="exact"/>
        <w:rPr>
          <w:rFonts w:ascii="仿宋" w:hAnsi="仿宋" w:eastAsia="仿宋" w:cs="仿宋"/>
          <w:color w:val="auto"/>
          <w:sz w:val="24"/>
          <w:szCs w:val="28"/>
          <w:u w:val="single"/>
        </w:rPr>
      </w:pPr>
    </w:p>
    <w:p>
      <w:pPr>
        <w:spacing w:line="600" w:lineRule="exact"/>
        <w:ind w:firstLine="480" w:firstLineChars="200"/>
        <w:rPr>
          <w:rFonts w:ascii="仿宋" w:hAnsi="仿宋" w:eastAsia="仿宋" w:cs="仿宋"/>
          <w:color w:val="auto"/>
          <w:sz w:val="24"/>
          <w:szCs w:val="28"/>
          <w:u w:val="single"/>
        </w:rPr>
      </w:pPr>
      <w:r>
        <w:rPr>
          <w:rFonts w:hint="eastAsia" w:ascii="仿宋" w:hAnsi="仿宋" w:eastAsia="仿宋" w:cs="仿宋"/>
          <w:color w:val="auto"/>
          <w:sz w:val="24"/>
          <w:szCs w:val="28"/>
        </w:rPr>
        <w:t>法定代表人或委托代理人：</w:t>
      </w:r>
      <w:r>
        <w:rPr>
          <w:rFonts w:hint="eastAsia" w:ascii="仿宋" w:hAnsi="仿宋" w:eastAsia="仿宋" w:cs="仿宋"/>
          <w:color w:val="auto"/>
          <w:sz w:val="24"/>
          <w:szCs w:val="28"/>
          <w:u w:val="single"/>
        </w:rPr>
        <w:t xml:space="preserve">                （签字或盖章）</w:t>
      </w:r>
    </w:p>
    <w:p>
      <w:pPr>
        <w:spacing w:line="600" w:lineRule="exact"/>
        <w:rPr>
          <w:rFonts w:ascii="仿宋" w:hAnsi="仿宋" w:eastAsia="仿宋" w:cs="仿宋"/>
          <w:color w:val="auto"/>
          <w:sz w:val="24"/>
          <w:szCs w:val="28"/>
          <w:u w:val="single"/>
        </w:rPr>
      </w:pPr>
    </w:p>
    <w:p>
      <w:pPr>
        <w:spacing w:line="600" w:lineRule="exact"/>
        <w:rPr>
          <w:rFonts w:ascii="仿宋" w:hAnsi="仿宋" w:eastAsia="仿宋" w:cs="仿宋"/>
          <w:color w:val="auto"/>
          <w:sz w:val="24"/>
          <w:szCs w:val="28"/>
          <w:u w:val="single"/>
        </w:rPr>
      </w:pPr>
    </w:p>
    <w:p>
      <w:pPr>
        <w:spacing w:line="600" w:lineRule="exact"/>
        <w:ind w:firstLine="480" w:firstLineChars="200"/>
        <w:rPr>
          <w:rFonts w:ascii="仿宋" w:hAnsi="仿宋" w:eastAsia="仿宋" w:cs="仿宋"/>
          <w:b/>
          <w:bCs/>
          <w:color w:val="auto"/>
          <w:sz w:val="32"/>
          <w:szCs w:val="32"/>
        </w:rPr>
      </w:pPr>
      <w:r>
        <w:rPr>
          <w:rFonts w:hint="eastAsia" w:ascii="仿宋" w:hAnsi="仿宋" w:eastAsia="仿宋" w:cs="仿宋"/>
          <w:color w:val="auto"/>
          <w:sz w:val="24"/>
          <w:szCs w:val="28"/>
        </w:rPr>
        <w:t>日期：</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年</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月</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日</w:t>
      </w:r>
    </w:p>
    <w:p>
      <w:pPr>
        <w:tabs>
          <w:tab w:val="left" w:pos="6569"/>
        </w:tabs>
        <w:spacing w:before="75" w:line="384" w:lineRule="auto"/>
        <w:ind w:right="270"/>
        <w:rPr>
          <w:rFonts w:ascii="宋体" w:hAnsi="宋体" w:eastAsia="宋体" w:cs="宋体"/>
          <w:color w:val="000000" w:themeColor="text1"/>
          <w:sz w:val="23"/>
          <w:szCs w:val="23"/>
          <w14:textFill>
            <w14:solidFill>
              <w14:schemeClr w14:val="tx1"/>
            </w14:solidFill>
          </w14:textFill>
        </w:rPr>
      </w:pPr>
      <w:r>
        <w:rPr>
          <w:rFonts w:hint="eastAsia" w:ascii="仿宋" w:hAnsi="仿宋" w:eastAsia="仿宋" w:cs="仿宋"/>
          <w:color w:val="auto"/>
          <w:sz w:val="32"/>
          <w:szCs w:val="32"/>
        </w:rPr>
        <w:br w:type="page"/>
      </w:r>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格式</w:t>
      </w:r>
      <w:r>
        <w:rPr>
          <w:rFonts w:hint="eastAsia"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九</w:t>
      </w:r>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w:t>
      </w:r>
    </w:p>
    <w:p>
      <w:pPr>
        <w:pStyle w:val="6"/>
        <w:spacing w:before="0" w:after="0"/>
        <w:jc w:val="right"/>
        <w:rPr>
          <w:rFonts w:ascii="仿宋" w:hAnsi="仿宋" w:eastAsia="仿宋"/>
          <w:color w:val="auto"/>
          <w:sz w:val="44"/>
          <w:szCs w:val="44"/>
        </w:rPr>
      </w:pPr>
      <w:r>
        <w:rPr>
          <w:color w:val="auto"/>
        </w:rPr>
        <mc:AlternateContent>
          <mc:Choice Requires="wps">
            <w:drawing>
              <wp:anchor distT="0" distB="0" distL="114300" distR="114300" simplePos="0" relativeHeight="251668480" behindDoc="0" locked="0" layoutInCell="1" allowOverlap="1">
                <wp:simplePos x="0" y="0"/>
                <wp:positionH relativeFrom="column">
                  <wp:posOffset>4201160</wp:posOffset>
                </wp:positionH>
                <wp:positionV relativeFrom="paragraph">
                  <wp:posOffset>29210</wp:posOffset>
                </wp:positionV>
                <wp:extent cx="1631950" cy="457200"/>
                <wp:effectExtent l="7620" t="7620" r="21590" b="22860"/>
                <wp:wrapNone/>
                <wp:docPr id="8" name="文本框 8"/>
                <wp:cNvGraphicFramePr/>
                <a:graphic xmlns:a="http://schemas.openxmlformats.org/drawingml/2006/main">
                  <a:graphicData uri="http://schemas.microsoft.com/office/word/2010/wordprocessingShape">
                    <wps:wsp>
                      <wps:cNvSpPr txBox="1"/>
                      <wps:spPr>
                        <a:xfrm>
                          <a:off x="0" y="0"/>
                          <a:ext cx="1631950" cy="457200"/>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pPr>
                              <w:rPr>
                                <w:sz w:val="48"/>
                                <w:szCs w:val="48"/>
                              </w:rPr>
                            </w:pPr>
                            <w:r>
                              <w:rPr>
                                <w:rFonts w:hint="eastAsia"/>
                                <w:sz w:val="48"/>
                                <w:szCs w:val="48"/>
                              </w:rPr>
                              <w:t>正本/副本</w:t>
                            </w:r>
                          </w:p>
                        </w:txbxContent>
                      </wps:txbx>
                      <wps:bodyPr upright="1"/>
                    </wps:wsp>
                  </a:graphicData>
                </a:graphic>
              </wp:anchor>
            </w:drawing>
          </mc:Choice>
          <mc:Fallback>
            <w:pict>
              <v:shape id="_x0000_s1026" o:spid="_x0000_s1026" o:spt="202" type="#_x0000_t202" style="position:absolute;left:0pt;margin-left:330.8pt;margin-top:2.3pt;height:36pt;width:128.5pt;z-index:251668480;mso-width-relative:page;mso-height-relative:page;" fillcolor="#FFFFFF" filled="t" stroked="t" coordsize="21600,21600" o:gfxdata="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D41zE9cAAAAIAQAADwAAAAAAAAABACAA&#10;AAAiAAAAZHJzL2Rvd25yZXYueG1sUEsBAhQAFAAAAAgAh07iQHGg//1HAgAAvgQAAA4AAAAAAAAA&#10;AQAgAAAAJgEAAGRycy9lMm9Eb2MueG1sUEsFBgAAAAAGAAYAWQEAAN8FAAAAAA==&#10;">
                <v:fill type="gradient" on="t" color2="#FFFFFF" angle="90" focus="100%" focussize="0,0">
                  <o:fill type="gradientUnscaled" v:ext="backwardCompatible"/>
                </v:fill>
                <v:stroke weight="1.25pt" color="#739CC3" joinstyle="miter"/>
                <v:imagedata o:title=""/>
                <o:lock v:ext="edit" aspectratio="f"/>
                <v:textbox>
                  <w:txbxContent>
                    <w:p>
                      <w:pPr>
                        <w:rPr>
                          <w:sz w:val="48"/>
                          <w:szCs w:val="48"/>
                        </w:rPr>
                      </w:pPr>
                      <w:r>
                        <w:rPr>
                          <w:rFonts w:hint="eastAsia"/>
                          <w:sz w:val="48"/>
                          <w:szCs w:val="48"/>
                        </w:rPr>
                        <w:t>正本/副本</w:t>
                      </w:r>
                    </w:p>
                  </w:txbxContent>
                </v:textbox>
              </v:shape>
            </w:pict>
          </mc:Fallback>
        </mc:AlternateContent>
      </w:r>
    </w:p>
    <w:p>
      <w:pPr>
        <w:pStyle w:val="6"/>
        <w:spacing w:before="0" w:after="0"/>
        <w:jc w:val="center"/>
        <w:rPr>
          <w:rFonts w:ascii="仿宋" w:hAnsi="仿宋" w:eastAsia="仿宋" w:cs="仿宋"/>
          <w:color w:val="auto"/>
          <w:sz w:val="44"/>
          <w:szCs w:val="44"/>
        </w:rPr>
      </w:pPr>
    </w:p>
    <w:p>
      <w:pPr>
        <w:pStyle w:val="6"/>
        <w:spacing w:before="0" w:after="0"/>
        <w:jc w:val="center"/>
        <w:rPr>
          <w:rFonts w:ascii="仿宋" w:hAnsi="仿宋" w:eastAsia="仿宋" w:cs="仿宋"/>
          <w:color w:val="auto"/>
          <w:sz w:val="44"/>
          <w:szCs w:val="44"/>
        </w:rPr>
      </w:pPr>
      <w:r>
        <w:rPr>
          <w:rFonts w:hint="eastAsia" w:ascii="仿宋" w:hAnsi="仿宋" w:eastAsia="仿宋" w:cs="仿宋"/>
          <w:color w:val="auto"/>
          <w:sz w:val="44"/>
          <w:szCs w:val="44"/>
        </w:rPr>
        <w:t>技术标投标文件</w:t>
      </w:r>
    </w:p>
    <w:p>
      <w:pPr>
        <w:spacing w:line="600" w:lineRule="exact"/>
        <w:jc w:val="center"/>
        <w:rPr>
          <w:rFonts w:ascii="仿宋" w:hAnsi="仿宋" w:eastAsia="仿宋" w:cs="仿宋"/>
          <w:color w:val="auto"/>
          <w:sz w:val="32"/>
          <w:szCs w:val="32"/>
        </w:rPr>
      </w:pPr>
      <w:r>
        <w:rPr>
          <w:rFonts w:hint="eastAsia" w:ascii="仿宋" w:hAnsi="仿宋" w:eastAsia="仿宋" w:cs="仿宋"/>
          <w:color w:val="auto"/>
          <w:sz w:val="32"/>
          <w:szCs w:val="32"/>
        </w:rPr>
        <w:t>（封面）</w:t>
      </w:r>
    </w:p>
    <w:p>
      <w:pPr>
        <w:spacing w:line="600" w:lineRule="exact"/>
        <w:rPr>
          <w:rFonts w:ascii="仿宋" w:hAnsi="仿宋" w:eastAsia="仿宋" w:cs="仿宋"/>
          <w:color w:val="auto"/>
          <w:szCs w:val="28"/>
        </w:rPr>
      </w:pPr>
    </w:p>
    <w:p>
      <w:pPr>
        <w:spacing w:line="600" w:lineRule="exact"/>
        <w:rPr>
          <w:rFonts w:ascii="仿宋" w:hAnsi="仿宋" w:eastAsia="仿宋" w:cs="仿宋"/>
          <w:color w:val="auto"/>
          <w:szCs w:val="28"/>
        </w:rPr>
      </w:pPr>
    </w:p>
    <w:p>
      <w:pPr>
        <w:spacing w:line="600" w:lineRule="exact"/>
        <w:rPr>
          <w:rFonts w:ascii="仿宋" w:hAnsi="仿宋" w:eastAsia="仿宋" w:cs="仿宋"/>
          <w:color w:val="auto"/>
          <w:sz w:val="24"/>
          <w:szCs w:val="28"/>
        </w:rPr>
      </w:pPr>
    </w:p>
    <w:p>
      <w:pPr>
        <w:spacing w:line="600" w:lineRule="exact"/>
        <w:ind w:firstLine="480" w:firstLineChars="200"/>
        <w:rPr>
          <w:rFonts w:ascii="仿宋" w:hAnsi="仿宋" w:eastAsia="仿宋" w:cs="仿宋"/>
          <w:color w:val="auto"/>
          <w:sz w:val="24"/>
          <w:szCs w:val="28"/>
          <w:u w:val="single"/>
        </w:rPr>
      </w:pPr>
      <w:r>
        <w:rPr>
          <w:rFonts w:hint="eastAsia" w:ascii="仿宋" w:hAnsi="仿宋" w:eastAsia="仿宋" w:cs="仿宋"/>
          <w:color w:val="auto"/>
          <w:sz w:val="24"/>
          <w:szCs w:val="28"/>
        </w:rPr>
        <w:t>招标人：</w:t>
      </w:r>
      <w:r>
        <w:rPr>
          <w:rFonts w:hint="eastAsia" w:ascii="仿宋" w:hAnsi="仿宋" w:eastAsia="仿宋" w:cs="仿宋"/>
          <w:strike/>
          <w:color w:val="auto"/>
          <w:sz w:val="24"/>
          <w:szCs w:val="28"/>
        </w:rPr>
        <w:t xml:space="preserve">                                              </w:t>
      </w:r>
    </w:p>
    <w:p>
      <w:pPr>
        <w:spacing w:line="600" w:lineRule="exact"/>
        <w:rPr>
          <w:rFonts w:ascii="仿宋" w:hAnsi="仿宋" w:eastAsia="仿宋" w:cs="仿宋"/>
          <w:color w:val="auto"/>
          <w:sz w:val="24"/>
          <w:szCs w:val="28"/>
          <w:u w:val="single"/>
        </w:rPr>
      </w:pPr>
    </w:p>
    <w:p>
      <w:pPr>
        <w:spacing w:line="600" w:lineRule="exact"/>
        <w:rPr>
          <w:rFonts w:ascii="仿宋" w:hAnsi="仿宋" w:eastAsia="仿宋" w:cs="仿宋"/>
          <w:color w:val="auto"/>
          <w:sz w:val="24"/>
          <w:szCs w:val="28"/>
          <w:u w:val="single"/>
        </w:rPr>
      </w:pPr>
    </w:p>
    <w:p>
      <w:pPr>
        <w:spacing w:line="600" w:lineRule="exact"/>
        <w:ind w:firstLine="480" w:firstLineChars="200"/>
        <w:rPr>
          <w:rFonts w:ascii="仿宋" w:hAnsi="仿宋" w:eastAsia="仿宋" w:cs="仿宋"/>
          <w:color w:val="auto"/>
          <w:sz w:val="24"/>
          <w:szCs w:val="28"/>
          <w:u w:val="single"/>
        </w:rPr>
      </w:pPr>
      <w:r>
        <w:rPr>
          <w:rFonts w:hint="eastAsia" w:ascii="仿宋" w:hAnsi="仿宋" w:eastAsia="仿宋" w:cs="仿宋"/>
          <w:color w:val="auto"/>
          <w:sz w:val="24"/>
          <w:szCs w:val="28"/>
        </w:rPr>
        <w:t>工程名称：</w:t>
      </w:r>
      <w:r>
        <w:rPr>
          <w:rFonts w:hint="eastAsia" w:ascii="仿宋" w:hAnsi="仿宋" w:eastAsia="仿宋" w:cs="仿宋"/>
          <w:color w:val="auto"/>
          <w:sz w:val="24"/>
          <w:szCs w:val="28"/>
          <w:u w:val="single"/>
        </w:rPr>
        <w:t xml:space="preserve">                                          </w:t>
      </w:r>
    </w:p>
    <w:p>
      <w:pPr>
        <w:spacing w:line="600" w:lineRule="exact"/>
        <w:rPr>
          <w:rFonts w:ascii="仿宋" w:hAnsi="仿宋" w:eastAsia="仿宋" w:cs="仿宋"/>
          <w:color w:val="auto"/>
          <w:sz w:val="24"/>
          <w:szCs w:val="28"/>
          <w:u w:val="single"/>
        </w:rPr>
      </w:pPr>
    </w:p>
    <w:p>
      <w:pPr>
        <w:spacing w:line="600" w:lineRule="exact"/>
        <w:ind w:firstLine="480" w:firstLineChars="200"/>
        <w:rPr>
          <w:rFonts w:ascii="仿宋" w:hAnsi="仿宋" w:eastAsia="仿宋" w:cs="仿宋"/>
          <w:color w:val="auto"/>
          <w:sz w:val="24"/>
          <w:szCs w:val="28"/>
        </w:rPr>
      </w:pPr>
    </w:p>
    <w:p>
      <w:pPr>
        <w:spacing w:line="600" w:lineRule="exact"/>
        <w:ind w:firstLine="480" w:firstLineChars="200"/>
        <w:rPr>
          <w:rFonts w:ascii="仿宋" w:hAnsi="仿宋" w:eastAsia="仿宋" w:cs="仿宋"/>
          <w:color w:val="auto"/>
          <w:sz w:val="24"/>
          <w:szCs w:val="28"/>
          <w:u w:val="single"/>
        </w:rPr>
      </w:pPr>
      <w:r>
        <w:rPr>
          <w:rFonts w:hint="eastAsia" w:ascii="仿宋" w:hAnsi="仿宋" w:eastAsia="仿宋" w:cs="仿宋"/>
          <w:color w:val="auto"/>
          <w:sz w:val="24"/>
          <w:szCs w:val="28"/>
        </w:rPr>
        <w:t>投标人：</w:t>
      </w:r>
      <w:r>
        <w:rPr>
          <w:rFonts w:hint="eastAsia" w:ascii="仿宋" w:hAnsi="仿宋" w:eastAsia="仿宋" w:cs="仿宋"/>
          <w:color w:val="auto"/>
          <w:sz w:val="24"/>
          <w:szCs w:val="28"/>
          <w:u w:val="single"/>
        </w:rPr>
        <w:t xml:space="preserve">                                    （盖公章）</w:t>
      </w:r>
    </w:p>
    <w:p>
      <w:pPr>
        <w:spacing w:line="600" w:lineRule="exact"/>
        <w:rPr>
          <w:rFonts w:ascii="仿宋" w:hAnsi="仿宋" w:eastAsia="仿宋" w:cs="仿宋"/>
          <w:color w:val="auto"/>
          <w:sz w:val="24"/>
          <w:szCs w:val="28"/>
          <w:u w:val="single"/>
        </w:rPr>
      </w:pPr>
    </w:p>
    <w:p>
      <w:pPr>
        <w:spacing w:line="600" w:lineRule="exact"/>
        <w:rPr>
          <w:rFonts w:ascii="仿宋" w:hAnsi="仿宋" w:eastAsia="仿宋" w:cs="仿宋"/>
          <w:color w:val="auto"/>
          <w:sz w:val="24"/>
          <w:szCs w:val="28"/>
          <w:u w:val="single"/>
        </w:rPr>
      </w:pPr>
    </w:p>
    <w:p>
      <w:pPr>
        <w:spacing w:line="600" w:lineRule="exact"/>
        <w:ind w:firstLine="480" w:firstLineChars="200"/>
        <w:rPr>
          <w:rFonts w:ascii="仿宋" w:hAnsi="仿宋" w:eastAsia="仿宋" w:cs="仿宋"/>
          <w:color w:val="auto"/>
          <w:sz w:val="24"/>
          <w:szCs w:val="28"/>
          <w:u w:val="single"/>
        </w:rPr>
      </w:pPr>
      <w:r>
        <w:rPr>
          <w:rFonts w:hint="eastAsia" w:ascii="仿宋" w:hAnsi="仿宋" w:eastAsia="仿宋" w:cs="仿宋"/>
          <w:color w:val="auto"/>
          <w:sz w:val="24"/>
          <w:szCs w:val="28"/>
        </w:rPr>
        <w:t>法定代表人或委托代理人：</w:t>
      </w:r>
      <w:r>
        <w:rPr>
          <w:rFonts w:hint="eastAsia" w:ascii="仿宋" w:hAnsi="仿宋" w:eastAsia="仿宋" w:cs="仿宋"/>
          <w:color w:val="auto"/>
          <w:sz w:val="24"/>
          <w:szCs w:val="28"/>
          <w:u w:val="single"/>
        </w:rPr>
        <w:t xml:space="preserve">                （签字或盖章）</w:t>
      </w:r>
    </w:p>
    <w:p>
      <w:pPr>
        <w:spacing w:line="600" w:lineRule="exact"/>
        <w:rPr>
          <w:rFonts w:ascii="仿宋" w:hAnsi="仿宋" w:eastAsia="仿宋" w:cs="仿宋"/>
          <w:color w:val="auto"/>
          <w:sz w:val="24"/>
          <w:szCs w:val="28"/>
          <w:u w:val="single"/>
        </w:rPr>
      </w:pPr>
    </w:p>
    <w:p>
      <w:pPr>
        <w:spacing w:line="600" w:lineRule="exact"/>
        <w:rPr>
          <w:rFonts w:ascii="仿宋" w:hAnsi="仿宋" w:eastAsia="仿宋" w:cs="仿宋"/>
          <w:color w:val="auto"/>
          <w:sz w:val="24"/>
          <w:szCs w:val="28"/>
          <w:u w:val="single"/>
        </w:rPr>
      </w:pPr>
    </w:p>
    <w:p>
      <w:pPr>
        <w:spacing w:line="600" w:lineRule="exact"/>
        <w:ind w:firstLine="480" w:firstLineChars="200"/>
        <w:rPr>
          <w:rFonts w:ascii="仿宋" w:hAnsi="仿宋" w:eastAsia="仿宋" w:cs="仿宋"/>
          <w:b/>
          <w:bCs/>
          <w:color w:val="auto"/>
          <w:sz w:val="32"/>
          <w:szCs w:val="32"/>
        </w:rPr>
      </w:pPr>
      <w:r>
        <w:rPr>
          <w:rFonts w:hint="eastAsia" w:ascii="仿宋" w:hAnsi="仿宋" w:eastAsia="仿宋" w:cs="仿宋"/>
          <w:color w:val="auto"/>
          <w:sz w:val="24"/>
          <w:szCs w:val="28"/>
        </w:rPr>
        <w:t>日期：</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年</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月</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日</w:t>
      </w:r>
    </w:p>
    <w:p>
      <w:pPr>
        <w:tabs>
          <w:tab w:val="left" w:pos="6569"/>
        </w:tabs>
        <w:spacing w:before="75" w:line="384" w:lineRule="auto"/>
        <w:ind w:right="270"/>
        <w:rPr>
          <w:rFonts w:ascii="宋体" w:hAnsi="宋体" w:eastAsia="宋体" w:cs="宋体"/>
          <w:color w:val="000000" w:themeColor="text1"/>
          <w:sz w:val="23"/>
          <w:szCs w:val="23"/>
          <w14:textFill>
            <w14:solidFill>
              <w14:schemeClr w14:val="tx1"/>
            </w14:solidFill>
          </w14:textFill>
        </w:rPr>
      </w:pPr>
      <w:r>
        <w:rPr>
          <w:rFonts w:hint="eastAsia" w:ascii="仿宋" w:hAnsi="仿宋" w:eastAsia="仿宋" w:cs="仿宋"/>
          <w:color w:val="auto"/>
          <w:sz w:val="32"/>
          <w:szCs w:val="32"/>
        </w:rPr>
        <w:br w:type="page"/>
      </w:r>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格式</w:t>
      </w:r>
      <w:r>
        <w:rPr>
          <w:rFonts w:hint="eastAsia"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十</w:t>
      </w:r>
      <w: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w:t>
      </w:r>
    </w:p>
    <w:p>
      <w:pPr>
        <w:pStyle w:val="6"/>
        <w:spacing w:before="0" w:after="0"/>
        <w:jc w:val="right"/>
        <w:rPr>
          <w:rFonts w:ascii="仿宋" w:hAnsi="仿宋" w:eastAsia="仿宋"/>
          <w:color w:val="auto"/>
          <w:sz w:val="44"/>
          <w:szCs w:val="44"/>
        </w:rPr>
      </w:pPr>
      <w:r>
        <w:rPr>
          <w:color w:val="auto"/>
        </w:rPr>
        <mc:AlternateContent>
          <mc:Choice Requires="wps">
            <w:drawing>
              <wp:anchor distT="0" distB="0" distL="114300" distR="114300" simplePos="0" relativeHeight="251674624" behindDoc="0" locked="0" layoutInCell="1" allowOverlap="1">
                <wp:simplePos x="0" y="0"/>
                <wp:positionH relativeFrom="column">
                  <wp:posOffset>4201160</wp:posOffset>
                </wp:positionH>
                <wp:positionV relativeFrom="paragraph">
                  <wp:posOffset>29210</wp:posOffset>
                </wp:positionV>
                <wp:extent cx="1631950" cy="457200"/>
                <wp:effectExtent l="7620" t="7620" r="21590" b="22860"/>
                <wp:wrapNone/>
                <wp:docPr id="10" name="文本框 10"/>
                <wp:cNvGraphicFramePr/>
                <a:graphic xmlns:a="http://schemas.openxmlformats.org/drawingml/2006/main">
                  <a:graphicData uri="http://schemas.microsoft.com/office/word/2010/wordprocessingShape">
                    <wps:wsp>
                      <wps:cNvSpPr txBox="1"/>
                      <wps:spPr>
                        <a:xfrm>
                          <a:off x="0" y="0"/>
                          <a:ext cx="1631950" cy="457200"/>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pPr>
                              <w:rPr>
                                <w:sz w:val="48"/>
                                <w:szCs w:val="48"/>
                              </w:rPr>
                            </w:pPr>
                            <w:r>
                              <w:rPr>
                                <w:rFonts w:hint="eastAsia"/>
                                <w:sz w:val="48"/>
                                <w:szCs w:val="48"/>
                              </w:rPr>
                              <w:t>正本/副本</w:t>
                            </w:r>
                          </w:p>
                        </w:txbxContent>
                      </wps:txbx>
                      <wps:bodyPr upright="1"/>
                    </wps:wsp>
                  </a:graphicData>
                </a:graphic>
              </wp:anchor>
            </w:drawing>
          </mc:Choice>
          <mc:Fallback>
            <w:pict>
              <v:shape id="_x0000_s1026" o:spid="_x0000_s1026" o:spt="202" type="#_x0000_t202" style="position:absolute;left:0pt;margin-left:330.8pt;margin-top:2.3pt;height:36pt;width:128.5pt;z-index:251674624;mso-width-relative:page;mso-height-relative:page;" fillcolor="#FFFFFF" filled="t" stroked="t" coordsize="21600,21600" o:gfxdata="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D41zE9cAAAAIAQAADwAAAAAAAAABACAA&#10;AAAiAAAAZHJzL2Rvd25yZXYueG1sUEsBAhQAFAAAAAgAh07iQB+UrAtHAgAAwAQAAA4AAAAAAAAA&#10;AQAgAAAAJgEAAGRycy9lMm9Eb2MueG1sUEsFBgAAAAAGAAYAWQEAAN8FAAAAAA==&#10;">
                <v:fill type="gradient" on="t" color2="#FFFFFF" angle="90" focus="100%" focussize="0,0">
                  <o:fill type="gradientUnscaled" v:ext="backwardCompatible"/>
                </v:fill>
                <v:stroke weight="1.25pt" color="#739CC3" joinstyle="miter"/>
                <v:imagedata o:title=""/>
                <o:lock v:ext="edit" aspectratio="f"/>
                <v:textbox>
                  <w:txbxContent>
                    <w:p>
                      <w:pPr>
                        <w:rPr>
                          <w:sz w:val="48"/>
                          <w:szCs w:val="48"/>
                        </w:rPr>
                      </w:pPr>
                      <w:r>
                        <w:rPr>
                          <w:rFonts w:hint="eastAsia"/>
                          <w:sz w:val="48"/>
                          <w:szCs w:val="48"/>
                        </w:rPr>
                        <w:t>正本/副本</w:t>
                      </w:r>
                    </w:p>
                  </w:txbxContent>
                </v:textbox>
              </v:shape>
            </w:pict>
          </mc:Fallback>
        </mc:AlternateContent>
      </w:r>
    </w:p>
    <w:p>
      <w:pPr>
        <w:pStyle w:val="6"/>
        <w:spacing w:before="0" w:after="0"/>
        <w:jc w:val="center"/>
        <w:rPr>
          <w:rFonts w:ascii="仿宋" w:hAnsi="仿宋" w:eastAsia="仿宋" w:cs="仿宋"/>
          <w:color w:val="auto"/>
          <w:sz w:val="44"/>
          <w:szCs w:val="44"/>
        </w:rPr>
      </w:pPr>
    </w:p>
    <w:p>
      <w:pPr>
        <w:pStyle w:val="6"/>
        <w:spacing w:before="0" w:after="0"/>
        <w:jc w:val="center"/>
        <w:rPr>
          <w:rFonts w:ascii="仿宋" w:hAnsi="仿宋" w:eastAsia="仿宋" w:cs="仿宋"/>
          <w:color w:val="auto"/>
          <w:sz w:val="44"/>
          <w:szCs w:val="44"/>
        </w:rPr>
      </w:pPr>
      <w:r>
        <w:rPr>
          <w:rFonts w:hint="eastAsia" w:ascii="仿宋" w:hAnsi="仿宋" w:eastAsia="仿宋" w:cs="仿宋"/>
          <w:color w:val="auto"/>
          <w:sz w:val="44"/>
          <w:szCs w:val="44"/>
        </w:rPr>
        <w:t>商务标投标文件</w:t>
      </w:r>
    </w:p>
    <w:p>
      <w:pPr>
        <w:spacing w:line="600" w:lineRule="exact"/>
        <w:jc w:val="center"/>
        <w:rPr>
          <w:rFonts w:ascii="仿宋" w:hAnsi="仿宋" w:eastAsia="仿宋" w:cs="仿宋"/>
          <w:color w:val="auto"/>
          <w:sz w:val="32"/>
          <w:szCs w:val="32"/>
        </w:rPr>
      </w:pPr>
      <w:r>
        <w:rPr>
          <w:rFonts w:hint="eastAsia" w:ascii="仿宋" w:hAnsi="仿宋" w:eastAsia="仿宋" w:cs="仿宋"/>
          <w:color w:val="auto"/>
          <w:sz w:val="32"/>
          <w:szCs w:val="32"/>
        </w:rPr>
        <w:t>（封面）</w:t>
      </w:r>
    </w:p>
    <w:p>
      <w:pPr>
        <w:spacing w:line="600" w:lineRule="exact"/>
        <w:rPr>
          <w:rFonts w:ascii="仿宋" w:hAnsi="仿宋" w:eastAsia="仿宋" w:cs="仿宋"/>
          <w:color w:val="auto"/>
          <w:szCs w:val="28"/>
        </w:rPr>
      </w:pPr>
    </w:p>
    <w:p>
      <w:pPr>
        <w:spacing w:line="600" w:lineRule="exact"/>
        <w:rPr>
          <w:rFonts w:ascii="仿宋" w:hAnsi="仿宋" w:eastAsia="仿宋" w:cs="仿宋"/>
          <w:color w:val="auto"/>
          <w:szCs w:val="28"/>
        </w:rPr>
      </w:pPr>
    </w:p>
    <w:p>
      <w:pPr>
        <w:spacing w:line="600" w:lineRule="exact"/>
        <w:rPr>
          <w:rFonts w:ascii="仿宋" w:hAnsi="仿宋" w:eastAsia="仿宋" w:cs="仿宋"/>
          <w:color w:val="auto"/>
          <w:sz w:val="24"/>
          <w:szCs w:val="28"/>
        </w:rPr>
      </w:pPr>
    </w:p>
    <w:p>
      <w:pPr>
        <w:spacing w:line="600" w:lineRule="exact"/>
        <w:ind w:firstLine="480" w:firstLineChars="200"/>
        <w:rPr>
          <w:rFonts w:ascii="仿宋" w:hAnsi="仿宋" w:eastAsia="仿宋" w:cs="仿宋"/>
          <w:color w:val="auto"/>
          <w:sz w:val="24"/>
          <w:szCs w:val="28"/>
          <w:u w:val="single"/>
        </w:rPr>
      </w:pPr>
      <w:r>
        <w:rPr>
          <w:rFonts w:hint="eastAsia" w:ascii="仿宋" w:hAnsi="仿宋" w:eastAsia="仿宋" w:cs="仿宋"/>
          <w:color w:val="auto"/>
          <w:sz w:val="24"/>
          <w:szCs w:val="28"/>
        </w:rPr>
        <w:t>招标人：</w:t>
      </w:r>
      <w:r>
        <w:rPr>
          <w:rFonts w:hint="eastAsia" w:ascii="仿宋" w:hAnsi="仿宋" w:eastAsia="仿宋" w:cs="仿宋"/>
          <w:strike/>
          <w:color w:val="auto"/>
          <w:sz w:val="24"/>
          <w:szCs w:val="28"/>
        </w:rPr>
        <w:t xml:space="preserve">                                              </w:t>
      </w:r>
    </w:p>
    <w:p>
      <w:pPr>
        <w:spacing w:line="600" w:lineRule="exact"/>
        <w:rPr>
          <w:rFonts w:ascii="仿宋" w:hAnsi="仿宋" w:eastAsia="仿宋" w:cs="仿宋"/>
          <w:color w:val="auto"/>
          <w:sz w:val="24"/>
          <w:szCs w:val="28"/>
          <w:u w:val="single"/>
        </w:rPr>
      </w:pPr>
    </w:p>
    <w:p>
      <w:pPr>
        <w:spacing w:line="600" w:lineRule="exact"/>
        <w:rPr>
          <w:rFonts w:ascii="仿宋" w:hAnsi="仿宋" w:eastAsia="仿宋" w:cs="仿宋"/>
          <w:color w:val="auto"/>
          <w:sz w:val="24"/>
          <w:szCs w:val="28"/>
          <w:u w:val="single"/>
        </w:rPr>
      </w:pPr>
    </w:p>
    <w:p>
      <w:pPr>
        <w:spacing w:line="600" w:lineRule="exact"/>
        <w:ind w:firstLine="480" w:firstLineChars="200"/>
        <w:rPr>
          <w:rFonts w:ascii="仿宋" w:hAnsi="仿宋" w:eastAsia="仿宋" w:cs="仿宋"/>
          <w:color w:val="auto"/>
          <w:sz w:val="24"/>
          <w:szCs w:val="28"/>
          <w:u w:val="single"/>
        </w:rPr>
      </w:pPr>
      <w:r>
        <w:rPr>
          <w:rFonts w:hint="eastAsia" w:ascii="仿宋" w:hAnsi="仿宋" w:eastAsia="仿宋" w:cs="仿宋"/>
          <w:color w:val="auto"/>
          <w:sz w:val="24"/>
          <w:szCs w:val="28"/>
        </w:rPr>
        <w:t>工程名称：</w:t>
      </w:r>
      <w:r>
        <w:rPr>
          <w:rFonts w:hint="eastAsia" w:ascii="仿宋" w:hAnsi="仿宋" w:eastAsia="仿宋" w:cs="仿宋"/>
          <w:color w:val="auto"/>
          <w:sz w:val="24"/>
          <w:szCs w:val="28"/>
          <w:u w:val="single"/>
        </w:rPr>
        <w:t xml:space="preserve">                                          </w:t>
      </w:r>
    </w:p>
    <w:p>
      <w:pPr>
        <w:spacing w:line="600" w:lineRule="exact"/>
        <w:rPr>
          <w:rFonts w:ascii="仿宋" w:hAnsi="仿宋" w:eastAsia="仿宋" w:cs="仿宋"/>
          <w:color w:val="auto"/>
          <w:sz w:val="24"/>
          <w:szCs w:val="28"/>
          <w:u w:val="single"/>
        </w:rPr>
      </w:pPr>
    </w:p>
    <w:p>
      <w:pPr>
        <w:spacing w:line="600" w:lineRule="exact"/>
        <w:ind w:firstLine="480" w:firstLineChars="200"/>
        <w:rPr>
          <w:rFonts w:ascii="仿宋" w:hAnsi="仿宋" w:eastAsia="仿宋" w:cs="仿宋"/>
          <w:color w:val="auto"/>
          <w:sz w:val="24"/>
          <w:szCs w:val="28"/>
        </w:rPr>
      </w:pPr>
    </w:p>
    <w:p>
      <w:pPr>
        <w:spacing w:line="600" w:lineRule="exact"/>
        <w:ind w:firstLine="480" w:firstLineChars="200"/>
        <w:rPr>
          <w:rFonts w:ascii="仿宋" w:hAnsi="仿宋" w:eastAsia="仿宋" w:cs="仿宋"/>
          <w:color w:val="auto"/>
          <w:sz w:val="24"/>
          <w:szCs w:val="28"/>
          <w:u w:val="single"/>
        </w:rPr>
      </w:pPr>
      <w:r>
        <w:rPr>
          <w:rFonts w:hint="eastAsia" w:ascii="仿宋" w:hAnsi="仿宋" w:eastAsia="仿宋" w:cs="仿宋"/>
          <w:color w:val="auto"/>
          <w:sz w:val="24"/>
          <w:szCs w:val="28"/>
        </w:rPr>
        <w:t>投标人：</w:t>
      </w:r>
      <w:r>
        <w:rPr>
          <w:rFonts w:hint="eastAsia" w:ascii="仿宋" w:hAnsi="仿宋" w:eastAsia="仿宋" w:cs="仿宋"/>
          <w:color w:val="auto"/>
          <w:sz w:val="24"/>
          <w:szCs w:val="28"/>
          <w:u w:val="single"/>
        </w:rPr>
        <w:t xml:space="preserve">                                    （盖公章）</w:t>
      </w:r>
    </w:p>
    <w:p>
      <w:pPr>
        <w:spacing w:line="600" w:lineRule="exact"/>
        <w:rPr>
          <w:rFonts w:ascii="仿宋" w:hAnsi="仿宋" w:eastAsia="仿宋" w:cs="仿宋"/>
          <w:color w:val="auto"/>
          <w:sz w:val="24"/>
          <w:szCs w:val="28"/>
          <w:u w:val="single"/>
        </w:rPr>
      </w:pPr>
    </w:p>
    <w:p>
      <w:pPr>
        <w:spacing w:line="600" w:lineRule="exact"/>
        <w:rPr>
          <w:rFonts w:ascii="仿宋" w:hAnsi="仿宋" w:eastAsia="仿宋" w:cs="仿宋"/>
          <w:color w:val="auto"/>
          <w:sz w:val="24"/>
          <w:szCs w:val="28"/>
          <w:u w:val="single"/>
        </w:rPr>
      </w:pPr>
    </w:p>
    <w:p>
      <w:pPr>
        <w:spacing w:line="600" w:lineRule="exact"/>
        <w:ind w:firstLine="480" w:firstLineChars="200"/>
        <w:rPr>
          <w:rFonts w:ascii="仿宋" w:hAnsi="仿宋" w:eastAsia="仿宋" w:cs="仿宋"/>
          <w:color w:val="auto"/>
          <w:sz w:val="24"/>
          <w:szCs w:val="28"/>
          <w:u w:val="single"/>
        </w:rPr>
      </w:pPr>
      <w:r>
        <w:rPr>
          <w:rFonts w:hint="eastAsia" w:ascii="仿宋" w:hAnsi="仿宋" w:eastAsia="仿宋" w:cs="仿宋"/>
          <w:color w:val="auto"/>
          <w:sz w:val="24"/>
          <w:szCs w:val="28"/>
        </w:rPr>
        <w:t>法定代表人或委托代理人：</w:t>
      </w:r>
      <w:r>
        <w:rPr>
          <w:rFonts w:hint="eastAsia" w:ascii="仿宋" w:hAnsi="仿宋" w:eastAsia="仿宋" w:cs="仿宋"/>
          <w:color w:val="auto"/>
          <w:sz w:val="24"/>
          <w:szCs w:val="28"/>
          <w:u w:val="single"/>
        </w:rPr>
        <w:t xml:space="preserve">                （签字或盖章）</w:t>
      </w:r>
    </w:p>
    <w:p>
      <w:pPr>
        <w:spacing w:line="600" w:lineRule="exact"/>
        <w:rPr>
          <w:rFonts w:ascii="仿宋" w:hAnsi="仿宋" w:eastAsia="仿宋" w:cs="仿宋"/>
          <w:color w:val="auto"/>
          <w:sz w:val="24"/>
          <w:szCs w:val="28"/>
          <w:u w:val="single"/>
        </w:rPr>
      </w:pPr>
    </w:p>
    <w:p>
      <w:pPr>
        <w:spacing w:line="600" w:lineRule="exact"/>
        <w:rPr>
          <w:rFonts w:ascii="仿宋" w:hAnsi="仿宋" w:eastAsia="仿宋" w:cs="仿宋"/>
          <w:color w:val="auto"/>
          <w:sz w:val="24"/>
          <w:szCs w:val="28"/>
          <w:u w:val="single"/>
        </w:rPr>
      </w:pPr>
    </w:p>
    <w:p>
      <w:pPr>
        <w:spacing w:line="600" w:lineRule="exact"/>
        <w:ind w:firstLine="480" w:firstLineChars="200"/>
        <w:rPr>
          <w:rFonts w:ascii="仿宋" w:hAnsi="仿宋" w:eastAsia="仿宋" w:cs="仿宋"/>
          <w:color w:val="auto"/>
          <w:sz w:val="24"/>
          <w:szCs w:val="28"/>
        </w:rPr>
      </w:pPr>
      <w:r>
        <w:rPr>
          <w:rFonts w:hint="eastAsia" w:ascii="仿宋" w:hAnsi="仿宋" w:eastAsia="仿宋" w:cs="仿宋"/>
          <w:color w:val="auto"/>
          <w:sz w:val="24"/>
          <w:szCs w:val="28"/>
        </w:rPr>
        <w:t>日期：</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年</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月</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日</w:t>
      </w:r>
    </w:p>
    <w:p>
      <w:pPr>
        <w:rPr>
          <w:rFonts w:ascii="仿宋" w:hAnsi="仿宋" w:eastAsia="仿宋" w:cs="仿宋"/>
          <w:color w:val="auto"/>
          <w:sz w:val="24"/>
          <w:szCs w:val="28"/>
        </w:rPr>
      </w:pPr>
      <w:r>
        <w:rPr>
          <w:rFonts w:hint="eastAsia" w:ascii="仿宋" w:hAnsi="仿宋" w:eastAsia="仿宋" w:cs="仿宋"/>
          <w:color w:val="auto"/>
          <w:sz w:val="24"/>
          <w:szCs w:val="28"/>
        </w:rPr>
        <w:br w:type="page"/>
      </w:r>
    </w:p>
    <w:p>
      <w:pPr>
        <w:rPr>
          <w:rFonts w:ascii="宋体" w:hAnsi="宋体" w:eastAsia="宋体" w:cs="宋体"/>
          <w:b/>
          <w:bCs/>
          <w:color w:val="auto"/>
          <w:sz w:val="32"/>
          <w:szCs w:val="32"/>
        </w:rPr>
      </w:pPr>
      <w:r>
        <w:rPr>
          <w:rFonts w:hint="eastAsia"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格式十一：</w:t>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技术条款偏离表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2340"/>
        <w:gridCol w:w="216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980" w:type="dxa"/>
            <w:vAlign w:val="center"/>
          </w:tcPr>
          <w:p>
            <w:pPr>
              <w:pStyle w:val="15"/>
              <w:spacing w:line="400" w:lineRule="atLeast"/>
              <w:jc w:val="center"/>
              <w:rPr>
                <w:rFonts w:hAnsi="宋体" w:eastAsia="宋体" w:cs="宋体"/>
                <w:color w:val="auto"/>
                <w:sz w:val="24"/>
                <w:szCs w:val="24"/>
              </w:rPr>
            </w:pPr>
            <w:r>
              <w:rPr>
                <w:rFonts w:hint="eastAsia" w:hAnsi="宋体" w:eastAsia="宋体" w:cs="宋体"/>
                <w:color w:val="auto"/>
                <w:sz w:val="24"/>
                <w:szCs w:val="24"/>
              </w:rPr>
              <w:t>内容</w:t>
            </w:r>
          </w:p>
        </w:tc>
        <w:tc>
          <w:tcPr>
            <w:tcW w:w="2340" w:type="dxa"/>
            <w:vAlign w:val="center"/>
          </w:tcPr>
          <w:p>
            <w:pPr>
              <w:pStyle w:val="15"/>
              <w:spacing w:line="400" w:lineRule="atLeast"/>
              <w:jc w:val="center"/>
              <w:rPr>
                <w:rFonts w:hAnsi="宋体" w:eastAsia="宋体" w:cs="宋体"/>
                <w:color w:val="auto"/>
                <w:sz w:val="24"/>
                <w:szCs w:val="24"/>
              </w:rPr>
            </w:pPr>
            <w:r>
              <w:rPr>
                <w:rFonts w:hint="eastAsia" w:hAnsi="宋体" w:eastAsia="宋体" w:cs="宋体"/>
                <w:color w:val="auto"/>
                <w:sz w:val="24"/>
                <w:szCs w:val="24"/>
              </w:rPr>
              <w:t>招标文件</w:t>
            </w:r>
          </w:p>
          <w:p>
            <w:pPr>
              <w:pStyle w:val="15"/>
              <w:spacing w:line="400" w:lineRule="atLeast"/>
              <w:jc w:val="center"/>
              <w:rPr>
                <w:rFonts w:hAnsi="宋体" w:eastAsia="宋体" w:cs="宋体"/>
                <w:color w:val="auto"/>
                <w:sz w:val="24"/>
                <w:szCs w:val="24"/>
              </w:rPr>
            </w:pPr>
            <w:r>
              <w:rPr>
                <w:rFonts w:hint="eastAsia" w:hAnsi="宋体" w:eastAsia="宋体" w:cs="宋体"/>
                <w:color w:val="auto"/>
                <w:sz w:val="24"/>
                <w:szCs w:val="24"/>
              </w:rPr>
              <w:t>技术要求</w:t>
            </w:r>
          </w:p>
        </w:tc>
        <w:tc>
          <w:tcPr>
            <w:tcW w:w="2160" w:type="dxa"/>
            <w:vAlign w:val="center"/>
          </w:tcPr>
          <w:p>
            <w:pPr>
              <w:pStyle w:val="15"/>
              <w:spacing w:line="400" w:lineRule="atLeast"/>
              <w:jc w:val="center"/>
              <w:rPr>
                <w:rFonts w:hAnsi="宋体" w:eastAsia="宋体" w:cs="宋体"/>
                <w:color w:val="auto"/>
                <w:sz w:val="24"/>
                <w:szCs w:val="24"/>
              </w:rPr>
            </w:pPr>
            <w:r>
              <w:rPr>
                <w:rFonts w:hint="eastAsia" w:hAnsi="宋体" w:eastAsia="宋体" w:cs="宋体"/>
                <w:color w:val="auto"/>
                <w:sz w:val="24"/>
                <w:szCs w:val="24"/>
              </w:rPr>
              <w:t>投标文件</w:t>
            </w:r>
          </w:p>
          <w:p>
            <w:pPr>
              <w:pStyle w:val="15"/>
              <w:spacing w:line="400" w:lineRule="atLeast"/>
              <w:jc w:val="center"/>
              <w:rPr>
                <w:rFonts w:hAnsi="宋体" w:eastAsia="宋体" w:cs="宋体"/>
                <w:color w:val="auto"/>
                <w:sz w:val="24"/>
                <w:szCs w:val="24"/>
              </w:rPr>
            </w:pPr>
            <w:r>
              <w:rPr>
                <w:rFonts w:hint="eastAsia" w:hAnsi="宋体" w:eastAsia="宋体" w:cs="宋体"/>
                <w:color w:val="auto"/>
                <w:sz w:val="24"/>
                <w:szCs w:val="24"/>
              </w:rPr>
              <w:t>对应技术</w:t>
            </w:r>
          </w:p>
        </w:tc>
        <w:tc>
          <w:tcPr>
            <w:tcW w:w="2160" w:type="dxa"/>
            <w:vAlign w:val="center"/>
          </w:tcPr>
          <w:p>
            <w:pPr>
              <w:pStyle w:val="15"/>
              <w:spacing w:line="400" w:lineRule="atLeast"/>
              <w:jc w:val="center"/>
              <w:rPr>
                <w:rFonts w:hAnsi="宋体" w:eastAsia="宋体" w:cs="宋体"/>
                <w:color w:val="auto"/>
                <w:sz w:val="24"/>
                <w:szCs w:val="24"/>
              </w:rPr>
            </w:pPr>
            <w:r>
              <w:rPr>
                <w:rFonts w:hint="eastAsia" w:hAnsi="宋体" w:eastAsia="宋体" w:cs="宋体"/>
                <w:color w:val="auto"/>
                <w:sz w:val="24"/>
                <w:szCs w:val="24"/>
              </w:rPr>
              <w:t xml:space="preserve"> 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980" w:type="dxa"/>
            <w:vAlign w:val="center"/>
          </w:tcPr>
          <w:p>
            <w:pPr>
              <w:pStyle w:val="15"/>
              <w:spacing w:line="400" w:lineRule="atLeast"/>
              <w:jc w:val="center"/>
              <w:rPr>
                <w:rFonts w:hAnsi="宋体" w:eastAsia="宋体" w:cs="宋体"/>
                <w:color w:val="auto"/>
                <w:sz w:val="24"/>
                <w:szCs w:val="24"/>
              </w:rPr>
            </w:pPr>
          </w:p>
        </w:tc>
        <w:tc>
          <w:tcPr>
            <w:tcW w:w="234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980" w:type="dxa"/>
            <w:vAlign w:val="center"/>
          </w:tcPr>
          <w:p>
            <w:pPr>
              <w:pStyle w:val="15"/>
              <w:spacing w:line="400" w:lineRule="atLeast"/>
              <w:jc w:val="center"/>
              <w:rPr>
                <w:rFonts w:hAnsi="宋体" w:eastAsia="宋体" w:cs="宋体"/>
                <w:color w:val="auto"/>
                <w:sz w:val="24"/>
                <w:szCs w:val="24"/>
              </w:rPr>
            </w:pPr>
          </w:p>
        </w:tc>
        <w:tc>
          <w:tcPr>
            <w:tcW w:w="234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980" w:type="dxa"/>
            <w:vAlign w:val="center"/>
          </w:tcPr>
          <w:p>
            <w:pPr>
              <w:pStyle w:val="15"/>
              <w:spacing w:line="400" w:lineRule="atLeast"/>
              <w:jc w:val="center"/>
              <w:rPr>
                <w:rFonts w:hAnsi="宋体" w:eastAsia="宋体" w:cs="宋体"/>
                <w:color w:val="auto"/>
                <w:sz w:val="24"/>
                <w:szCs w:val="24"/>
              </w:rPr>
            </w:pPr>
          </w:p>
        </w:tc>
        <w:tc>
          <w:tcPr>
            <w:tcW w:w="234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980" w:type="dxa"/>
            <w:vAlign w:val="center"/>
          </w:tcPr>
          <w:p>
            <w:pPr>
              <w:pStyle w:val="15"/>
              <w:spacing w:line="400" w:lineRule="atLeast"/>
              <w:jc w:val="center"/>
              <w:rPr>
                <w:rFonts w:hAnsi="宋体" w:eastAsia="宋体" w:cs="宋体"/>
                <w:color w:val="auto"/>
                <w:sz w:val="24"/>
                <w:szCs w:val="24"/>
              </w:rPr>
            </w:pPr>
          </w:p>
        </w:tc>
        <w:tc>
          <w:tcPr>
            <w:tcW w:w="234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980" w:type="dxa"/>
            <w:vAlign w:val="center"/>
          </w:tcPr>
          <w:p>
            <w:pPr>
              <w:pStyle w:val="15"/>
              <w:spacing w:line="400" w:lineRule="atLeast"/>
              <w:jc w:val="center"/>
              <w:rPr>
                <w:rFonts w:hAnsi="宋体" w:eastAsia="宋体" w:cs="宋体"/>
                <w:color w:val="auto"/>
                <w:sz w:val="24"/>
                <w:szCs w:val="24"/>
              </w:rPr>
            </w:pPr>
          </w:p>
        </w:tc>
        <w:tc>
          <w:tcPr>
            <w:tcW w:w="234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980" w:type="dxa"/>
            <w:vAlign w:val="center"/>
          </w:tcPr>
          <w:p>
            <w:pPr>
              <w:pStyle w:val="15"/>
              <w:spacing w:line="400" w:lineRule="atLeast"/>
              <w:jc w:val="center"/>
              <w:rPr>
                <w:rFonts w:hAnsi="宋体" w:eastAsia="宋体" w:cs="宋体"/>
                <w:color w:val="auto"/>
                <w:sz w:val="24"/>
                <w:szCs w:val="24"/>
              </w:rPr>
            </w:pPr>
          </w:p>
        </w:tc>
        <w:tc>
          <w:tcPr>
            <w:tcW w:w="234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980" w:type="dxa"/>
            <w:vAlign w:val="center"/>
          </w:tcPr>
          <w:p>
            <w:pPr>
              <w:pStyle w:val="15"/>
              <w:spacing w:line="400" w:lineRule="atLeast"/>
              <w:jc w:val="center"/>
              <w:rPr>
                <w:rFonts w:hAnsi="宋体" w:eastAsia="宋体" w:cs="宋体"/>
                <w:color w:val="auto"/>
                <w:sz w:val="24"/>
                <w:szCs w:val="24"/>
              </w:rPr>
            </w:pPr>
          </w:p>
        </w:tc>
        <w:tc>
          <w:tcPr>
            <w:tcW w:w="234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980" w:type="dxa"/>
            <w:vAlign w:val="center"/>
          </w:tcPr>
          <w:p>
            <w:pPr>
              <w:pStyle w:val="15"/>
              <w:spacing w:line="400" w:lineRule="atLeast"/>
              <w:jc w:val="center"/>
              <w:rPr>
                <w:rFonts w:hAnsi="宋体" w:eastAsia="宋体" w:cs="宋体"/>
                <w:color w:val="auto"/>
                <w:sz w:val="24"/>
                <w:szCs w:val="24"/>
              </w:rPr>
            </w:pPr>
          </w:p>
        </w:tc>
        <w:tc>
          <w:tcPr>
            <w:tcW w:w="234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980" w:type="dxa"/>
            <w:vAlign w:val="center"/>
          </w:tcPr>
          <w:p>
            <w:pPr>
              <w:pStyle w:val="15"/>
              <w:spacing w:line="400" w:lineRule="atLeast"/>
              <w:jc w:val="center"/>
              <w:rPr>
                <w:rFonts w:hAnsi="宋体" w:eastAsia="宋体" w:cs="宋体"/>
                <w:color w:val="auto"/>
                <w:sz w:val="24"/>
                <w:szCs w:val="24"/>
              </w:rPr>
            </w:pPr>
          </w:p>
        </w:tc>
        <w:tc>
          <w:tcPr>
            <w:tcW w:w="234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980" w:type="dxa"/>
            <w:vAlign w:val="center"/>
          </w:tcPr>
          <w:p>
            <w:pPr>
              <w:pStyle w:val="15"/>
              <w:spacing w:line="400" w:lineRule="atLeast"/>
              <w:jc w:val="center"/>
              <w:rPr>
                <w:rFonts w:hAnsi="宋体" w:eastAsia="宋体" w:cs="宋体"/>
                <w:color w:val="auto"/>
                <w:sz w:val="24"/>
                <w:szCs w:val="24"/>
              </w:rPr>
            </w:pPr>
          </w:p>
        </w:tc>
        <w:tc>
          <w:tcPr>
            <w:tcW w:w="234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980" w:type="dxa"/>
            <w:vAlign w:val="center"/>
          </w:tcPr>
          <w:p>
            <w:pPr>
              <w:pStyle w:val="15"/>
              <w:spacing w:line="400" w:lineRule="atLeast"/>
              <w:jc w:val="center"/>
              <w:rPr>
                <w:rFonts w:hAnsi="宋体" w:eastAsia="宋体" w:cs="宋体"/>
                <w:color w:val="auto"/>
                <w:sz w:val="24"/>
                <w:szCs w:val="24"/>
              </w:rPr>
            </w:pPr>
          </w:p>
        </w:tc>
        <w:tc>
          <w:tcPr>
            <w:tcW w:w="234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980" w:type="dxa"/>
            <w:vAlign w:val="center"/>
          </w:tcPr>
          <w:p>
            <w:pPr>
              <w:pStyle w:val="15"/>
              <w:spacing w:line="400" w:lineRule="atLeast"/>
              <w:jc w:val="center"/>
              <w:rPr>
                <w:rFonts w:hAnsi="宋体" w:eastAsia="宋体" w:cs="宋体"/>
                <w:color w:val="auto"/>
                <w:sz w:val="24"/>
                <w:szCs w:val="24"/>
              </w:rPr>
            </w:pPr>
          </w:p>
        </w:tc>
        <w:tc>
          <w:tcPr>
            <w:tcW w:w="234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c>
          <w:tcPr>
            <w:tcW w:w="2160" w:type="dxa"/>
            <w:vAlign w:val="center"/>
          </w:tcPr>
          <w:p>
            <w:pPr>
              <w:pStyle w:val="15"/>
              <w:spacing w:line="400" w:lineRule="atLeast"/>
              <w:jc w:val="center"/>
              <w:rPr>
                <w:rFonts w:hAnsi="宋体" w:eastAsia="宋体" w:cs="宋体"/>
                <w:color w:val="auto"/>
                <w:sz w:val="24"/>
                <w:szCs w:val="24"/>
              </w:rPr>
            </w:pPr>
          </w:p>
        </w:tc>
      </w:tr>
    </w:tbl>
    <w:p>
      <w:pPr>
        <w:pStyle w:val="15"/>
        <w:spacing w:line="520" w:lineRule="exact"/>
        <w:rPr>
          <w:rFonts w:hAnsi="宋体" w:eastAsia="宋体" w:cs="宋体"/>
          <w:color w:val="auto"/>
          <w:sz w:val="24"/>
          <w:szCs w:val="24"/>
        </w:rPr>
      </w:pPr>
      <w:r>
        <w:rPr>
          <w:rFonts w:hint="eastAsia" w:hAnsi="宋体" w:eastAsia="宋体" w:cs="宋体"/>
          <w:color w:val="auto"/>
          <w:sz w:val="24"/>
          <w:szCs w:val="24"/>
        </w:rPr>
        <w:t>注：</w:t>
      </w:r>
    </w:p>
    <w:p>
      <w:pPr>
        <w:pStyle w:val="15"/>
        <w:spacing w:line="520" w:lineRule="exact"/>
        <w:rPr>
          <w:rFonts w:hAnsi="宋体" w:eastAsia="宋体" w:cs="宋体"/>
          <w:color w:val="auto"/>
          <w:sz w:val="24"/>
          <w:szCs w:val="24"/>
        </w:rPr>
      </w:pPr>
      <w:r>
        <w:rPr>
          <w:rFonts w:hint="eastAsia" w:hAnsi="宋体" w:eastAsia="宋体" w:cs="宋体"/>
          <w:color w:val="auto"/>
          <w:sz w:val="24"/>
          <w:szCs w:val="24"/>
        </w:rPr>
        <w:t>1、投标文件应根据投标设备的性能指标、对照招标文件要求在“偏离情况”栏注明“正偏离”、“负偏离”或“无偏离”。如果本表没有列明的内容视同与招标文件相一致。</w:t>
      </w:r>
    </w:p>
    <w:p>
      <w:pPr>
        <w:pStyle w:val="15"/>
        <w:spacing w:line="520" w:lineRule="exact"/>
        <w:rPr>
          <w:rFonts w:hAnsi="宋体" w:eastAsia="宋体" w:cs="宋体"/>
          <w:color w:val="auto"/>
          <w:sz w:val="24"/>
          <w:szCs w:val="24"/>
        </w:rPr>
      </w:pPr>
      <w:r>
        <w:rPr>
          <w:rFonts w:hint="eastAsia" w:hAnsi="宋体" w:eastAsia="宋体" w:cs="宋体"/>
          <w:color w:val="auto"/>
          <w:sz w:val="24"/>
          <w:szCs w:val="24"/>
        </w:rPr>
        <w:t>2、此表在不改变格式的情况下可自行制作。</w:t>
      </w:r>
    </w:p>
    <w:p>
      <w:pPr>
        <w:pStyle w:val="15"/>
        <w:spacing w:line="520" w:lineRule="exact"/>
        <w:rPr>
          <w:rFonts w:hAnsi="宋体" w:eastAsia="宋体" w:cs="宋体"/>
          <w:color w:val="auto"/>
          <w:sz w:val="24"/>
          <w:szCs w:val="24"/>
        </w:rPr>
      </w:pPr>
      <w:r>
        <w:rPr>
          <w:rFonts w:hint="eastAsia" w:hAnsi="宋体" w:eastAsia="宋体" w:cs="宋体"/>
          <w:color w:val="auto"/>
          <w:sz w:val="24"/>
          <w:szCs w:val="24"/>
        </w:rPr>
        <w:t>3、此表置于技术标文件中。</w:t>
      </w:r>
    </w:p>
    <w:p>
      <w:pPr>
        <w:pStyle w:val="15"/>
        <w:spacing w:line="520" w:lineRule="exact"/>
        <w:rPr>
          <w:rFonts w:hAnsi="宋体" w:eastAsia="宋体" w:cs="宋体"/>
          <w:color w:val="auto"/>
          <w:sz w:val="24"/>
          <w:szCs w:val="24"/>
        </w:rPr>
      </w:pPr>
    </w:p>
    <w:p>
      <w:pPr>
        <w:spacing w:line="520" w:lineRule="exact"/>
        <w:rPr>
          <w:rFonts w:ascii="宋体" w:hAnsi="宋体" w:eastAsia="宋体" w:cs="宋体"/>
          <w:color w:val="auto"/>
          <w:sz w:val="24"/>
          <w:szCs w:val="24"/>
        </w:rPr>
      </w:pPr>
      <w:r>
        <w:rPr>
          <w:rFonts w:hint="eastAsia" w:ascii="宋体" w:hAnsi="宋体" w:eastAsia="宋体" w:cs="宋体"/>
          <w:color w:val="auto"/>
          <w:sz w:val="24"/>
          <w:szCs w:val="24"/>
        </w:rPr>
        <w:t>磋商响应人：</w:t>
      </w:r>
      <w:r>
        <w:rPr>
          <w:rFonts w:hint="eastAsia" w:ascii="宋体" w:hAnsi="宋体" w:eastAsia="宋体" w:cs="宋体"/>
          <w:color w:val="auto"/>
          <w:sz w:val="24"/>
          <w:szCs w:val="24"/>
          <w:u w:val="single"/>
        </w:rPr>
        <w:t xml:space="preserve">             （盖单位公章）                 </w:t>
      </w:r>
      <w:r>
        <w:rPr>
          <w:rFonts w:hint="eastAsia" w:ascii="宋体" w:hAnsi="宋体" w:eastAsia="宋体" w:cs="宋体"/>
          <w:color w:val="auto"/>
          <w:sz w:val="24"/>
          <w:szCs w:val="24"/>
        </w:rPr>
        <w:t xml:space="preserve">      </w:t>
      </w:r>
    </w:p>
    <w:p>
      <w:pPr>
        <w:spacing w:line="520" w:lineRule="exact"/>
        <w:rPr>
          <w:rFonts w:ascii="宋体" w:hAnsi="宋体" w:eastAsia="宋体" w:cs="宋体"/>
          <w:color w:val="auto"/>
          <w:sz w:val="24"/>
          <w:szCs w:val="24"/>
        </w:rPr>
      </w:pPr>
      <w:r>
        <w:rPr>
          <w:rFonts w:hint="eastAsia" w:ascii="宋体" w:hAnsi="宋体" w:eastAsia="宋体" w:cs="宋体"/>
          <w:color w:val="auto"/>
          <w:sz w:val="24"/>
          <w:szCs w:val="24"/>
        </w:rPr>
        <w:t>法定代表人或委托代理人：</w:t>
      </w:r>
      <w:r>
        <w:rPr>
          <w:rFonts w:hint="eastAsia" w:ascii="宋体" w:hAnsi="宋体" w:eastAsia="宋体" w:cs="宋体"/>
          <w:color w:val="auto"/>
          <w:sz w:val="24"/>
          <w:szCs w:val="24"/>
          <w:u w:val="single"/>
        </w:rPr>
        <w:t xml:space="preserve">      （签字或盖章）          </w:t>
      </w:r>
      <w:r>
        <w:rPr>
          <w:rFonts w:hint="eastAsia" w:ascii="宋体" w:hAnsi="宋体" w:eastAsia="宋体" w:cs="宋体"/>
          <w:color w:val="auto"/>
          <w:sz w:val="24"/>
          <w:szCs w:val="24"/>
        </w:rPr>
        <w:t xml:space="preserve">      </w:t>
      </w:r>
    </w:p>
    <w:p>
      <w:pPr>
        <w:rPr>
          <w:rFonts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月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pPr>
        <w:rPr>
          <w:rFonts w:ascii="宋体" w:hAnsi="宋体" w:eastAsia="宋体" w:cs="宋体"/>
          <w:color w:val="auto"/>
          <w:sz w:val="24"/>
          <w:szCs w:val="24"/>
        </w:rPr>
      </w:pPr>
      <w:r>
        <w:rPr>
          <w:rFonts w:hint="eastAsia" w:ascii="宋体" w:hAnsi="宋体" w:eastAsia="宋体" w:cs="宋体"/>
          <w:color w:val="auto"/>
          <w:sz w:val="24"/>
          <w:szCs w:val="24"/>
        </w:rPr>
        <w:br w:type="page"/>
      </w:r>
    </w:p>
    <w:p>
      <w:pP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格式十二：</w:t>
      </w:r>
    </w:p>
    <w:p>
      <w:pPr>
        <w:kinsoku/>
        <w:wordWrap w:val="0"/>
        <w:spacing w:line="360" w:lineRule="auto"/>
        <w:jc w:val="center"/>
      </w:pPr>
      <w:r>
        <w:rPr>
          <w:rFonts w:eastAsia="宋体"/>
          <w:b/>
          <w:color w:val="auto"/>
          <w:sz w:val="32"/>
          <w:szCs w:val="32"/>
        </w:rPr>
        <w:t>联合体协议书</w:t>
      </w:r>
    </w:p>
    <w:p>
      <w:pPr>
        <w:pStyle w:val="9"/>
        <w:widowControl w:val="0"/>
        <w:tabs>
          <w:tab w:val="left" w:pos="2093"/>
        </w:tabs>
        <w:kinsoku/>
        <w:wordWrap w:val="0"/>
        <w:topLinePunct/>
        <w:autoSpaceDE/>
        <w:autoSpaceDN/>
        <w:snapToGrid/>
        <w:spacing w:before="68" w:line="388" w:lineRule="auto"/>
        <w:ind w:firstLine="630" w:firstLineChars="300"/>
        <w:jc w:val="both"/>
        <w:rPr>
          <w:sz w:val="21"/>
          <w:u w:val="single"/>
        </w:rPr>
      </w:pPr>
    </w:p>
    <w:p>
      <w:pPr>
        <w:pStyle w:val="9"/>
        <w:widowControl w:val="0"/>
        <w:tabs>
          <w:tab w:val="left" w:pos="2093"/>
        </w:tabs>
        <w:kinsoku/>
        <w:wordWrap w:val="0"/>
        <w:topLinePunct/>
        <w:autoSpaceDE/>
        <w:autoSpaceDN/>
        <w:snapToGrid/>
        <w:spacing w:before="68" w:line="388" w:lineRule="auto"/>
        <w:ind w:firstLine="720" w:firstLineChars="300"/>
        <w:jc w:val="both"/>
        <w:rPr>
          <w:rFonts w:ascii="宋体" w:hAnsi="宋体" w:eastAsia="宋体" w:cs="宋体"/>
          <w:sz w:val="24"/>
          <w:szCs w:val="24"/>
        </w:rPr>
      </w:pPr>
      <w:r>
        <w:rPr>
          <w:rFonts w:hint="eastAsia" w:ascii="宋体" w:hAnsi="宋体" w:eastAsia="宋体" w:cs="宋体"/>
          <w:sz w:val="24"/>
          <w:szCs w:val="24"/>
          <w:u w:val="single"/>
        </w:rPr>
        <w:t xml:space="preserve"> （所有成员单位名称）</w:t>
      </w:r>
      <w:r>
        <w:rPr>
          <w:rFonts w:hint="eastAsia" w:ascii="宋体" w:hAnsi="宋体" w:eastAsia="宋体" w:cs="宋体"/>
          <w:sz w:val="24"/>
          <w:szCs w:val="24"/>
        </w:rPr>
        <w:t>自愿组成联合体，共同参加</w:t>
      </w:r>
      <w:r>
        <w:rPr>
          <w:rFonts w:hint="eastAsia" w:ascii="宋体" w:hAnsi="宋体" w:eastAsia="宋体" w:cs="宋体"/>
          <w:sz w:val="24"/>
          <w:szCs w:val="24"/>
          <w:u w:val="single"/>
        </w:rPr>
        <w:t xml:space="preserve">              </w:t>
      </w:r>
      <w:r>
        <w:rPr>
          <w:rFonts w:hint="eastAsia" w:ascii="宋体" w:hAnsi="宋体" w:eastAsia="宋体" w:cs="宋体"/>
          <w:sz w:val="24"/>
          <w:szCs w:val="24"/>
        </w:rPr>
        <w:t>（招标项目名称）投标。现就联合体投标事宜订立如下协议。</w:t>
      </w:r>
    </w:p>
    <w:p>
      <w:pPr>
        <w:pStyle w:val="9"/>
        <w:widowControl w:val="0"/>
        <w:tabs>
          <w:tab w:val="left" w:pos="2093"/>
        </w:tabs>
        <w:kinsoku/>
        <w:wordWrap w:val="0"/>
        <w:topLinePunct/>
        <w:autoSpaceDE/>
        <w:autoSpaceDN/>
        <w:snapToGrid/>
        <w:spacing w:before="68" w:line="388" w:lineRule="auto"/>
        <w:ind w:firstLine="720" w:firstLineChars="300"/>
        <w:jc w:val="both"/>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 xml:space="preserve">                    </w:t>
      </w:r>
      <w:r>
        <w:rPr>
          <w:rFonts w:hint="eastAsia" w:ascii="宋体" w:hAnsi="宋体" w:eastAsia="宋体" w:cs="宋体"/>
          <w:sz w:val="24"/>
          <w:szCs w:val="24"/>
        </w:rPr>
        <w:t>（某成员单位名称）为联合体牵头人。</w:t>
      </w:r>
    </w:p>
    <w:p>
      <w:pPr>
        <w:pStyle w:val="9"/>
        <w:widowControl w:val="0"/>
        <w:tabs>
          <w:tab w:val="left" w:pos="2093"/>
        </w:tabs>
        <w:kinsoku/>
        <w:wordWrap w:val="0"/>
        <w:topLinePunct/>
        <w:autoSpaceDE/>
        <w:autoSpaceDN/>
        <w:snapToGrid/>
        <w:spacing w:before="68" w:line="388" w:lineRule="auto"/>
        <w:ind w:firstLine="720" w:firstLineChars="300"/>
        <w:jc w:val="both"/>
        <w:rPr>
          <w:rFonts w:ascii="宋体" w:hAnsi="宋体" w:eastAsia="宋体" w:cs="宋体"/>
          <w:sz w:val="24"/>
          <w:szCs w:val="24"/>
        </w:rPr>
      </w:pPr>
      <w:r>
        <w:rPr>
          <w:rFonts w:hint="eastAsia" w:ascii="宋体" w:hAnsi="宋体" w:eastAsia="宋体" w:cs="宋体"/>
          <w:sz w:val="24"/>
          <w:szCs w:val="24"/>
        </w:rPr>
        <w:t>2.联合体各成员授权牵头人代表联合体参加投标活动，签署文件，提交和接收相关的资料、信息及指示，进行合同谈判活动，负责合同实施阶段的组织和协调工作，以及处理与本招标项目有关的一切事宜。</w:t>
      </w:r>
    </w:p>
    <w:p>
      <w:pPr>
        <w:pStyle w:val="9"/>
        <w:widowControl w:val="0"/>
        <w:tabs>
          <w:tab w:val="left" w:pos="2093"/>
        </w:tabs>
        <w:kinsoku/>
        <w:wordWrap w:val="0"/>
        <w:topLinePunct/>
        <w:autoSpaceDE/>
        <w:autoSpaceDN/>
        <w:snapToGrid/>
        <w:spacing w:before="68" w:line="388" w:lineRule="auto"/>
        <w:ind w:firstLine="720" w:firstLineChars="300"/>
        <w:jc w:val="both"/>
        <w:rPr>
          <w:rFonts w:ascii="宋体" w:hAnsi="宋体" w:eastAsia="宋体" w:cs="宋体"/>
          <w:sz w:val="24"/>
          <w:szCs w:val="24"/>
        </w:rPr>
      </w:pPr>
      <w:r>
        <w:rPr>
          <w:rFonts w:hint="eastAsia" w:ascii="宋体" w:hAnsi="宋体" w:eastAsia="宋体" w:cs="宋体"/>
          <w:sz w:val="24"/>
          <w:szCs w:val="24"/>
        </w:rPr>
        <w:t>3.联合体牵头人在本项目中签署的一切文件和处理的一切事宜，联合体各成员均予以承认。联合体各成员将严格按照招标文件、投标文件和合同的要求全面履行义务，并向招标人承担连带责任。</w:t>
      </w:r>
    </w:p>
    <w:p>
      <w:pPr>
        <w:pStyle w:val="9"/>
        <w:widowControl w:val="0"/>
        <w:tabs>
          <w:tab w:val="left" w:pos="2093"/>
        </w:tabs>
        <w:kinsoku/>
        <w:wordWrap w:val="0"/>
        <w:topLinePunct/>
        <w:autoSpaceDE/>
        <w:autoSpaceDN/>
        <w:snapToGrid/>
        <w:spacing w:before="68" w:line="388" w:lineRule="auto"/>
        <w:ind w:firstLine="720" w:firstLineChars="300"/>
        <w:jc w:val="both"/>
        <w:rPr>
          <w:rFonts w:ascii="宋体" w:hAnsi="宋体" w:eastAsia="宋体" w:cs="宋体"/>
          <w:sz w:val="24"/>
          <w:szCs w:val="24"/>
        </w:rPr>
      </w:pPr>
      <w:r>
        <w:rPr>
          <w:rFonts w:hint="eastAsia" w:ascii="宋体" w:hAnsi="宋体" w:eastAsia="宋体" w:cs="宋体"/>
          <w:sz w:val="24"/>
          <w:szCs w:val="24"/>
        </w:rPr>
        <w:t>4.联合体各成员单位内部的职责分工如下：</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pStyle w:val="9"/>
        <w:widowControl w:val="0"/>
        <w:tabs>
          <w:tab w:val="left" w:pos="2093"/>
        </w:tabs>
        <w:kinsoku/>
        <w:wordWrap w:val="0"/>
        <w:topLinePunct/>
        <w:autoSpaceDE/>
        <w:autoSpaceDN/>
        <w:snapToGrid/>
        <w:spacing w:before="68" w:line="388" w:lineRule="auto"/>
        <w:ind w:firstLine="720" w:firstLineChars="300"/>
        <w:jc w:val="both"/>
        <w:rPr>
          <w:rFonts w:ascii="宋体" w:hAnsi="宋体" w:eastAsia="宋体" w:cs="宋体"/>
          <w:sz w:val="24"/>
          <w:szCs w:val="24"/>
        </w:rPr>
      </w:pPr>
      <w:r>
        <w:rPr>
          <w:rFonts w:hint="eastAsia" w:ascii="宋体" w:hAnsi="宋体" w:eastAsia="宋体" w:cs="宋体"/>
          <w:sz w:val="24"/>
          <w:szCs w:val="24"/>
        </w:rPr>
        <w:t>5.本协议书自所有成员单位法定代表人（单位负责人）或其委托代理人签字（或签章）及盖单位章之日起生效，合同履行完毕后自动失效。</w:t>
      </w:r>
    </w:p>
    <w:p>
      <w:pPr>
        <w:pStyle w:val="9"/>
        <w:widowControl w:val="0"/>
        <w:tabs>
          <w:tab w:val="left" w:pos="2093"/>
        </w:tabs>
        <w:kinsoku/>
        <w:wordWrap w:val="0"/>
        <w:topLinePunct/>
        <w:autoSpaceDE/>
        <w:autoSpaceDN/>
        <w:snapToGrid/>
        <w:spacing w:before="68" w:line="388" w:lineRule="auto"/>
        <w:ind w:firstLine="720" w:firstLineChars="300"/>
        <w:jc w:val="both"/>
        <w:rPr>
          <w:rFonts w:ascii="宋体" w:hAnsi="宋体" w:eastAsia="宋体" w:cs="宋体"/>
          <w:sz w:val="24"/>
          <w:szCs w:val="24"/>
        </w:rPr>
      </w:pPr>
      <w:r>
        <w:rPr>
          <w:rFonts w:hint="eastAsia" w:ascii="宋体" w:hAnsi="宋体" w:eastAsia="宋体" w:cs="宋体"/>
          <w:sz w:val="24"/>
          <w:szCs w:val="24"/>
        </w:rPr>
        <w:t>6.本协议书一式</w:t>
      </w:r>
      <w:r>
        <w:rPr>
          <w:rFonts w:hint="eastAsia" w:ascii="宋体" w:hAnsi="宋体" w:eastAsia="宋体" w:cs="宋体"/>
          <w:sz w:val="24"/>
          <w:szCs w:val="24"/>
          <w:u w:val="single"/>
        </w:rPr>
        <w:t xml:space="preserve">    </w:t>
      </w:r>
      <w:r>
        <w:rPr>
          <w:rFonts w:hint="eastAsia" w:ascii="宋体" w:hAnsi="宋体" w:eastAsia="宋体" w:cs="宋体"/>
          <w:sz w:val="24"/>
          <w:szCs w:val="24"/>
        </w:rPr>
        <w:t>份，联合体成员和招标人各执一份。</w:t>
      </w:r>
    </w:p>
    <w:p>
      <w:pPr>
        <w:pStyle w:val="9"/>
        <w:widowControl w:val="0"/>
        <w:kinsoku/>
        <w:wordWrap w:val="0"/>
        <w:topLinePunct/>
        <w:autoSpaceDE/>
        <w:autoSpaceDN/>
        <w:snapToGrid/>
        <w:spacing w:before="68" w:line="439" w:lineRule="exact"/>
        <w:ind w:firstLine="480" w:firstLineChars="200"/>
        <w:jc w:val="both"/>
        <w:rPr>
          <w:rFonts w:ascii="宋体" w:hAnsi="宋体" w:eastAsia="宋体" w:cs="宋体"/>
          <w:sz w:val="24"/>
          <w:szCs w:val="24"/>
        </w:rPr>
      </w:pPr>
      <w:r>
        <w:rPr>
          <w:rFonts w:hint="eastAsia" w:ascii="宋体" w:hAnsi="宋体" w:eastAsia="宋体" w:cs="宋体"/>
          <w:sz w:val="24"/>
          <w:szCs w:val="24"/>
        </w:rPr>
        <w:t>注：本协议书由法定代表人（单位负责人）签字（或签章）的，应附法定代表人（单位负责人）身份证明；由委托代理人签字（或签章）的，应附授权委托书。</w:t>
      </w:r>
    </w:p>
    <w:p>
      <w:pPr>
        <w:pStyle w:val="9"/>
        <w:widowControl w:val="0"/>
        <w:kinsoku/>
        <w:wordWrap w:val="0"/>
        <w:topLinePunct/>
        <w:autoSpaceDE/>
        <w:autoSpaceDN/>
        <w:snapToGrid/>
        <w:spacing w:before="69" w:line="387" w:lineRule="auto"/>
        <w:ind w:left="2410"/>
        <w:jc w:val="both"/>
        <w:rPr>
          <w:rFonts w:ascii="宋体" w:hAnsi="宋体" w:eastAsia="宋体" w:cs="宋体"/>
          <w:sz w:val="24"/>
          <w:szCs w:val="24"/>
        </w:rPr>
      </w:pPr>
    </w:p>
    <w:p>
      <w:pPr>
        <w:pStyle w:val="9"/>
        <w:widowControl w:val="0"/>
        <w:kinsoku/>
        <w:wordWrap w:val="0"/>
        <w:topLinePunct/>
        <w:autoSpaceDE/>
        <w:autoSpaceDN/>
        <w:snapToGrid/>
        <w:spacing w:before="69" w:line="387" w:lineRule="auto"/>
        <w:jc w:val="both"/>
        <w:rPr>
          <w:rFonts w:ascii="宋体" w:hAnsi="宋体" w:eastAsia="宋体" w:cs="宋体"/>
          <w:sz w:val="24"/>
          <w:szCs w:val="24"/>
        </w:rPr>
      </w:pPr>
      <w:r>
        <w:rPr>
          <w:rFonts w:hint="eastAsia" w:ascii="宋体" w:hAnsi="宋体" w:eastAsia="宋体" w:cs="宋体"/>
          <w:sz w:val="24"/>
          <w:szCs w:val="24"/>
        </w:rPr>
        <w:t xml:space="preserve">联合体牵头人名称： </w:t>
      </w:r>
      <w:r>
        <w:rPr>
          <w:rFonts w:hint="eastAsia" w:ascii="宋体" w:hAnsi="宋体" w:eastAsia="宋体" w:cs="宋体"/>
          <w:sz w:val="24"/>
          <w:szCs w:val="24"/>
          <w:u w:val="single"/>
        </w:rPr>
        <w:t xml:space="preserve">                                          </w:t>
      </w:r>
      <w:r>
        <w:rPr>
          <w:rFonts w:hint="eastAsia" w:ascii="宋体" w:hAnsi="宋体" w:eastAsia="宋体" w:cs="宋体"/>
          <w:sz w:val="24"/>
          <w:szCs w:val="24"/>
        </w:rPr>
        <w:t>（盖单位章）</w:t>
      </w:r>
    </w:p>
    <w:p>
      <w:pPr>
        <w:pStyle w:val="9"/>
        <w:widowControl w:val="0"/>
        <w:kinsoku/>
        <w:wordWrap w:val="0"/>
        <w:topLinePunct/>
        <w:autoSpaceDE/>
        <w:autoSpaceDN/>
        <w:snapToGrid/>
        <w:spacing w:before="1" w:line="220" w:lineRule="auto"/>
        <w:jc w:val="both"/>
        <w:rPr>
          <w:rFonts w:ascii="宋体" w:hAnsi="宋体" w:eastAsia="宋体" w:cs="宋体"/>
          <w:sz w:val="24"/>
          <w:szCs w:val="24"/>
        </w:rPr>
      </w:pPr>
      <w:r>
        <w:rPr>
          <w:rFonts w:hint="eastAsia" w:ascii="宋体" w:hAnsi="宋体" w:eastAsia="宋体" w:cs="宋体"/>
          <w:sz w:val="24"/>
          <w:szCs w:val="24"/>
        </w:rPr>
        <w:t xml:space="preserve">法定代表人（单位负责人）或其委托代理人： </w:t>
      </w:r>
      <w:r>
        <w:rPr>
          <w:rFonts w:hint="eastAsia" w:ascii="宋体" w:hAnsi="宋体" w:eastAsia="宋体" w:cs="宋体"/>
          <w:sz w:val="24"/>
          <w:szCs w:val="24"/>
          <w:u w:val="single"/>
        </w:rPr>
        <w:t xml:space="preserve">          </w:t>
      </w:r>
      <w:r>
        <w:rPr>
          <w:rFonts w:hint="eastAsia" w:ascii="宋体" w:hAnsi="宋体" w:eastAsia="宋体" w:cs="宋体"/>
          <w:sz w:val="24"/>
          <w:szCs w:val="24"/>
        </w:rPr>
        <w:t>（签字或签章）</w:t>
      </w:r>
    </w:p>
    <w:p>
      <w:pPr>
        <w:widowControl w:val="0"/>
        <w:kinsoku/>
        <w:wordWrap w:val="0"/>
        <w:topLinePunct/>
        <w:autoSpaceDE/>
        <w:autoSpaceDN/>
        <w:snapToGrid/>
        <w:spacing w:line="279" w:lineRule="auto"/>
        <w:jc w:val="both"/>
        <w:rPr>
          <w:rFonts w:ascii="宋体" w:hAnsi="宋体" w:eastAsia="宋体" w:cs="宋体"/>
          <w:sz w:val="24"/>
          <w:szCs w:val="24"/>
        </w:rPr>
      </w:pPr>
    </w:p>
    <w:p>
      <w:pPr>
        <w:pStyle w:val="9"/>
        <w:widowControl w:val="0"/>
        <w:kinsoku/>
        <w:wordWrap w:val="0"/>
        <w:topLinePunct/>
        <w:autoSpaceDE/>
        <w:autoSpaceDN/>
        <w:snapToGrid/>
        <w:spacing w:before="68" w:line="386" w:lineRule="auto"/>
        <w:jc w:val="both"/>
        <w:rPr>
          <w:rFonts w:ascii="宋体" w:hAnsi="宋体" w:eastAsia="宋体" w:cs="宋体"/>
          <w:sz w:val="24"/>
          <w:szCs w:val="24"/>
        </w:rPr>
      </w:pPr>
      <w:r>
        <w:rPr>
          <w:rFonts w:hint="eastAsia" w:ascii="宋体" w:hAnsi="宋体" w:eastAsia="宋体" w:cs="宋体"/>
          <w:sz w:val="24"/>
          <w:szCs w:val="24"/>
        </w:rPr>
        <w:t>联合体成员名称：</w:t>
      </w:r>
      <w:r>
        <w:rPr>
          <w:rFonts w:hint="eastAsia" w:ascii="宋体" w:hAnsi="宋体" w:eastAsia="宋体" w:cs="宋体"/>
          <w:sz w:val="24"/>
          <w:szCs w:val="24"/>
          <w:u w:val="single"/>
        </w:rPr>
        <w:t xml:space="preserve">                                             </w:t>
      </w:r>
      <w:r>
        <w:rPr>
          <w:rFonts w:hint="eastAsia" w:ascii="宋体" w:hAnsi="宋体" w:eastAsia="宋体" w:cs="宋体"/>
          <w:sz w:val="24"/>
          <w:szCs w:val="24"/>
        </w:rPr>
        <w:t>（盖单位章）</w:t>
      </w:r>
    </w:p>
    <w:p>
      <w:pPr>
        <w:pStyle w:val="9"/>
        <w:widowControl w:val="0"/>
        <w:kinsoku/>
        <w:wordWrap w:val="0"/>
        <w:topLinePunct/>
        <w:autoSpaceDE/>
        <w:autoSpaceDN/>
        <w:snapToGrid/>
        <w:spacing w:before="1" w:line="220" w:lineRule="auto"/>
        <w:jc w:val="both"/>
        <w:rPr>
          <w:rFonts w:ascii="宋体" w:hAnsi="宋体" w:eastAsia="宋体" w:cs="宋体"/>
          <w:sz w:val="24"/>
          <w:szCs w:val="24"/>
        </w:rPr>
      </w:pPr>
      <w:r>
        <w:rPr>
          <w:rFonts w:hint="eastAsia" w:ascii="宋体" w:hAnsi="宋体" w:eastAsia="宋体" w:cs="宋体"/>
          <w:sz w:val="24"/>
          <w:szCs w:val="24"/>
        </w:rPr>
        <w:t xml:space="preserve">法定代表人（单位负责人）或其委托代理人： </w:t>
      </w:r>
      <w:r>
        <w:rPr>
          <w:rFonts w:hint="eastAsia" w:ascii="宋体" w:hAnsi="宋体" w:eastAsia="宋体" w:cs="宋体"/>
          <w:sz w:val="24"/>
          <w:szCs w:val="24"/>
          <w:u w:val="single"/>
        </w:rPr>
        <w:t xml:space="preserve">         </w:t>
      </w:r>
      <w:r>
        <w:rPr>
          <w:rFonts w:hint="eastAsia" w:ascii="宋体" w:hAnsi="宋体" w:eastAsia="宋体" w:cs="宋体"/>
          <w:sz w:val="24"/>
          <w:szCs w:val="24"/>
        </w:rPr>
        <w:t>（签字或签章）</w:t>
      </w:r>
    </w:p>
    <w:p>
      <w:pPr>
        <w:pStyle w:val="9"/>
        <w:widowControl w:val="0"/>
        <w:kinsoku/>
        <w:wordWrap w:val="0"/>
        <w:topLinePunct/>
        <w:autoSpaceDE/>
        <w:autoSpaceDN/>
        <w:snapToGrid/>
        <w:jc w:val="right"/>
        <w:rPr>
          <w:rFonts w:ascii="宋体" w:hAnsi="宋体" w:eastAsia="宋体" w:cs="宋体"/>
          <w:color w:val="auto"/>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r>
        <w:br w:type="page"/>
      </w:r>
    </w:p>
    <w:p>
      <w:pPr>
        <w:rPr>
          <w:rFonts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sz w:val="28"/>
          <w:szCs w:val="28"/>
          <w14:textOutline w14:w="5105" w14:cap="sq" w14:cmpd="sng" w14:algn="ctr">
            <w14:solidFill>
              <w14:srgbClr w14:val="000000"/>
            </w14:solidFill>
            <w14:prstDash w14:val="solid"/>
            <w14:bevel/>
          </w14:textOutline>
          <w14:textFill>
            <w14:solidFill>
              <w14:schemeClr w14:val="tx1"/>
            </w14:solidFill>
          </w14:textFill>
        </w:rPr>
        <w:t>格式十三：</w:t>
      </w:r>
    </w:p>
    <w:p>
      <w:pPr>
        <w:kinsoku/>
        <w:wordWrap w:val="0"/>
        <w:spacing w:line="460" w:lineRule="exact"/>
        <w:ind w:left="420"/>
        <w:jc w:val="center"/>
        <w:rPr>
          <w:b/>
          <w:bCs/>
          <w:color w:val="auto"/>
          <w:sz w:val="32"/>
          <w:szCs w:val="32"/>
        </w:rPr>
      </w:pPr>
      <w:bookmarkStart w:id="69" w:name="_Toc95"/>
      <w:r>
        <w:rPr>
          <w:rFonts w:hint="eastAsia"/>
          <w:b/>
          <w:bCs/>
          <w:color w:val="auto"/>
          <w:sz w:val="32"/>
          <w:szCs w:val="32"/>
        </w:rPr>
        <w:t>投标承诺书</w:t>
      </w:r>
      <w:bookmarkEnd w:id="69"/>
    </w:p>
    <w:p>
      <w:pPr>
        <w:pStyle w:val="22"/>
        <w:kinsoku/>
        <w:wordWrap w:val="0"/>
        <w:spacing w:line="460" w:lineRule="exact"/>
        <w:rPr>
          <w:rFonts w:hAnsi="宋体"/>
          <w:color w:val="auto"/>
          <w:sz w:val="24"/>
          <w:szCs w:val="24"/>
          <w:u w:val="single"/>
        </w:rPr>
      </w:pPr>
    </w:p>
    <w:p>
      <w:pPr>
        <w:pStyle w:val="22"/>
        <w:kinsoku/>
        <w:wordWrap w:val="0"/>
        <w:ind w:left="0"/>
        <w:rPr>
          <w:rFonts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（招标人名称）：</w:t>
      </w:r>
    </w:p>
    <w:p>
      <w:pPr>
        <w:kinsoku/>
        <w:wordWrap w:val="0"/>
        <w:spacing w:line="460" w:lineRule="exact"/>
        <w:ind w:firstLine="600" w:firstLineChars="250"/>
        <w:jc w:val="both"/>
        <w:rPr>
          <w:rFonts w:ascii="宋体" w:hAnsi="宋体" w:eastAsia="宋体" w:cs="宋体"/>
          <w:color w:val="auto"/>
          <w:sz w:val="24"/>
          <w:szCs w:val="24"/>
        </w:rPr>
      </w:pPr>
      <w:r>
        <w:rPr>
          <w:rFonts w:hint="eastAsia" w:ascii="宋体" w:hAnsi="宋体" w:eastAsia="宋体" w:cs="宋体"/>
          <w:color w:val="auto"/>
          <w:sz w:val="24"/>
          <w:szCs w:val="24"/>
        </w:rPr>
        <w:t>本公司已详细阅读</w:t>
      </w:r>
      <w:r>
        <w:rPr>
          <w:rFonts w:hint="eastAsia" w:ascii="宋体" w:hAnsi="宋体" w:eastAsia="宋体" w:cs="宋体"/>
          <w:color w:val="auto"/>
          <w:sz w:val="24"/>
          <w:szCs w:val="24"/>
          <w:u w:val="single"/>
        </w:rPr>
        <w:t xml:space="preserve">        （招标项目名称及招标编号） </w:t>
      </w:r>
      <w:r>
        <w:rPr>
          <w:rFonts w:hint="eastAsia" w:ascii="宋体" w:hAnsi="宋体" w:eastAsia="宋体" w:cs="宋体"/>
          <w:color w:val="auto"/>
          <w:sz w:val="24"/>
          <w:szCs w:val="24"/>
        </w:rPr>
        <w:t>招标文件，自觉遵守中华人民共和国、浙江省及当地有关招标投标的法律法规规定，自觉维护建筑市场正常秩序，现自愿就参加该项目投标有关事项郑重承诺如下：</w:t>
      </w:r>
    </w:p>
    <w:p>
      <w:pPr>
        <w:kinsoku/>
        <w:wordWrap w:val="0"/>
        <w:spacing w:line="460" w:lineRule="exact"/>
        <w:ind w:firstLine="600" w:firstLineChars="250"/>
        <w:jc w:val="both"/>
        <w:rPr>
          <w:rFonts w:ascii="宋体" w:hAnsi="宋体" w:eastAsia="宋体" w:cs="宋体"/>
          <w:color w:val="auto"/>
          <w:sz w:val="24"/>
          <w:szCs w:val="24"/>
        </w:rPr>
      </w:pPr>
      <w:r>
        <w:rPr>
          <w:rFonts w:hint="eastAsia" w:ascii="宋体" w:hAnsi="宋体" w:eastAsia="宋体" w:cs="宋体"/>
          <w:color w:val="auto"/>
          <w:sz w:val="24"/>
          <w:szCs w:val="24"/>
        </w:rPr>
        <w:t>1.承诺投标文件无虚假、伪造的内容。若投标文件中存在虚假、伪造的内容，同意作无效投标处理；若中标之后被查实弄虚作假，同意取消中标资格，履约保证金并不予退还；</w:t>
      </w:r>
    </w:p>
    <w:p>
      <w:pPr>
        <w:kinsoku/>
        <w:wordWrap w:val="0"/>
        <w:spacing w:line="460" w:lineRule="exact"/>
        <w:ind w:firstLine="600" w:firstLineChars="250"/>
        <w:jc w:val="both"/>
        <w:rPr>
          <w:rFonts w:ascii="宋体" w:hAnsi="宋体" w:eastAsia="宋体" w:cs="宋体"/>
          <w:color w:val="auto"/>
          <w:sz w:val="24"/>
          <w:szCs w:val="24"/>
        </w:rPr>
      </w:pPr>
      <w:r>
        <w:rPr>
          <w:rFonts w:hint="eastAsia" w:ascii="宋体" w:hAnsi="宋体" w:eastAsia="宋体" w:cs="宋体"/>
          <w:color w:val="auto"/>
          <w:sz w:val="24"/>
          <w:szCs w:val="24"/>
        </w:rPr>
        <w:t>2.承诺无串通投标行为，若存在与其他投标人的投标文件存在投标文件错误一致、内容雷同的情况，同意作无效投标处理，并接受有关行政监督部门的调查和处罚；</w:t>
      </w:r>
    </w:p>
    <w:p>
      <w:pPr>
        <w:kinsoku/>
        <w:wordWrap w:val="0"/>
        <w:spacing w:line="460" w:lineRule="exact"/>
        <w:ind w:firstLine="600" w:firstLineChars="250"/>
        <w:jc w:val="both"/>
        <w:rPr>
          <w:rFonts w:ascii="宋体" w:hAnsi="宋体" w:eastAsia="宋体" w:cs="宋体"/>
          <w:color w:val="auto"/>
          <w:sz w:val="24"/>
          <w:szCs w:val="24"/>
        </w:rPr>
      </w:pPr>
      <w:r>
        <w:rPr>
          <w:rFonts w:hint="eastAsia" w:ascii="宋体" w:hAnsi="宋体" w:eastAsia="宋体" w:cs="宋体"/>
          <w:color w:val="auto"/>
          <w:sz w:val="24"/>
          <w:szCs w:val="24"/>
        </w:rPr>
        <w:t>3.承诺无恶意报价行为，若被认定存在严重哄抬标价或影响合同履行的异常低价竞标行为，同意作无效投标处理，并接受有关行政监督部门的调查和处罚；</w:t>
      </w:r>
    </w:p>
    <w:p>
      <w:pPr>
        <w:kinsoku/>
        <w:wordWrap w:val="0"/>
        <w:spacing w:line="460" w:lineRule="exact"/>
        <w:ind w:firstLine="600" w:firstLineChars="250"/>
        <w:jc w:val="both"/>
        <w:rPr>
          <w:rFonts w:ascii="宋体" w:hAnsi="宋体" w:eastAsia="宋体" w:cs="宋体"/>
          <w:color w:val="auto"/>
          <w:sz w:val="24"/>
          <w:szCs w:val="24"/>
        </w:rPr>
      </w:pPr>
      <w:r>
        <w:rPr>
          <w:rFonts w:hint="eastAsia" w:ascii="宋体" w:hAnsi="宋体" w:eastAsia="宋体" w:cs="宋体"/>
          <w:color w:val="auto"/>
          <w:sz w:val="24"/>
          <w:szCs w:val="24"/>
        </w:rPr>
        <w:t>4、承诺按照投标文件派驻管理人员，若存在不到位的情况，同意接受合同约定的处罚，若严重影响合同履约的，同意接受招标人解除合同的要求；</w:t>
      </w:r>
    </w:p>
    <w:p>
      <w:pPr>
        <w:kinsoku/>
        <w:wordWrap w:val="0"/>
        <w:spacing w:line="460" w:lineRule="exact"/>
        <w:ind w:firstLine="600" w:firstLineChars="250"/>
        <w:jc w:val="both"/>
        <w:rPr>
          <w:rFonts w:ascii="宋体" w:hAnsi="宋体" w:eastAsia="宋体" w:cs="宋体"/>
          <w:color w:val="auto"/>
          <w:sz w:val="24"/>
          <w:szCs w:val="24"/>
        </w:rPr>
      </w:pPr>
      <w:r>
        <w:rPr>
          <w:rFonts w:hint="eastAsia" w:ascii="宋体" w:hAnsi="宋体" w:eastAsia="宋体" w:cs="宋体"/>
          <w:color w:val="auto"/>
          <w:sz w:val="24"/>
          <w:szCs w:val="24"/>
        </w:rPr>
        <w:t>5、承诺无行贿犯罪记录和未被列入失信被执行人名单。</w:t>
      </w:r>
    </w:p>
    <w:p>
      <w:pPr>
        <w:kinsoku/>
        <w:wordWrap w:val="0"/>
        <w:spacing w:line="460" w:lineRule="exact"/>
        <w:ind w:firstLine="600" w:firstLineChars="250"/>
        <w:jc w:val="both"/>
        <w:rPr>
          <w:rFonts w:ascii="宋体" w:hAnsi="宋体" w:eastAsia="宋体" w:cs="宋体"/>
          <w:color w:val="auto"/>
          <w:sz w:val="24"/>
          <w:szCs w:val="24"/>
        </w:rPr>
      </w:pPr>
      <w:r>
        <w:rPr>
          <w:rFonts w:hint="eastAsia" w:ascii="宋体" w:hAnsi="宋体" w:eastAsia="宋体" w:cs="宋体"/>
          <w:color w:val="auto"/>
          <w:sz w:val="24"/>
          <w:szCs w:val="24"/>
        </w:rPr>
        <w:t>6、承诺未被有关行政主管部门列入失信黑名单或限制参加投标。</w:t>
      </w:r>
    </w:p>
    <w:p>
      <w:pPr>
        <w:kinsoku/>
        <w:wordWrap w:val="0"/>
        <w:spacing w:line="460" w:lineRule="exact"/>
        <w:ind w:firstLine="600" w:firstLineChars="250"/>
        <w:jc w:val="both"/>
        <w:rPr>
          <w:rFonts w:ascii="宋体" w:hAnsi="宋体" w:eastAsia="宋体" w:cs="宋体"/>
          <w:color w:val="auto"/>
          <w:sz w:val="24"/>
          <w:szCs w:val="24"/>
        </w:rPr>
      </w:pPr>
      <w:r>
        <w:rPr>
          <w:rFonts w:hint="eastAsia" w:ascii="宋体" w:hAnsi="宋体" w:eastAsia="宋体" w:cs="宋体"/>
          <w:color w:val="auto"/>
          <w:sz w:val="24"/>
          <w:szCs w:val="24"/>
        </w:rPr>
        <w:t>7、承诺不存在进入清算程序或被宣告破产，或其他丧失履约能力的情形。</w:t>
      </w:r>
    </w:p>
    <w:p>
      <w:pPr>
        <w:kinsoku/>
        <w:wordWrap w:val="0"/>
        <w:spacing w:line="460" w:lineRule="exact"/>
        <w:ind w:firstLine="600" w:firstLineChars="250"/>
        <w:jc w:val="both"/>
        <w:rPr>
          <w:rFonts w:ascii="宋体" w:hAnsi="宋体" w:eastAsia="宋体" w:cs="宋体"/>
          <w:color w:val="auto"/>
          <w:sz w:val="24"/>
          <w:szCs w:val="24"/>
          <w:u w:val="single"/>
        </w:rPr>
      </w:pPr>
      <w:r>
        <w:rPr>
          <w:rFonts w:hint="eastAsia" w:ascii="宋体" w:hAnsi="宋体" w:eastAsia="宋体" w:cs="宋体"/>
          <w:color w:val="auto"/>
          <w:sz w:val="24"/>
          <w:szCs w:val="24"/>
        </w:rPr>
        <w:t>8、其他：</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pPr>
        <w:kinsoku/>
        <w:wordWrap w:val="0"/>
        <w:spacing w:line="460" w:lineRule="exact"/>
        <w:ind w:firstLine="600" w:firstLineChars="250"/>
        <w:jc w:val="both"/>
        <w:rPr>
          <w:rFonts w:ascii="宋体" w:hAnsi="宋体" w:eastAsia="宋体" w:cs="宋体"/>
          <w:color w:val="auto"/>
          <w:sz w:val="24"/>
          <w:szCs w:val="24"/>
        </w:rPr>
      </w:pPr>
      <w:r>
        <w:rPr>
          <w:rFonts w:hint="eastAsia" w:ascii="宋体" w:hAnsi="宋体" w:eastAsia="宋体" w:cs="宋体"/>
          <w:color w:val="auto"/>
          <w:sz w:val="24"/>
          <w:szCs w:val="24"/>
        </w:rPr>
        <w:t>9、以上承诺如有虚假，给招标人造成损失的，愿意依法承担赔偿责任。如已中标，同意招标人取消我单位中标资格的处理。</w:t>
      </w:r>
    </w:p>
    <w:p>
      <w:pPr>
        <w:kinsoku/>
        <w:wordWrap w:val="0"/>
        <w:spacing w:line="460" w:lineRule="exact"/>
        <w:jc w:val="center"/>
        <w:rPr>
          <w:rFonts w:ascii="宋体" w:hAnsi="宋体" w:eastAsia="宋体" w:cs="宋体"/>
          <w:color w:val="auto"/>
          <w:sz w:val="24"/>
          <w:szCs w:val="24"/>
        </w:rPr>
      </w:pPr>
    </w:p>
    <w:p>
      <w:pPr>
        <w:kinsoku/>
        <w:wordWrap w:val="0"/>
        <w:spacing w:line="460" w:lineRule="exact"/>
        <w:jc w:val="both"/>
        <w:rPr>
          <w:rFonts w:ascii="宋体" w:hAnsi="宋体" w:eastAsia="宋体" w:cs="宋体"/>
          <w:color w:val="auto"/>
          <w:sz w:val="24"/>
          <w:szCs w:val="24"/>
        </w:rPr>
      </w:pPr>
    </w:p>
    <w:p>
      <w:pPr>
        <w:kinsoku/>
        <w:wordWrap w:val="0"/>
        <w:spacing w:line="460" w:lineRule="exact"/>
        <w:jc w:val="right"/>
        <w:rPr>
          <w:rFonts w:ascii="宋体" w:hAnsi="宋体" w:eastAsia="宋体" w:cs="宋体"/>
          <w:color w:val="auto"/>
          <w:sz w:val="24"/>
          <w:szCs w:val="24"/>
        </w:rPr>
      </w:pPr>
      <w:r>
        <w:rPr>
          <w:rFonts w:hint="eastAsia" w:ascii="宋体" w:hAnsi="宋体" w:eastAsia="宋体" w:cs="宋体"/>
          <w:color w:val="auto"/>
          <w:sz w:val="24"/>
          <w:szCs w:val="24"/>
        </w:rPr>
        <w:t>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(盖章)</w:t>
      </w:r>
    </w:p>
    <w:p>
      <w:pPr>
        <w:kinsoku/>
        <w:wordWrap w:val="0"/>
        <w:spacing w:line="460" w:lineRule="exact"/>
        <w:jc w:val="right"/>
        <w:rPr>
          <w:rFonts w:ascii="宋体" w:hAnsi="宋体" w:eastAsia="宋体" w:cs="宋体"/>
          <w:color w:val="auto"/>
          <w:sz w:val="24"/>
          <w:szCs w:val="24"/>
        </w:rPr>
      </w:pPr>
      <w:r>
        <w:rPr>
          <w:rFonts w:hint="eastAsia" w:ascii="宋体" w:hAnsi="宋体" w:eastAsia="宋体" w:cs="宋体"/>
          <w:color w:val="auto"/>
          <w:sz w:val="24"/>
          <w:szCs w:val="24"/>
        </w:rPr>
        <w:t>法定代表人或委托代理人：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(签字或盖章)</w:t>
      </w:r>
    </w:p>
    <w:p>
      <w:pPr>
        <w:kinsoku/>
        <w:wordWrap w:val="0"/>
        <w:spacing w:line="460" w:lineRule="exact"/>
        <w:jc w:val="right"/>
        <w:rPr>
          <w:rFonts w:ascii="宋体" w:hAnsi="宋体" w:eastAsia="宋体" w:cs="宋体"/>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sectPr>
      <w:footerReference r:id="rId22" w:type="default"/>
      <w:pgSz w:w="11907" w:h="16840"/>
      <w:pgMar w:top="1418" w:right="1559" w:bottom="1418" w:left="1474" w:header="0" w:footer="72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9F2E291-23F4-4E8B-8012-9D112DD071E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4C12630-1AFA-4E61-9B87-99153A0ED6A7}"/>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B03A445F-DB27-4E36-BC5E-990448705DF6}"/>
  </w:font>
  <w:font w:name="Calibri Light">
    <w:panose1 w:val="020F03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方正小标宋简体">
    <w:panose1 w:val="02000000000000000000"/>
    <w:charset w:val="86"/>
    <w:family w:val="script"/>
    <w:pitch w:val="default"/>
    <w:sig w:usb0="00000001" w:usb1="08000000" w:usb2="00000000" w:usb3="00000000" w:csb0="00040000" w:csb1="00000000"/>
    <w:embedRegular r:id="rId4" w:fontKey="{F818B982-4BC0-4E19-A2BD-4D653EF96B4A}"/>
  </w:font>
  <w:font w:name="Wingdings 2">
    <w:panose1 w:val="05020102010507070707"/>
    <w:charset w:val="02"/>
    <w:family w:val="roman"/>
    <w:pitch w:val="default"/>
    <w:sig w:usb0="00000000" w:usb1="00000000" w:usb2="00000000" w:usb3="00000000" w:csb0="80000000" w:csb1="00000000"/>
    <w:embedRegular r:id="rId5" w:fontKey="{27536D29-9FF6-4641-9060-A6D423347A65}"/>
  </w:font>
  <w:font w:name="仿宋">
    <w:panose1 w:val="02010609060101010101"/>
    <w:charset w:val="86"/>
    <w:family w:val="modern"/>
    <w:pitch w:val="default"/>
    <w:sig w:usb0="800002BF" w:usb1="38CF7CFA" w:usb2="00000016" w:usb3="00000000" w:csb0="00040001" w:csb1="00000000"/>
    <w:embedRegular r:id="rId6" w:fontKey="{14415D94-BAF4-44D0-870B-92A79A426F2D}"/>
  </w:font>
  <w:font w:name="微软雅黑">
    <w:panose1 w:val="020B0503020204020204"/>
    <w:charset w:val="86"/>
    <w:family w:val="swiss"/>
    <w:pitch w:val="default"/>
    <w:sig w:usb0="80000287" w:usb1="2ACF3C50" w:usb2="00000016" w:usb3="00000000" w:csb0="0004001F" w:csb1="00000000"/>
    <w:embedRegular r:id="rId7" w:fontKey="{A4304595-C906-4381-BCB9-20A9363B14E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13"/>
      <w:rPr>
        <w:rFonts w:ascii="Calibri" w:hAnsi="Calibri" w:eastAsia="Calibri" w:cs="Calibri"/>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195"/>
      <w:rPr>
        <w:rFonts w:ascii="Calibri" w:hAnsi="Calibri" w:eastAsia="Calibri" w:cs="Calibri"/>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829"/>
      <w:rPr>
        <w:rFonts w:ascii="Calibri" w:hAnsi="Calibri" w:eastAsia="Calibri" w:cs="Calibri"/>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226"/>
      <w:rPr>
        <w:rFonts w:ascii="Calibri" w:hAnsi="Calibri" w:eastAsia="Calibri" w:cs="Calibri"/>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820"/>
      <w:rPr>
        <w:rFonts w:ascii="Calibri" w:hAnsi="Calibri" w:eastAsia="Calibri" w:cs="Calibri"/>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815"/>
      <w:rPr>
        <w:rFonts w:ascii="Calibri" w:hAnsi="Calibri" w:eastAsia="Calibri" w:cs="Calibri"/>
        <w:sz w:val="17"/>
        <w:szCs w:val="17"/>
      </w:rPr>
    </w:pPr>
    <w:r>
      <w:rPr>
        <w:sz w:val="17"/>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116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359"/>
      <w:rPr>
        <w:rFonts w:ascii="Calibri" w:hAnsi="Calibri" w:eastAsia="Calibri" w:cs="Calibri"/>
        <w:sz w:val="17"/>
        <w:szCs w:val="17"/>
      </w:rPr>
    </w:pPr>
    <w:r>
      <w:rPr>
        <w:sz w:val="17"/>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117</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118</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466"/>
      <w:rPr>
        <w:rFonts w:ascii="Calibri" w:hAnsi="Calibri" w:eastAsia="Calibri" w:cs="Calibri"/>
        <w:sz w:val="17"/>
        <w:szCs w:val="17"/>
      </w:rPr>
    </w:pPr>
    <w:r>
      <w:rPr>
        <w:sz w:val="17"/>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Scb8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yUnG/KwIAAFcEAAAOAAAAAAAAAAEAIAAAAB8BAABkcnMvZTJvRG9jLnhtbFBLBQYAAAAABgAG&#10;AFkBAAC8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119</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7337"/>
      <w:rPr>
        <w:rFonts w:ascii="Calibri" w:hAnsi="Calibri" w:eastAsia="Calibri" w:cs="Calibri"/>
        <w:sz w:val="17"/>
        <w:szCs w:val="17"/>
      </w:rPr>
    </w:pPr>
    <w:r>
      <w:rPr>
        <w:sz w:val="17"/>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120</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803"/>
      <w:rPr>
        <w:rFonts w:ascii="Calibri" w:hAnsi="Calibri" w:eastAsia="Calibri" w:cs="Calibri"/>
        <w:sz w:val="17"/>
        <w:szCs w:val="17"/>
      </w:rPr>
    </w:pPr>
    <w:r>
      <w:rPr>
        <w:sz w:val="17"/>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121</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661"/>
      <w:rPr>
        <w:rFonts w:ascii="Calibri" w:hAnsi="Calibri" w:eastAsia="Calibri" w:cs="Calibri"/>
        <w:sz w:val="17"/>
        <w:szCs w:val="17"/>
      </w:rPr>
    </w:pPr>
    <w:r>
      <w:rPr>
        <w:sz w:val="17"/>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130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10A1CC"/>
    <w:multiLevelType w:val="singleLevel"/>
    <w:tmpl w:val="B510A1CC"/>
    <w:lvl w:ilvl="0" w:tentative="0">
      <w:start w:val="1"/>
      <w:numFmt w:val="decimal"/>
      <w:suff w:val="nothing"/>
      <w:lvlText w:val="(%1)"/>
      <w:lvlJc w:val="left"/>
      <w:pPr>
        <w:tabs>
          <w:tab w:val="left" w:pos="454"/>
        </w:tabs>
        <w:ind w:left="0" w:firstLine="454"/>
      </w:pPr>
      <w:rPr>
        <w:rFonts w:hint="default"/>
      </w:rPr>
    </w:lvl>
  </w:abstractNum>
  <w:abstractNum w:abstractNumId="1">
    <w:nsid w:val="E5EE6D43"/>
    <w:multiLevelType w:val="singleLevel"/>
    <w:tmpl w:val="E5EE6D43"/>
    <w:lvl w:ilvl="0" w:tentative="0">
      <w:start w:val="1"/>
      <w:numFmt w:val="decimal"/>
      <w:suff w:val="nothing"/>
      <w:lvlText w:val="(%1)"/>
      <w:lvlJc w:val="left"/>
      <w:pPr>
        <w:tabs>
          <w:tab w:val="left" w:pos="454"/>
        </w:tabs>
        <w:ind w:left="0" w:firstLine="454"/>
      </w:pPr>
      <w:rPr>
        <w:rFonts w:hint="default"/>
      </w:rPr>
    </w:lvl>
  </w:abstractNum>
  <w:abstractNum w:abstractNumId="2">
    <w:nsid w:val="FA0E6C3D"/>
    <w:multiLevelType w:val="singleLevel"/>
    <w:tmpl w:val="FA0E6C3D"/>
    <w:lvl w:ilvl="0" w:tentative="0">
      <w:start w:val="1"/>
      <w:numFmt w:val="decimal"/>
      <w:suff w:val="nothing"/>
      <w:lvlText w:val="(%1)"/>
      <w:lvlJc w:val="left"/>
      <w:pPr>
        <w:tabs>
          <w:tab w:val="left" w:pos="454"/>
        </w:tabs>
        <w:ind w:left="0" w:firstLine="454"/>
      </w:pPr>
      <w:rPr>
        <w:rFonts w:hint="default"/>
      </w:rPr>
    </w:lvl>
  </w:abstractNum>
  <w:abstractNum w:abstractNumId="3">
    <w:nsid w:val="FD2D2A60"/>
    <w:multiLevelType w:val="singleLevel"/>
    <w:tmpl w:val="FD2D2A60"/>
    <w:lvl w:ilvl="0" w:tentative="0">
      <w:start w:val="1"/>
      <w:numFmt w:val="decimal"/>
      <w:suff w:val="nothing"/>
      <w:lvlText w:val="(%1)"/>
      <w:lvlJc w:val="left"/>
      <w:pPr>
        <w:tabs>
          <w:tab w:val="left" w:pos="454"/>
        </w:tabs>
        <w:ind w:left="0" w:firstLine="454"/>
      </w:pPr>
      <w:rPr>
        <w:rFonts w:hint="default"/>
      </w:rPr>
    </w:lvl>
  </w:abstractNum>
  <w:abstractNum w:abstractNumId="4">
    <w:nsid w:val="0C9F4D77"/>
    <w:multiLevelType w:val="multilevel"/>
    <w:tmpl w:val="0C9F4D77"/>
    <w:lvl w:ilvl="0" w:tentative="0">
      <w:start w:val="1"/>
      <w:numFmt w:val="decimal"/>
      <w:lvlText w:val="第 %1 章"/>
      <w:lvlJc w:val="left"/>
      <w:pPr>
        <w:tabs>
          <w:tab w:val="left" w:pos="2291"/>
        </w:tabs>
        <w:ind w:left="851" w:firstLine="0"/>
      </w:pPr>
      <w:rPr>
        <w:rFonts w:hint="eastAsia" w:eastAsia="宋体"/>
        <w:b/>
        <w:i w:val="0"/>
        <w:sz w:val="44"/>
      </w:rPr>
    </w:lvl>
    <w:lvl w:ilvl="1" w:tentative="0">
      <w:start w:val="1"/>
      <w:numFmt w:val="decimal"/>
      <w:pStyle w:val="5"/>
      <w:lvlText w:val="第%2节 "/>
      <w:lvlJc w:val="left"/>
      <w:pPr>
        <w:tabs>
          <w:tab w:val="left" w:pos="3600"/>
        </w:tabs>
        <w:ind w:left="2880" w:firstLine="0"/>
      </w:pPr>
      <w:rPr>
        <w:rFonts w:hint="eastAsia" w:eastAsia="宋体" w:cs="Times New Roman"/>
        <w:b/>
        <w:bCs w:val="0"/>
        <w:i w:val="0"/>
        <w:iCs w:val="0"/>
        <w:caps w:val="0"/>
        <w:smallCaps w:val="0"/>
        <w:strike w:val="0"/>
        <w:dstrike w:val="0"/>
        <w:vanish w:val="0"/>
        <w:spacing w:val="0"/>
        <w:kern w:val="0"/>
        <w:position w:val="0"/>
        <w:sz w:val="32"/>
        <w:u w:val="none"/>
        <w:vertAlign w:val="baseline"/>
      </w:rPr>
    </w:lvl>
    <w:lvl w:ilvl="2" w:tentative="0">
      <w:start w:val="1"/>
      <w:numFmt w:val="chineseCountingThousand"/>
      <w:lvlText w:val="%3."/>
      <w:lvlJc w:val="left"/>
      <w:pPr>
        <w:tabs>
          <w:tab w:val="left" w:pos="720"/>
        </w:tabs>
        <w:ind w:left="0" w:firstLine="0"/>
      </w:pPr>
      <w:rPr>
        <w:rFonts w:hint="eastAsia" w:eastAsia="宋体"/>
        <w:b/>
        <w:i w:val="0"/>
        <w:sz w:val="30"/>
      </w:rPr>
    </w:lvl>
    <w:lvl w:ilvl="3" w:tentative="0">
      <w:start w:val="1"/>
      <w:numFmt w:val="chineseCounting"/>
      <w:suff w:val="nothing"/>
      <w:lvlText w:val="(%4)  "/>
      <w:lvlJc w:val="right"/>
      <w:pPr>
        <w:tabs>
          <w:tab w:val="left" w:pos="0"/>
        </w:tabs>
        <w:ind w:left="0" w:firstLine="0"/>
      </w:pPr>
      <w:rPr>
        <w:rFonts w:hint="eastAsia"/>
      </w:rPr>
    </w:lvl>
    <w:lvl w:ilvl="4" w:tentative="0">
      <w:start w:val="1"/>
      <w:numFmt w:val="decimal"/>
      <w:lvlText w:val="%5."/>
      <w:lvlJc w:val="left"/>
      <w:pPr>
        <w:tabs>
          <w:tab w:val="left" w:pos="578"/>
        </w:tabs>
        <w:ind w:left="0" w:firstLine="576"/>
      </w:pPr>
      <w:rPr>
        <w:rFonts w:hint="eastAsia" w:eastAsia="宋体"/>
        <w:b/>
        <w:i w:val="0"/>
        <w:sz w:val="28"/>
      </w:rPr>
    </w:lvl>
    <w:lvl w:ilvl="5" w:tentative="0">
      <w:start w:val="1"/>
      <w:numFmt w:val="lowerLetter"/>
      <w:lvlText w:val="%6)"/>
      <w:lvlJc w:val="left"/>
      <w:pPr>
        <w:tabs>
          <w:tab w:val="left" w:pos="1152"/>
        </w:tabs>
        <w:ind w:left="1152" w:hanging="432"/>
      </w:pPr>
      <w:rPr>
        <w:rFonts w:hint="eastAsia"/>
      </w:rPr>
    </w:lvl>
    <w:lvl w:ilvl="6" w:tentative="0">
      <w:start w:val="1"/>
      <w:numFmt w:val="lowerRoman"/>
      <w:lvlText w:val="%7)"/>
      <w:lvlJc w:val="right"/>
      <w:pPr>
        <w:tabs>
          <w:tab w:val="left" w:pos="1296"/>
        </w:tabs>
        <w:ind w:left="1296" w:hanging="288"/>
      </w:pPr>
      <w:rPr>
        <w:rFonts w:hint="eastAsia"/>
      </w:rPr>
    </w:lvl>
    <w:lvl w:ilvl="7" w:tentative="0">
      <w:start w:val="1"/>
      <w:numFmt w:val="lowerLetter"/>
      <w:lvlText w:val="%8."/>
      <w:lvlJc w:val="left"/>
      <w:pPr>
        <w:tabs>
          <w:tab w:val="left" w:pos="1440"/>
        </w:tabs>
        <w:ind w:left="1440" w:hanging="432"/>
      </w:pPr>
      <w:rPr>
        <w:rFonts w:hint="eastAsia"/>
      </w:rPr>
    </w:lvl>
    <w:lvl w:ilvl="8" w:tentative="0">
      <w:start w:val="1"/>
      <w:numFmt w:val="lowerRoman"/>
      <w:lvlText w:val="%9."/>
      <w:lvlJc w:val="right"/>
      <w:pPr>
        <w:tabs>
          <w:tab w:val="left" w:pos="1584"/>
        </w:tabs>
        <w:ind w:left="1584" w:hanging="144"/>
      </w:pPr>
      <w:rPr>
        <w:rFonts w:hint="eastAsia"/>
      </w:rPr>
    </w:lvl>
  </w:abstractNum>
  <w:abstractNum w:abstractNumId="5">
    <w:nsid w:val="582AAE29"/>
    <w:multiLevelType w:val="singleLevel"/>
    <w:tmpl w:val="582AAE29"/>
    <w:lvl w:ilvl="0" w:tentative="0">
      <w:start w:val="1"/>
      <w:numFmt w:val="chineseCounting"/>
      <w:suff w:val="nothing"/>
      <w:lvlText w:val="%1、"/>
      <w:lvlJc w:val="left"/>
      <w:pPr>
        <w:ind w:left="0" w:firstLine="0"/>
      </w:pPr>
    </w:lvl>
  </w:abstractNum>
  <w:abstractNum w:abstractNumId="6">
    <w:nsid w:val="59AD06FC"/>
    <w:multiLevelType w:val="singleLevel"/>
    <w:tmpl w:val="59AD06FC"/>
    <w:lvl w:ilvl="0" w:tentative="0">
      <w:start w:val="1"/>
      <w:numFmt w:val="decimal"/>
      <w:suff w:val="nothing"/>
      <w:lvlText w:val="(%1)"/>
      <w:lvlJc w:val="left"/>
      <w:pPr>
        <w:tabs>
          <w:tab w:val="left" w:pos="454"/>
        </w:tabs>
        <w:ind w:left="0" w:firstLine="454"/>
      </w:pPr>
      <w:rPr>
        <w:rFonts w:hint="default"/>
      </w:rPr>
    </w:lvl>
  </w:abstractNum>
  <w:abstractNum w:abstractNumId="7">
    <w:nsid w:val="7D84D81E"/>
    <w:multiLevelType w:val="singleLevel"/>
    <w:tmpl w:val="7D84D81E"/>
    <w:lvl w:ilvl="0" w:tentative="0">
      <w:start w:val="1"/>
      <w:numFmt w:val="decimal"/>
      <w:suff w:val="nothing"/>
      <w:lvlText w:val="(%1)"/>
      <w:lvlJc w:val="left"/>
      <w:pPr>
        <w:tabs>
          <w:tab w:val="left" w:pos="454"/>
        </w:tabs>
        <w:ind w:left="0" w:firstLine="454"/>
      </w:pPr>
      <w:rPr>
        <w:rFonts w:hint="default"/>
      </w:rPr>
    </w:lvl>
  </w:abstractNum>
  <w:num w:numId="1">
    <w:abstractNumId w:val="4"/>
  </w:num>
  <w:num w:numId="2">
    <w:abstractNumId w:val="7"/>
  </w:num>
  <w:num w:numId="3">
    <w:abstractNumId w:val="5"/>
    <w:lvlOverride w:ilvl="0">
      <w:startOverride w:val="1"/>
    </w:lvlOverride>
  </w:num>
  <w:num w:numId="4">
    <w:abstractNumId w:val="6"/>
  </w:num>
  <w:num w:numId="5">
    <w:abstractNumId w:val="2"/>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1"/>
  <w:bordersDoNotSurroundFooter w:val="1"/>
  <w:hideSpellingErrors/>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ZmMjE5OWUyMjNlMTExZDFiNmFlNzdkYTJlMDllODIifQ=="/>
  </w:docVars>
  <w:rsids>
    <w:rsidRoot w:val="00702EC5"/>
    <w:rsid w:val="00055130"/>
    <w:rsid w:val="00060497"/>
    <w:rsid w:val="00064B23"/>
    <w:rsid w:val="00074692"/>
    <w:rsid w:val="000A6356"/>
    <w:rsid w:val="000B3A92"/>
    <w:rsid w:val="000E44F2"/>
    <w:rsid w:val="000E4CB5"/>
    <w:rsid w:val="000F6453"/>
    <w:rsid w:val="00141809"/>
    <w:rsid w:val="00165366"/>
    <w:rsid w:val="0017066A"/>
    <w:rsid w:val="00184F01"/>
    <w:rsid w:val="00195915"/>
    <w:rsid w:val="001B77A0"/>
    <w:rsid w:val="001C2B10"/>
    <w:rsid w:val="001C3966"/>
    <w:rsid w:val="001E4522"/>
    <w:rsid w:val="00211E3B"/>
    <w:rsid w:val="00224277"/>
    <w:rsid w:val="002363AC"/>
    <w:rsid w:val="002721BB"/>
    <w:rsid w:val="0027596A"/>
    <w:rsid w:val="00285F6C"/>
    <w:rsid w:val="002C3AC3"/>
    <w:rsid w:val="002D58F1"/>
    <w:rsid w:val="002E1E02"/>
    <w:rsid w:val="002F1197"/>
    <w:rsid w:val="002F16F5"/>
    <w:rsid w:val="002F1733"/>
    <w:rsid w:val="002F4D4C"/>
    <w:rsid w:val="00310156"/>
    <w:rsid w:val="0031567A"/>
    <w:rsid w:val="003340F8"/>
    <w:rsid w:val="00336164"/>
    <w:rsid w:val="00344E12"/>
    <w:rsid w:val="00352B65"/>
    <w:rsid w:val="003570A5"/>
    <w:rsid w:val="00363B93"/>
    <w:rsid w:val="003A5A8B"/>
    <w:rsid w:val="003B2432"/>
    <w:rsid w:val="003B4F63"/>
    <w:rsid w:val="003C57EF"/>
    <w:rsid w:val="003E2060"/>
    <w:rsid w:val="003E6637"/>
    <w:rsid w:val="003F7FF4"/>
    <w:rsid w:val="00404B6B"/>
    <w:rsid w:val="004357C4"/>
    <w:rsid w:val="004534ED"/>
    <w:rsid w:val="004744D6"/>
    <w:rsid w:val="004857AB"/>
    <w:rsid w:val="004A40FC"/>
    <w:rsid w:val="004A5C0A"/>
    <w:rsid w:val="004B321D"/>
    <w:rsid w:val="004D6462"/>
    <w:rsid w:val="004E1221"/>
    <w:rsid w:val="00505F50"/>
    <w:rsid w:val="0052392E"/>
    <w:rsid w:val="0055058D"/>
    <w:rsid w:val="00596F50"/>
    <w:rsid w:val="005974DB"/>
    <w:rsid w:val="005B1814"/>
    <w:rsid w:val="005C53BF"/>
    <w:rsid w:val="005E46AE"/>
    <w:rsid w:val="0060479D"/>
    <w:rsid w:val="00633E75"/>
    <w:rsid w:val="00637A03"/>
    <w:rsid w:val="00661ADD"/>
    <w:rsid w:val="006629CA"/>
    <w:rsid w:val="006629E1"/>
    <w:rsid w:val="00664EC4"/>
    <w:rsid w:val="00665145"/>
    <w:rsid w:val="00687B63"/>
    <w:rsid w:val="00695F6A"/>
    <w:rsid w:val="006A2DDD"/>
    <w:rsid w:val="006A4113"/>
    <w:rsid w:val="006A4998"/>
    <w:rsid w:val="006B7219"/>
    <w:rsid w:val="006C5E78"/>
    <w:rsid w:val="006C62F2"/>
    <w:rsid w:val="006D0C41"/>
    <w:rsid w:val="00702EC5"/>
    <w:rsid w:val="00707744"/>
    <w:rsid w:val="00707EEE"/>
    <w:rsid w:val="007331A8"/>
    <w:rsid w:val="007369E8"/>
    <w:rsid w:val="00761332"/>
    <w:rsid w:val="00774CC5"/>
    <w:rsid w:val="007854FB"/>
    <w:rsid w:val="007A29CA"/>
    <w:rsid w:val="007D5CB5"/>
    <w:rsid w:val="007D6130"/>
    <w:rsid w:val="007D733A"/>
    <w:rsid w:val="0081079F"/>
    <w:rsid w:val="00844A95"/>
    <w:rsid w:val="00845837"/>
    <w:rsid w:val="00851C97"/>
    <w:rsid w:val="00854820"/>
    <w:rsid w:val="00881540"/>
    <w:rsid w:val="008E53DE"/>
    <w:rsid w:val="00914972"/>
    <w:rsid w:val="0092089C"/>
    <w:rsid w:val="00924094"/>
    <w:rsid w:val="00942A60"/>
    <w:rsid w:val="00953DA3"/>
    <w:rsid w:val="00965679"/>
    <w:rsid w:val="0097383F"/>
    <w:rsid w:val="0097490A"/>
    <w:rsid w:val="00983D4C"/>
    <w:rsid w:val="009A7862"/>
    <w:rsid w:val="009B0DEE"/>
    <w:rsid w:val="009D1D05"/>
    <w:rsid w:val="009D39EF"/>
    <w:rsid w:val="009D78B5"/>
    <w:rsid w:val="009E03DA"/>
    <w:rsid w:val="009E0AF8"/>
    <w:rsid w:val="00A200B0"/>
    <w:rsid w:val="00A54ED8"/>
    <w:rsid w:val="00A570A3"/>
    <w:rsid w:val="00A656E6"/>
    <w:rsid w:val="00AA5562"/>
    <w:rsid w:val="00AA603F"/>
    <w:rsid w:val="00AC544D"/>
    <w:rsid w:val="00AC5EB2"/>
    <w:rsid w:val="00AD43DB"/>
    <w:rsid w:val="00AD5BBD"/>
    <w:rsid w:val="00AF4B12"/>
    <w:rsid w:val="00AF621B"/>
    <w:rsid w:val="00B062A7"/>
    <w:rsid w:val="00B17FC1"/>
    <w:rsid w:val="00B23CD9"/>
    <w:rsid w:val="00B27DBE"/>
    <w:rsid w:val="00B3096B"/>
    <w:rsid w:val="00B3153B"/>
    <w:rsid w:val="00B36BE4"/>
    <w:rsid w:val="00B42DD7"/>
    <w:rsid w:val="00B65DB0"/>
    <w:rsid w:val="00B8171D"/>
    <w:rsid w:val="00B8778E"/>
    <w:rsid w:val="00B93FE8"/>
    <w:rsid w:val="00B94061"/>
    <w:rsid w:val="00BA2D12"/>
    <w:rsid w:val="00BC6842"/>
    <w:rsid w:val="00BD64EE"/>
    <w:rsid w:val="00C0077D"/>
    <w:rsid w:val="00C0176B"/>
    <w:rsid w:val="00C135C9"/>
    <w:rsid w:val="00C223D0"/>
    <w:rsid w:val="00C42EA8"/>
    <w:rsid w:val="00C4692C"/>
    <w:rsid w:val="00C92566"/>
    <w:rsid w:val="00C95E01"/>
    <w:rsid w:val="00CB45B8"/>
    <w:rsid w:val="00CC0E0C"/>
    <w:rsid w:val="00CF6F87"/>
    <w:rsid w:val="00D15922"/>
    <w:rsid w:val="00D30C95"/>
    <w:rsid w:val="00D348D5"/>
    <w:rsid w:val="00D42191"/>
    <w:rsid w:val="00D42ECF"/>
    <w:rsid w:val="00D44B95"/>
    <w:rsid w:val="00D50A34"/>
    <w:rsid w:val="00D55420"/>
    <w:rsid w:val="00D55A1B"/>
    <w:rsid w:val="00D60E98"/>
    <w:rsid w:val="00D6553D"/>
    <w:rsid w:val="00D72134"/>
    <w:rsid w:val="00D8309E"/>
    <w:rsid w:val="00D93FD8"/>
    <w:rsid w:val="00D96289"/>
    <w:rsid w:val="00DB199B"/>
    <w:rsid w:val="00DB3DF9"/>
    <w:rsid w:val="00DD773A"/>
    <w:rsid w:val="00DE725A"/>
    <w:rsid w:val="00E230ED"/>
    <w:rsid w:val="00E2643D"/>
    <w:rsid w:val="00E2659F"/>
    <w:rsid w:val="00E40D5E"/>
    <w:rsid w:val="00E44905"/>
    <w:rsid w:val="00E5002D"/>
    <w:rsid w:val="00E74A73"/>
    <w:rsid w:val="00E77AEE"/>
    <w:rsid w:val="00EA368A"/>
    <w:rsid w:val="00EA672E"/>
    <w:rsid w:val="00EC25C7"/>
    <w:rsid w:val="00ED3341"/>
    <w:rsid w:val="00EF0426"/>
    <w:rsid w:val="00F3189B"/>
    <w:rsid w:val="00F565CB"/>
    <w:rsid w:val="00F83E99"/>
    <w:rsid w:val="00F97B09"/>
    <w:rsid w:val="00FD099D"/>
    <w:rsid w:val="00FD5E49"/>
    <w:rsid w:val="00FD6761"/>
    <w:rsid w:val="00FE00D0"/>
    <w:rsid w:val="00FE1A17"/>
    <w:rsid w:val="00FE4755"/>
    <w:rsid w:val="00FF0D26"/>
    <w:rsid w:val="00FF4145"/>
    <w:rsid w:val="00FF4B2D"/>
    <w:rsid w:val="02465C1E"/>
    <w:rsid w:val="03DF3C97"/>
    <w:rsid w:val="04C52EB3"/>
    <w:rsid w:val="05F33181"/>
    <w:rsid w:val="06391410"/>
    <w:rsid w:val="06E30A67"/>
    <w:rsid w:val="074C16C1"/>
    <w:rsid w:val="087B7D1C"/>
    <w:rsid w:val="0BB856CB"/>
    <w:rsid w:val="0C06291C"/>
    <w:rsid w:val="0C843ED8"/>
    <w:rsid w:val="0D2C2D87"/>
    <w:rsid w:val="0E8A0CB9"/>
    <w:rsid w:val="11902A8A"/>
    <w:rsid w:val="14310739"/>
    <w:rsid w:val="17A2005D"/>
    <w:rsid w:val="18AA2E4C"/>
    <w:rsid w:val="1BDD5652"/>
    <w:rsid w:val="1F9E2816"/>
    <w:rsid w:val="219B1DC8"/>
    <w:rsid w:val="21DE15EF"/>
    <w:rsid w:val="227F4693"/>
    <w:rsid w:val="22B12860"/>
    <w:rsid w:val="22B81E40"/>
    <w:rsid w:val="22C117C7"/>
    <w:rsid w:val="23AE53E8"/>
    <w:rsid w:val="24783253"/>
    <w:rsid w:val="26FF0060"/>
    <w:rsid w:val="276671EC"/>
    <w:rsid w:val="282B09BF"/>
    <w:rsid w:val="28434CEE"/>
    <w:rsid w:val="2D037AAF"/>
    <w:rsid w:val="31461C62"/>
    <w:rsid w:val="32011BB7"/>
    <w:rsid w:val="33DB7416"/>
    <w:rsid w:val="35AB20B4"/>
    <w:rsid w:val="367C5D69"/>
    <w:rsid w:val="378D2D79"/>
    <w:rsid w:val="383513E6"/>
    <w:rsid w:val="38541B5F"/>
    <w:rsid w:val="3E15655F"/>
    <w:rsid w:val="3F3832DE"/>
    <w:rsid w:val="3FF024B0"/>
    <w:rsid w:val="401226C0"/>
    <w:rsid w:val="4395248D"/>
    <w:rsid w:val="43C24475"/>
    <w:rsid w:val="44926D77"/>
    <w:rsid w:val="46431172"/>
    <w:rsid w:val="4A372D9B"/>
    <w:rsid w:val="4AEC0102"/>
    <w:rsid w:val="4B33668B"/>
    <w:rsid w:val="4BD45878"/>
    <w:rsid w:val="4C394EB9"/>
    <w:rsid w:val="4C6A38FC"/>
    <w:rsid w:val="4C71246E"/>
    <w:rsid w:val="5060056A"/>
    <w:rsid w:val="518C436B"/>
    <w:rsid w:val="536E6D5B"/>
    <w:rsid w:val="55891036"/>
    <w:rsid w:val="5A281222"/>
    <w:rsid w:val="5B745980"/>
    <w:rsid w:val="5C9643DA"/>
    <w:rsid w:val="5E437ADC"/>
    <w:rsid w:val="5E9D1FCE"/>
    <w:rsid w:val="5EF06C4F"/>
    <w:rsid w:val="5F4C125A"/>
    <w:rsid w:val="5F5F41A3"/>
    <w:rsid w:val="5F9A3EA5"/>
    <w:rsid w:val="63A259F2"/>
    <w:rsid w:val="64F5A826"/>
    <w:rsid w:val="66630D48"/>
    <w:rsid w:val="66682803"/>
    <w:rsid w:val="674755E1"/>
    <w:rsid w:val="67D8655F"/>
    <w:rsid w:val="680A6658"/>
    <w:rsid w:val="68D31791"/>
    <w:rsid w:val="694B7827"/>
    <w:rsid w:val="6CE73180"/>
    <w:rsid w:val="6E72625A"/>
    <w:rsid w:val="6EE9392C"/>
    <w:rsid w:val="72090A3F"/>
    <w:rsid w:val="742D4A93"/>
    <w:rsid w:val="75157FF9"/>
    <w:rsid w:val="754652DC"/>
    <w:rsid w:val="759E3B4B"/>
    <w:rsid w:val="77815D46"/>
    <w:rsid w:val="78DB6E64"/>
    <w:rsid w:val="7D6D0C71"/>
    <w:rsid w:val="7DDB7129"/>
    <w:rsid w:val="7ED53E3F"/>
    <w:rsid w:val="7EF74FA0"/>
    <w:rsid w:val="CFDF19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4">
    <w:name w:val="heading 1"/>
    <w:basedOn w:val="1"/>
    <w:next w:val="1"/>
    <w:link w:val="39"/>
    <w:autoRedefine/>
    <w:qFormat/>
    <w:uiPriority w:val="0"/>
    <w:pPr>
      <w:keepNext/>
      <w:keepLines/>
      <w:spacing w:before="340" w:after="330" w:line="578" w:lineRule="auto"/>
      <w:outlineLvl w:val="0"/>
    </w:pPr>
    <w:rPr>
      <w:b/>
      <w:bCs/>
      <w:kern w:val="44"/>
      <w:sz w:val="44"/>
      <w:szCs w:val="44"/>
    </w:rPr>
  </w:style>
  <w:style w:type="paragraph" w:styleId="5">
    <w:name w:val="heading 2"/>
    <w:basedOn w:val="1"/>
    <w:next w:val="1"/>
    <w:autoRedefine/>
    <w:qFormat/>
    <w:uiPriority w:val="0"/>
    <w:pPr>
      <w:keepNext/>
      <w:keepLines/>
      <w:numPr>
        <w:ilvl w:val="1"/>
        <w:numId w:val="1"/>
      </w:numPr>
      <w:tabs>
        <w:tab w:val="left" w:pos="720"/>
      </w:tabs>
      <w:spacing w:line="416" w:lineRule="atLeast"/>
      <w:outlineLvl w:val="1"/>
    </w:pPr>
    <w:rPr>
      <w:rFonts w:eastAsia="黑体"/>
      <w:b/>
      <w:bCs/>
      <w:sz w:val="32"/>
      <w:szCs w:val="32"/>
    </w:rPr>
  </w:style>
  <w:style w:type="paragraph" w:styleId="6">
    <w:name w:val="heading 3"/>
    <w:basedOn w:val="1"/>
    <w:next w:val="1"/>
    <w:autoRedefine/>
    <w:qFormat/>
    <w:uiPriority w:val="0"/>
    <w:pPr>
      <w:keepNext/>
      <w:keepLines/>
      <w:spacing w:before="260" w:after="260" w:line="413" w:lineRule="auto"/>
      <w:outlineLvl w:val="2"/>
    </w:pPr>
    <w:rPr>
      <w:b/>
      <w:bCs/>
      <w:sz w:val="32"/>
      <w:szCs w:val="32"/>
    </w:rPr>
  </w:style>
  <w:style w:type="paragraph" w:styleId="7">
    <w:name w:val="heading 4"/>
    <w:basedOn w:val="1"/>
    <w:next w:val="1"/>
    <w:autoRedefine/>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2">
    <w:name w:val="BodyText1I"/>
    <w:basedOn w:val="3"/>
    <w:next w:val="1"/>
    <w:autoRedefine/>
    <w:qFormat/>
    <w:uiPriority w:val="0"/>
    <w:pPr>
      <w:ind w:firstLine="420"/>
    </w:pPr>
    <w:rPr>
      <w:rFonts w:hAnsi="Times New Roman"/>
      <w:szCs w:val="20"/>
    </w:rPr>
  </w:style>
  <w:style w:type="paragraph" w:customStyle="1" w:styleId="3">
    <w:name w:val="BodyText"/>
    <w:basedOn w:val="1"/>
    <w:next w:val="2"/>
    <w:autoRedefine/>
    <w:qFormat/>
    <w:uiPriority w:val="0"/>
    <w:pPr>
      <w:spacing w:line="360" w:lineRule="auto"/>
      <w:jc w:val="both"/>
    </w:pPr>
    <w:rPr>
      <w:rFonts w:ascii="宋体" w:eastAsia="宋体"/>
      <w:kern w:val="2"/>
      <w:sz w:val="24"/>
      <w:lang w:val="zh-CN"/>
    </w:rPr>
  </w:style>
  <w:style w:type="paragraph" w:styleId="8">
    <w:name w:val="annotation text"/>
    <w:basedOn w:val="1"/>
    <w:link w:val="41"/>
    <w:autoRedefine/>
    <w:qFormat/>
    <w:uiPriority w:val="0"/>
  </w:style>
  <w:style w:type="paragraph" w:styleId="9">
    <w:name w:val="Body Text"/>
    <w:basedOn w:val="1"/>
    <w:next w:val="10"/>
    <w:autoRedefine/>
    <w:qFormat/>
    <w:uiPriority w:val="0"/>
    <w:pPr>
      <w:spacing w:after="120"/>
    </w:pPr>
    <w:rPr>
      <w:sz w:val="20"/>
    </w:rPr>
  </w:style>
  <w:style w:type="paragraph" w:styleId="10">
    <w:name w:val="Body Text First Indent"/>
    <w:basedOn w:val="9"/>
    <w:next w:val="11"/>
    <w:autoRedefine/>
    <w:unhideWhenUsed/>
    <w:qFormat/>
    <w:uiPriority w:val="99"/>
    <w:pPr>
      <w:ind w:firstLine="420" w:firstLineChars="100"/>
    </w:pPr>
  </w:style>
  <w:style w:type="paragraph" w:styleId="11">
    <w:name w:val="toc 6"/>
    <w:basedOn w:val="1"/>
    <w:next w:val="1"/>
    <w:autoRedefine/>
    <w:qFormat/>
    <w:uiPriority w:val="0"/>
    <w:pPr>
      <w:adjustRightInd/>
      <w:ind w:left="2100" w:leftChars="1000"/>
    </w:pPr>
    <w:rPr>
      <w:kern w:val="2"/>
      <w:szCs w:val="22"/>
    </w:rPr>
  </w:style>
  <w:style w:type="paragraph" w:styleId="12">
    <w:name w:val="Body Text Indent"/>
    <w:basedOn w:val="1"/>
    <w:next w:val="13"/>
    <w:autoRedefine/>
    <w:qFormat/>
    <w:uiPriority w:val="0"/>
    <w:pPr>
      <w:spacing w:line="500" w:lineRule="atLeast"/>
      <w:ind w:firstLine="510"/>
    </w:pPr>
    <w:rPr>
      <w:rFonts w:ascii="仿宋_GB2312" w:eastAsia="仿宋_GB2312"/>
      <w:sz w:val="24"/>
      <w:szCs w:val="20"/>
    </w:rPr>
  </w:style>
  <w:style w:type="paragraph" w:styleId="13">
    <w:name w:val="Body Text First Indent 2"/>
    <w:basedOn w:val="12"/>
    <w:autoRedefine/>
    <w:unhideWhenUsed/>
    <w:qFormat/>
    <w:uiPriority w:val="99"/>
    <w:pPr>
      <w:spacing w:line="200" w:lineRule="atLeast"/>
      <w:ind w:firstLine="420"/>
    </w:pPr>
    <w:rPr>
      <w:rFonts w:ascii="宋体" w:hAnsi="Courier New"/>
      <w:spacing w:val="-4"/>
      <w:sz w:val="18"/>
    </w:rPr>
  </w:style>
  <w:style w:type="paragraph" w:styleId="14">
    <w:name w:val="toc 3"/>
    <w:basedOn w:val="1"/>
    <w:next w:val="1"/>
    <w:autoRedefine/>
    <w:unhideWhenUsed/>
    <w:qFormat/>
    <w:uiPriority w:val="39"/>
    <w:pPr>
      <w:kinsoku/>
      <w:autoSpaceDE/>
      <w:autoSpaceDN/>
      <w:adjustRightInd/>
      <w:snapToGrid/>
      <w:spacing w:after="100" w:line="276" w:lineRule="auto"/>
      <w:ind w:left="440"/>
      <w:textAlignment w:val="auto"/>
    </w:pPr>
    <w:rPr>
      <w:rFonts w:asciiTheme="minorHAnsi" w:hAnsiTheme="minorHAnsi" w:eastAsiaTheme="minorEastAsia" w:cstheme="minorBidi"/>
      <w:snapToGrid/>
      <w:color w:val="auto"/>
      <w:sz w:val="22"/>
      <w:szCs w:val="22"/>
    </w:rPr>
  </w:style>
  <w:style w:type="paragraph" w:styleId="15">
    <w:name w:val="Plain Text"/>
    <w:basedOn w:val="1"/>
    <w:next w:val="1"/>
    <w:autoRedefine/>
    <w:qFormat/>
    <w:uiPriority w:val="99"/>
    <w:rPr>
      <w:rFonts w:ascii="宋体" w:hAnsi="Courier New"/>
      <w:kern w:val="2"/>
    </w:rPr>
  </w:style>
  <w:style w:type="paragraph" w:styleId="16">
    <w:name w:val="Date"/>
    <w:basedOn w:val="1"/>
    <w:next w:val="1"/>
    <w:autoRedefine/>
    <w:qFormat/>
    <w:uiPriority w:val="0"/>
    <w:rPr>
      <w:rFonts w:ascii="宋体"/>
      <w:szCs w:val="20"/>
    </w:rPr>
  </w:style>
  <w:style w:type="paragraph" w:styleId="17">
    <w:name w:val="Balloon Text"/>
    <w:basedOn w:val="1"/>
    <w:link w:val="38"/>
    <w:autoRedefine/>
    <w:qFormat/>
    <w:uiPriority w:val="0"/>
    <w:rPr>
      <w:sz w:val="18"/>
      <w:szCs w:val="18"/>
    </w:rPr>
  </w:style>
  <w:style w:type="paragraph" w:styleId="18">
    <w:name w:val="footer"/>
    <w:basedOn w:val="1"/>
    <w:link w:val="37"/>
    <w:autoRedefine/>
    <w:qFormat/>
    <w:uiPriority w:val="0"/>
    <w:pPr>
      <w:tabs>
        <w:tab w:val="center" w:pos="4153"/>
        <w:tab w:val="right" w:pos="8306"/>
      </w:tabs>
    </w:pPr>
    <w:rPr>
      <w:sz w:val="18"/>
      <w:szCs w:val="18"/>
    </w:rPr>
  </w:style>
  <w:style w:type="paragraph" w:styleId="19">
    <w:name w:val="header"/>
    <w:basedOn w:val="1"/>
    <w:link w:val="36"/>
    <w:autoRedefine/>
    <w:qFormat/>
    <w:uiPriority w:val="0"/>
    <w:pPr>
      <w:pBdr>
        <w:bottom w:val="single" w:color="auto" w:sz="6" w:space="1"/>
      </w:pBdr>
      <w:tabs>
        <w:tab w:val="center" w:pos="4153"/>
        <w:tab w:val="right" w:pos="8306"/>
      </w:tabs>
      <w:jc w:val="center"/>
    </w:pPr>
    <w:rPr>
      <w:sz w:val="18"/>
      <w:szCs w:val="18"/>
    </w:rPr>
  </w:style>
  <w:style w:type="paragraph" w:styleId="20">
    <w:name w:val="toc 1"/>
    <w:basedOn w:val="1"/>
    <w:next w:val="1"/>
    <w:autoRedefine/>
    <w:unhideWhenUsed/>
    <w:qFormat/>
    <w:uiPriority w:val="39"/>
    <w:pPr>
      <w:kinsoku/>
      <w:autoSpaceDE/>
      <w:autoSpaceDN/>
      <w:adjustRightInd/>
      <w:snapToGrid/>
      <w:spacing w:after="100" w:line="276" w:lineRule="auto"/>
      <w:textAlignment w:val="auto"/>
    </w:pPr>
    <w:rPr>
      <w:rFonts w:asciiTheme="minorHAnsi" w:hAnsiTheme="minorHAnsi" w:eastAsiaTheme="minorEastAsia" w:cstheme="minorBidi"/>
      <w:snapToGrid/>
      <w:color w:val="auto"/>
      <w:sz w:val="22"/>
      <w:szCs w:val="22"/>
    </w:rPr>
  </w:style>
  <w:style w:type="paragraph" w:styleId="21">
    <w:name w:val="Subtitle"/>
    <w:basedOn w:val="1"/>
    <w:next w:val="1"/>
    <w:autoRedefine/>
    <w:qFormat/>
    <w:uiPriority w:val="0"/>
    <w:pPr>
      <w:spacing w:before="240" w:after="60" w:line="312" w:lineRule="auto"/>
      <w:jc w:val="center"/>
      <w:outlineLvl w:val="1"/>
    </w:pPr>
    <w:rPr>
      <w:rFonts w:ascii="Cambria" w:hAnsi="Cambria"/>
      <w:b/>
      <w:bCs/>
      <w:kern w:val="28"/>
      <w:sz w:val="32"/>
      <w:szCs w:val="32"/>
    </w:rPr>
  </w:style>
  <w:style w:type="paragraph" w:styleId="22">
    <w:name w:val="Body Text Indent 3"/>
    <w:basedOn w:val="1"/>
    <w:autoRedefine/>
    <w:qFormat/>
    <w:uiPriority w:val="0"/>
    <w:pPr>
      <w:tabs>
        <w:tab w:val="left" w:pos="0"/>
        <w:tab w:val="left" w:pos="1134"/>
      </w:tabs>
      <w:spacing w:line="360" w:lineRule="auto"/>
      <w:ind w:left="567"/>
      <w:textAlignment w:val="auto"/>
    </w:pPr>
    <w:rPr>
      <w:rFonts w:ascii="仿宋_GB2312" w:eastAsia="仿宋_GB2312"/>
      <w:sz w:val="28"/>
    </w:rPr>
  </w:style>
  <w:style w:type="paragraph" w:styleId="23">
    <w:name w:val="toc 2"/>
    <w:basedOn w:val="1"/>
    <w:next w:val="1"/>
    <w:autoRedefine/>
    <w:unhideWhenUsed/>
    <w:qFormat/>
    <w:uiPriority w:val="39"/>
    <w:pPr>
      <w:kinsoku/>
      <w:autoSpaceDE/>
      <w:autoSpaceDN/>
      <w:adjustRightInd/>
      <w:snapToGrid/>
      <w:spacing w:after="100" w:line="276" w:lineRule="auto"/>
      <w:ind w:left="220"/>
      <w:textAlignment w:val="auto"/>
    </w:pPr>
    <w:rPr>
      <w:rFonts w:asciiTheme="minorHAnsi" w:hAnsiTheme="minorHAnsi" w:eastAsiaTheme="minorEastAsia" w:cstheme="minorBidi"/>
      <w:snapToGrid/>
      <w:color w:val="auto"/>
      <w:sz w:val="22"/>
      <w:szCs w:val="22"/>
    </w:rPr>
  </w:style>
  <w:style w:type="paragraph" w:styleId="24">
    <w:name w:val="Normal (Web)"/>
    <w:basedOn w:val="1"/>
    <w:autoRedefine/>
    <w:qFormat/>
    <w:uiPriority w:val="0"/>
    <w:rPr>
      <w:rFonts w:cs="Times New Roman"/>
      <w:sz w:val="24"/>
    </w:rPr>
  </w:style>
  <w:style w:type="paragraph" w:styleId="25">
    <w:name w:val="Title"/>
    <w:basedOn w:val="1"/>
    <w:next w:val="1"/>
    <w:autoRedefine/>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6">
    <w:name w:val="annotation subject"/>
    <w:basedOn w:val="8"/>
    <w:next w:val="8"/>
    <w:link w:val="42"/>
    <w:autoRedefine/>
    <w:qFormat/>
    <w:uiPriority w:val="0"/>
    <w:rPr>
      <w:b/>
      <w:bCs/>
    </w:rPr>
  </w:style>
  <w:style w:type="table" w:styleId="28">
    <w:name w:val="Table Grid"/>
    <w:basedOn w:val="2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autoRedefine/>
    <w:qFormat/>
    <w:uiPriority w:val="0"/>
    <w:rPr>
      <w:b/>
      <w:bCs/>
    </w:rPr>
  </w:style>
  <w:style w:type="character" w:styleId="31">
    <w:name w:val="FollowedHyperlink"/>
    <w:basedOn w:val="29"/>
    <w:autoRedefine/>
    <w:qFormat/>
    <w:uiPriority w:val="0"/>
    <w:rPr>
      <w:color w:val="800080"/>
      <w:u w:val="none"/>
    </w:rPr>
  </w:style>
  <w:style w:type="character" w:styleId="32">
    <w:name w:val="Hyperlink"/>
    <w:basedOn w:val="29"/>
    <w:autoRedefine/>
    <w:qFormat/>
    <w:uiPriority w:val="0"/>
    <w:rPr>
      <w:color w:val="0000FF" w:themeColor="hyperlink"/>
      <w:u w:val="single"/>
      <w14:textFill>
        <w14:solidFill>
          <w14:schemeClr w14:val="hlink"/>
        </w14:solidFill>
      </w14:textFill>
    </w:rPr>
  </w:style>
  <w:style w:type="character" w:styleId="33">
    <w:name w:val="annotation reference"/>
    <w:basedOn w:val="29"/>
    <w:autoRedefine/>
    <w:qFormat/>
    <w:uiPriority w:val="0"/>
    <w:rPr>
      <w:sz w:val="21"/>
      <w:szCs w:val="21"/>
    </w:rPr>
  </w:style>
  <w:style w:type="paragraph" w:customStyle="1" w:styleId="34">
    <w:name w:val="Heading1"/>
    <w:basedOn w:val="1"/>
    <w:next w:val="1"/>
    <w:autoRedefine/>
    <w:qFormat/>
    <w:uiPriority w:val="0"/>
    <w:pPr>
      <w:keepNext/>
      <w:keepLines/>
      <w:spacing w:before="340" w:after="330" w:line="576" w:lineRule="auto"/>
    </w:pPr>
    <w:rPr>
      <w:b/>
      <w:bCs/>
      <w:kern w:val="44"/>
      <w:sz w:val="44"/>
      <w:szCs w:val="44"/>
    </w:rPr>
  </w:style>
  <w:style w:type="table" w:customStyle="1" w:styleId="35">
    <w:name w:val="Table Normal"/>
    <w:autoRedefine/>
    <w:semiHidden/>
    <w:unhideWhenUsed/>
    <w:qFormat/>
    <w:uiPriority w:val="0"/>
    <w:tblPr>
      <w:tblCellMar>
        <w:top w:w="0" w:type="dxa"/>
        <w:left w:w="0" w:type="dxa"/>
        <w:bottom w:w="0" w:type="dxa"/>
        <w:right w:w="0" w:type="dxa"/>
      </w:tblCellMar>
    </w:tblPr>
  </w:style>
  <w:style w:type="character" w:customStyle="1" w:styleId="36">
    <w:name w:val="页眉 字符"/>
    <w:basedOn w:val="29"/>
    <w:link w:val="19"/>
    <w:autoRedefine/>
    <w:qFormat/>
    <w:uiPriority w:val="0"/>
    <w:rPr>
      <w:rFonts w:ascii="Arial" w:hAnsi="Arial" w:eastAsia="Arial" w:cs="Arial"/>
      <w:snapToGrid w:val="0"/>
      <w:color w:val="000000"/>
      <w:sz w:val="18"/>
      <w:szCs w:val="18"/>
    </w:rPr>
  </w:style>
  <w:style w:type="character" w:customStyle="1" w:styleId="37">
    <w:name w:val="页脚 字符"/>
    <w:basedOn w:val="29"/>
    <w:link w:val="18"/>
    <w:autoRedefine/>
    <w:qFormat/>
    <w:uiPriority w:val="0"/>
    <w:rPr>
      <w:rFonts w:ascii="Arial" w:hAnsi="Arial" w:eastAsia="Arial" w:cs="Arial"/>
      <w:snapToGrid w:val="0"/>
      <w:color w:val="000000"/>
      <w:sz w:val="18"/>
      <w:szCs w:val="18"/>
    </w:rPr>
  </w:style>
  <w:style w:type="character" w:customStyle="1" w:styleId="38">
    <w:name w:val="批注框文本 字符"/>
    <w:basedOn w:val="29"/>
    <w:link w:val="17"/>
    <w:autoRedefine/>
    <w:qFormat/>
    <w:uiPriority w:val="0"/>
    <w:rPr>
      <w:rFonts w:ascii="Arial" w:hAnsi="Arial" w:eastAsia="Arial" w:cs="Arial"/>
      <w:snapToGrid w:val="0"/>
      <w:color w:val="000000"/>
      <w:sz w:val="18"/>
      <w:szCs w:val="18"/>
    </w:rPr>
  </w:style>
  <w:style w:type="character" w:customStyle="1" w:styleId="39">
    <w:name w:val="标题 1 字符"/>
    <w:basedOn w:val="29"/>
    <w:link w:val="4"/>
    <w:autoRedefine/>
    <w:qFormat/>
    <w:uiPriority w:val="0"/>
    <w:rPr>
      <w:rFonts w:ascii="Arial" w:hAnsi="Arial" w:eastAsia="Arial" w:cs="Arial"/>
      <w:b/>
      <w:bCs/>
      <w:snapToGrid w:val="0"/>
      <w:color w:val="000000"/>
      <w:kern w:val="44"/>
      <w:sz w:val="44"/>
      <w:szCs w:val="44"/>
    </w:rPr>
  </w:style>
  <w:style w:type="paragraph" w:customStyle="1" w:styleId="40">
    <w:name w:val="TOC 标题1"/>
    <w:basedOn w:val="4"/>
    <w:next w:val="1"/>
    <w:autoRedefine/>
    <w:semiHidden/>
    <w:unhideWhenUsed/>
    <w:qFormat/>
    <w:uiPriority w:val="39"/>
    <w:pPr>
      <w:kinsoku/>
      <w:autoSpaceDE/>
      <w:autoSpaceDN/>
      <w:adjustRightInd/>
      <w:snapToGrid/>
      <w:spacing w:before="480" w:after="0" w:line="276" w:lineRule="auto"/>
      <w:textAlignment w:val="auto"/>
      <w:outlineLvl w:val="9"/>
    </w:pPr>
    <w:rPr>
      <w:rFonts w:asciiTheme="majorHAnsi" w:hAnsiTheme="majorHAnsi" w:eastAsiaTheme="majorEastAsia" w:cstheme="majorBidi"/>
      <w:snapToGrid/>
      <w:color w:val="376092" w:themeColor="accent1" w:themeShade="BF"/>
      <w:kern w:val="0"/>
      <w:sz w:val="28"/>
      <w:szCs w:val="28"/>
    </w:rPr>
  </w:style>
  <w:style w:type="character" w:customStyle="1" w:styleId="41">
    <w:name w:val="批注文字 字符"/>
    <w:basedOn w:val="29"/>
    <w:link w:val="8"/>
    <w:autoRedefine/>
    <w:qFormat/>
    <w:uiPriority w:val="0"/>
    <w:rPr>
      <w:rFonts w:ascii="Arial" w:hAnsi="Arial" w:eastAsia="Arial" w:cs="Arial"/>
      <w:snapToGrid w:val="0"/>
      <w:color w:val="000000"/>
      <w:sz w:val="21"/>
      <w:szCs w:val="21"/>
    </w:rPr>
  </w:style>
  <w:style w:type="character" w:customStyle="1" w:styleId="42">
    <w:name w:val="批注主题 字符"/>
    <w:basedOn w:val="41"/>
    <w:link w:val="26"/>
    <w:autoRedefine/>
    <w:qFormat/>
    <w:uiPriority w:val="0"/>
    <w:rPr>
      <w:rFonts w:ascii="Arial" w:hAnsi="Arial" w:eastAsia="Arial" w:cs="Arial"/>
      <w:b/>
      <w:bCs/>
      <w:snapToGrid w:val="0"/>
      <w:color w:val="000000"/>
      <w:sz w:val="21"/>
      <w:szCs w:val="21"/>
    </w:rPr>
  </w:style>
  <w:style w:type="paragraph" w:customStyle="1" w:styleId="43">
    <w:name w:val="正文，首行缩进:"/>
    <w:basedOn w:val="1"/>
    <w:autoRedefine/>
    <w:qFormat/>
    <w:uiPriority w:val="0"/>
    <w:pPr>
      <w:spacing w:line="460" w:lineRule="exact"/>
      <w:ind w:firstLine="480" w:firstLineChars="200"/>
    </w:pPr>
    <w:rPr>
      <w:rFonts w:ascii="宋体" w:hAnsi="宋体" w:cs="宋体"/>
    </w:rPr>
  </w:style>
  <w:style w:type="paragraph" w:customStyle="1" w:styleId="44">
    <w:name w:val="Table Paragraph"/>
    <w:basedOn w:val="1"/>
    <w:autoRedefine/>
    <w:qFormat/>
    <w:uiPriority w:val="1"/>
    <w:pPr>
      <w:ind w:firstLine="126" w:firstLineChars="60"/>
    </w:pPr>
  </w:style>
  <w:style w:type="paragraph" w:styleId="45">
    <w:name w:val="List Paragraph"/>
    <w:basedOn w:val="1"/>
    <w:autoRedefine/>
    <w:qFormat/>
    <w:uiPriority w:val="0"/>
    <w:pPr>
      <w:spacing w:line="440" w:lineRule="exact"/>
      <w:ind w:firstLine="420" w:firstLineChars="200"/>
    </w:pPr>
    <w:rPr>
      <w:szCs w:val="20"/>
    </w:rPr>
  </w:style>
  <w:style w:type="paragraph" w:customStyle="1" w:styleId="46">
    <w:name w:val="正文1"/>
    <w:autoRedefine/>
    <w:qFormat/>
    <w:uiPriority w:val="0"/>
    <w:pPr>
      <w:jc w:val="both"/>
    </w:pPr>
    <w:rPr>
      <w:rFonts w:ascii="Calibri" w:hAnsi="Calibri" w:eastAsia="宋体" w:cs="Calibri"/>
      <w:kern w:val="2"/>
      <w:sz w:val="21"/>
      <w:szCs w:val="21"/>
      <w:lang w:val="en-US" w:eastAsia="zh-CN" w:bidi="ar-SA"/>
    </w:rPr>
  </w:style>
  <w:style w:type="paragraph" w:customStyle="1" w:styleId="47">
    <w:name w:val="修订1"/>
    <w:autoRedefine/>
    <w:hidden/>
    <w:unhideWhenUsed/>
    <w:qFormat/>
    <w:uiPriority w:val="99"/>
    <w:rPr>
      <w:rFonts w:ascii="Arial" w:hAnsi="Arial" w:eastAsia="Arial" w:cs="Arial"/>
      <w:snapToGrid w:val="0"/>
      <w:color w:val="000000"/>
      <w:sz w:val="21"/>
      <w:szCs w:val="21"/>
      <w:lang w:val="en-US" w:eastAsia="zh-CN" w:bidi="ar-SA"/>
    </w:rPr>
  </w:style>
  <w:style w:type="paragraph" w:customStyle="1" w:styleId="48">
    <w:name w:val="xb"/>
    <w:basedOn w:val="1"/>
    <w:autoRedefine/>
    <w:qFormat/>
    <w:uiPriority w:val="99"/>
    <w:pPr>
      <w:adjustRightInd/>
      <w:spacing w:before="30"/>
      <w:jc w:val="center"/>
    </w:pPr>
    <w:rPr>
      <w:rFonts w:ascii="方正书宋简体" w:hAnsi="宋体" w:eastAsia="方正书宋简体" w:cs="方正书宋简体"/>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133</Pages>
  <Words>84241</Words>
  <Characters>90025</Characters>
  <Lines>699</Lines>
  <Paragraphs>196</Paragraphs>
  <TotalTime>32</TotalTime>
  <ScaleCrop>false</ScaleCrop>
  <LinksUpToDate>false</LinksUpToDate>
  <CharactersWithSpaces>93204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2024-04-24T12:20:00Z</dcterms:created>
  <dc:creator>微软系统</dc:creator>
  <cp:lastModifiedBy>周晗</cp:lastModifiedBy>
  <cp:lastPrinted>2024-04-11T06:16:00Z</cp:lastPrinted>
  <dcterms:modified xsi:type="dcterms:W3CDTF">2024-06-14T07:31:27Z</dcterms:modified>
  <dc:title>（项目名称）         标段服务招标</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2052-12.1.0.16929</vt:lpwstr>
  </property>
  <property fmtid="{D5CDD505-2E9C-101B-9397-08002B2CF9AE}" pid="5" name="ICV">
    <vt:lpwstr>4CF43817093945539CF825E259BE05AB_13</vt:lpwstr>
  </property>
</Properties>
</file>