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8" w:beforeLines="20" w:after="48" w:afterLines="20" w:line="360" w:lineRule="auto"/>
        <w:jc w:val="center"/>
        <w:rPr>
          <w:rFonts w:hint="eastAsia" w:eastAsia="黑体"/>
          <w:color w:val="auto"/>
          <w:w w:val="90"/>
          <w:sz w:val="48"/>
          <w:szCs w:val="48"/>
          <w:highlight w:val="none"/>
          <w:lang w:val="en-US" w:eastAsia="zh-CN"/>
        </w:rPr>
      </w:pPr>
      <w:r>
        <w:rPr>
          <w:rFonts w:hint="eastAsia" w:eastAsia="黑体"/>
          <w:color w:val="auto"/>
          <w:w w:val="90"/>
          <w:sz w:val="48"/>
          <w:szCs w:val="48"/>
          <w:highlight w:val="none"/>
        </w:rPr>
        <w:t>二环路智慧快速化改造工程（柯诸高速至S211省道公路连接线）全过程工程咨询</w:t>
      </w:r>
      <w:r>
        <w:rPr>
          <w:rFonts w:hint="eastAsia" w:eastAsia="黑体"/>
          <w:color w:val="auto"/>
          <w:w w:val="90"/>
          <w:sz w:val="48"/>
          <w:szCs w:val="48"/>
          <w:highlight w:val="none"/>
          <w:lang w:val="en-US" w:eastAsia="zh-CN"/>
        </w:rPr>
        <w:t>服务</w:t>
      </w:r>
    </w:p>
    <w:p>
      <w:pPr>
        <w:pStyle w:val="14"/>
        <w:spacing w:line="360" w:lineRule="auto"/>
        <w:ind w:firstLine="3012" w:firstLineChars="1000"/>
        <w:jc w:val="both"/>
        <w:rPr>
          <w:rFonts w:hint="eastAsia" w:hAnsi="宋体"/>
          <w:b/>
          <w:bCs/>
          <w:color w:val="auto"/>
          <w:sz w:val="30"/>
          <w:szCs w:val="30"/>
          <w:highlight w:val="none"/>
          <w:lang w:val="en-US" w:eastAsia="zh-CN"/>
        </w:rPr>
      </w:pPr>
      <w:r>
        <w:rPr>
          <w:rFonts w:hint="eastAsia" w:hAnsi="宋体"/>
          <w:b/>
          <w:bCs/>
          <w:color w:val="auto"/>
          <w:sz w:val="30"/>
          <w:szCs w:val="30"/>
          <w:highlight w:val="none"/>
          <w:lang w:val="en-US" w:eastAsia="zh-CN"/>
        </w:rPr>
        <w:t>（诸全咨招-2023-2）</w:t>
      </w:r>
    </w:p>
    <w:p>
      <w:pPr>
        <w:spacing w:line="360" w:lineRule="auto"/>
        <w:jc w:val="center"/>
        <w:rPr>
          <w:rFonts w:ascii="宋体" w:hAnsi="宋体"/>
          <w:color w:val="auto"/>
          <w:sz w:val="32"/>
          <w:highlight w:val="none"/>
        </w:rPr>
      </w:pPr>
    </w:p>
    <w:p>
      <w:pPr>
        <w:spacing w:line="360" w:lineRule="auto"/>
        <w:jc w:val="center"/>
        <w:rPr>
          <w:rFonts w:ascii="宋体" w:hAnsi="宋体"/>
          <w:color w:val="auto"/>
          <w:sz w:val="32"/>
          <w:highlight w:val="none"/>
        </w:rPr>
      </w:pPr>
    </w:p>
    <w:p>
      <w:pPr>
        <w:spacing w:line="360" w:lineRule="auto"/>
        <w:jc w:val="center"/>
        <w:rPr>
          <w:rFonts w:ascii="宋体" w:hAnsi="宋体"/>
          <w:b/>
          <w:bCs/>
          <w:color w:val="auto"/>
          <w:sz w:val="84"/>
          <w:highlight w:val="none"/>
        </w:rPr>
      </w:pPr>
      <w:r>
        <w:rPr>
          <w:rFonts w:hint="eastAsia" w:ascii="宋体" w:hAnsi="宋体"/>
          <w:b/>
          <w:bCs/>
          <w:color w:val="auto"/>
          <w:sz w:val="84"/>
          <w:highlight w:val="none"/>
        </w:rPr>
        <w:t>招</w:t>
      </w:r>
    </w:p>
    <w:p>
      <w:pPr>
        <w:spacing w:line="360" w:lineRule="auto"/>
        <w:jc w:val="center"/>
        <w:rPr>
          <w:rFonts w:ascii="宋体" w:hAnsi="宋体"/>
          <w:b/>
          <w:bCs/>
          <w:color w:val="auto"/>
          <w:sz w:val="84"/>
          <w:highlight w:val="none"/>
        </w:rPr>
      </w:pPr>
      <w:r>
        <w:rPr>
          <w:rFonts w:hint="eastAsia" w:ascii="宋体" w:hAnsi="宋体"/>
          <w:b/>
          <w:bCs/>
          <w:color w:val="auto"/>
          <w:sz w:val="84"/>
          <w:highlight w:val="none"/>
        </w:rPr>
        <w:t>标</w:t>
      </w:r>
    </w:p>
    <w:p>
      <w:pPr>
        <w:spacing w:line="360" w:lineRule="auto"/>
        <w:jc w:val="center"/>
        <w:rPr>
          <w:rFonts w:ascii="宋体" w:hAnsi="宋体"/>
          <w:b/>
          <w:bCs/>
          <w:color w:val="auto"/>
          <w:sz w:val="84"/>
          <w:szCs w:val="22"/>
          <w:highlight w:val="none"/>
        </w:rPr>
      </w:pPr>
      <w:r>
        <w:rPr>
          <w:rFonts w:hint="eastAsia" w:ascii="宋体" w:hAnsi="宋体"/>
          <w:b/>
          <w:bCs/>
          <w:color w:val="auto"/>
          <w:sz w:val="84"/>
          <w:szCs w:val="22"/>
          <w:highlight w:val="none"/>
        </w:rPr>
        <w:t>文</w:t>
      </w:r>
    </w:p>
    <w:p>
      <w:pPr>
        <w:spacing w:line="360" w:lineRule="auto"/>
        <w:jc w:val="center"/>
        <w:rPr>
          <w:rFonts w:hint="eastAsia" w:ascii="宋体" w:hAnsi="宋体"/>
          <w:b/>
          <w:bCs/>
          <w:color w:val="auto"/>
          <w:sz w:val="84"/>
          <w:szCs w:val="22"/>
          <w:highlight w:val="none"/>
        </w:rPr>
      </w:pPr>
      <w:r>
        <w:rPr>
          <w:rFonts w:hint="eastAsia" w:ascii="宋体" w:hAnsi="宋体"/>
          <w:b/>
          <w:bCs/>
          <w:color w:val="auto"/>
          <w:sz w:val="84"/>
          <w:szCs w:val="22"/>
          <w:highlight w:val="none"/>
        </w:rPr>
        <w:t>件</w:t>
      </w:r>
    </w:p>
    <w:p>
      <w:pPr>
        <w:spacing w:line="240" w:lineRule="auto"/>
        <w:jc w:val="left"/>
        <w:rPr>
          <w:rFonts w:hint="eastAsia" w:ascii="宋体" w:hAnsi="宋体"/>
          <w:b/>
          <w:bCs/>
          <w:color w:val="auto"/>
          <w:sz w:val="84"/>
          <w:szCs w:val="22"/>
          <w:highlight w:val="none"/>
        </w:rPr>
      </w:pPr>
    </w:p>
    <w:tbl>
      <w:tblPr>
        <w:tblStyle w:val="26"/>
        <w:tblW w:w="9037" w:type="dxa"/>
        <w:jc w:val="center"/>
        <w:tblLayout w:type="fixed"/>
        <w:tblCellMar>
          <w:top w:w="0" w:type="dxa"/>
          <w:left w:w="28" w:type="dxa"/>
          <w:bottom w:w="0" w:type="dxa"/>
          <w:right w:w="28" w:type="dxa"/>
        </w:tblCellMar>
      </w:tblPr>
      <w:tblGrid>
        <w:gridCol w:w="2543"/>
        <w:gridCol w:w="6494"/>
      </w:tblGrid>
      <w:tr>
        <w:tblPrEx>
          <w:tblCellMar>
            <w:top w:w="0" w:type="dxa"/>
            <w:left w:w="28" w:type="dxa"/>
            <w:bottom w:w="0" w:type="dxa"/>
            <w:right w:w="28" w:type="dxa"/>
          </w:tblCellMar>
        </w:tblPrEx>
        <w:trPr>
          <w:trHeight w:val="786" w:hRule="atLeast"/>
          <w:jc w:val="center"/>
        </w:trPr>
        <w:tc>
          <w:tcPr>
            <w:tcW w:w="2543" w:type="dxa"/>
            <w:tcBorders>
              <w:top w:val="nil"/>
              <w:left w:val="nil"/>
              <w:bottom w:val="nil"/>
              <w:right w:val="nil"/>
            </w:tcBorders>
            <w:vAlign w:val="center"/>
          </w:tcPr>
          <w:p>
            <w:pPr>
              <w:pStyle w:val="10"/>
              <w:tabs>
                <w:tab w:val="left" w:pos="2593"/>
              </w:tabs>
              <w:kinsoku w:val="0"/>
              <w:spacing w:line="360" w:lineRule="auto"/>
              <w:jc w:val="distribute"/>
              <w:rPr>
                <w:b/>
                <w:bCs/>
                <w:color w:val="auto"/>
                <w:sz w:val="32"/>
                <w:szCs w:val="32"/>
                <w:highlight w:val="none"/>
              </w:rPr>
            </w:pPr>
            <w:r>
              <w:rPr>
                <w:rFonts w:hint="eastAsia"/>
                <w:b/>
                <w:bCs/>
                <w:color w:val="auto"/>
                <w:sz w:val="32"/>
                <w:szCs w:val="32"/>
                <w:highlight w:val="none"/>
              </w:rPr>
              <w:t>招 标 人：</w:t>
            </w:r>
          </w:p>
        </w:tc>
        <w:tc>
          <w:tcPr>
            <w:tcW w:w="6494" w:type="dxa"/>
            <w:tcBorders>
              <w:top w:val="nil"/>
              <w:left w:val="nil"/>
              <w:bottom w:val="nil"/>
              <w:right w:val="nil"/>
            </w:tcBorders>
            <w:vAlign w:val="center"/>
          </w:tcPr>
          <w:p>
            <w:pPr>
              <w:pStyle w:val="10"/>
              <w:tabs>
                <w:tab w:val="left" w:pos="2593"/>
              </w:tabs>
              <w:kinsoku w:val="0"/>
              <w:spacing w:line="360" w:lineRule="auto"/>
              <w:jc w:val="distribute"/>
              <w:rPr>
                <w:b/>
                <w:bCs/>
                <w:color w:val="auto"/>
                <w:sz w:val="32"/>
                <w:szCs w:val="32"/>
                <w:highlight w:val="none"/>
              </w:rPr>
            </w:pPr>
            <w:r>
              <w:rPr>
                <w:rFonts w:hint="eastAsia"/>
                <w:b/>
                <w:bCs/>
                <w:color w:val="auto"/>
                <w:sz w:val="32"/>
                <w:szCs w:val="32"/>
                <w:highlight w:val="none"/>
                <w:u w:val="single"/>
              </w:rPr>
              <w:t>诸暨市城乡投资集团有限公司</w:t>
            </w:r>
            <w:r>
              <w:rPr>
                <w:rFonts w:hint="eastAsia"/>
                <w:b/>
                <w:bCs/>
                <w:color w:val="auto"/>
                <w:sz w:val="32"/>
                <w:szCs w:val="32"/>
                <w:highlight w:val="none"/>
              </w:rPr>
              <w:t xml:space="preserve">（单位盖章）  </w:t>
            </w:r>
          </w:p>
        </w:tc>
      </w:tr>
      <w:tr>
        <w:tblPrEx>
          <w:tblCellMar>
            <w:top w:w="0" w:type="dxa"/>
            <w:left w:w="28" w:type="dxa"/>
            <w:bottom w:w="0" w:type="dxa"/>
            <w:right w:w="28" w:type="dxa"/>
          </w:tblCellMar>
        </w:tblPrEx>
        <w:trPr>
          <w:trHeight w:val="786" w:hRule="atLeast"/>
          <w:jc w:val="center"/>
        </w:trPr>
        <w:tc>
          <w:tcPr>
            <w:tcW w:w="2543" w:type="dxa"/>
            <w:tcBorders>
              <w:top w:val="nil"/>
              <w:left w:val="nil"/>
              <w:bottom w:val="nil"/>
              <w:right w:val="nil"/>
            </w:tcBorders>
            <w:vAlign w:val="center"/>
          </w:tcPr>
          <w:p>
            <w:pPr>
              <w:pStyle w:val="10"/>
              <w:tabs>
                <w:tab w:val="left" w:pos="2593"/>
              </w:tabs>
              <w:kinsoku w:val="0"/>
              <w:spacing w:line="360" w:lineRule="auto"/>
              <w:jc w:val="distribute"/>
              <w:rPr>
                <w:b/>
                <w:bCs/>
                <w:color w:val="auto"/>
                <w:sz w:val="32"/>
                <w:szCs w:val="32"/>
                <w:highlight w:val="none"/>
              </w:rPr>
            </w:pPr>
            <w:r>
              <w:rPr>
                <w:rFonts w:hint="eastAsia"/>
                <w:b/>
                <w:bCs/>
                <w:color w:val="auto"/>
                <w:sz w:val="32"/>
                <w:szCs w:val="32"/>
                <w:highlight w:val="none"/>
              </w:rPr>
              <w:t>招标代理机构：</w:t>
            </w:r>
          </w:p>
        </w:tc>
        <w:tc>
          <w:tcPr>
            <w:tcW w:w="6494" w:type="dxa"/>
            <w:tcBorders>
              <w:top w:val="nil"/>
              <w:left w:val="nil"/>
              <w:bottom w:val="nil"/>
              <w:right w:val="nil"/>
            </w:tcBorders>
            <w:vAlign w:val="center"/>
          </w:tcPr>
          <w:p>
            <w:pPr>
              <w:pStyle w:val="10"/>
              <w:tabs>
                <w:tab w:val="left" w:pos="2593"/>
              </w:tabs>
              <w:kinsoku w:val="0"/>
              <w:spacing w:line="360" w:lineRule="auto"/>
              <w:jc w:val="distribute"/>
              <w:rPr>
                <w:b/>
                <w:bCs/>
                <w:color w:val="auto"/>
                <w:sz w:val="32"/>
                <w:szCs w:val="32"/>
                <w:highlight w:val="none"/>
              </w:rPr>
            </w:pPr>
            <w:r>
              <w:rPr>
                <w:rFonts w:hint="eastAsia"/>
                <w:b/>
                <w:bCs/>
                <w:color w:val="auto"/>
                <w:sz w:val="32"/>
                <w:szCs w:val="32"/>
                <w:highlight w:val="none"/>
                <w:u w:val="single"/>
              </w:rPr>
              <w:t>浙江远大工程咨询有限公司</w:t>
            </w:r>
            <w:r>
              <w:rPr>
                <w:rFonts w:hint="eastAsia"/>
                <w:b/>
                <w:bCs/>
                <w:color w:val="auto"/>
                <w:sz w:val="32"/>
                <w:szCs w:val="32"/>
                <w:highlight w:val="none"/>
              </w:rPr>
              <w:t>（单位盖章）</w:t>
            </w:r>
          </w:p>
        </w:tc>
      </w:tr>
      <w:tr>
        <w:tblPrEx>
          <w:tblCellMar>
            <w:top w:w="0" w:type="dxa"/>
            <w:left w:w="28" w:type="dxa"/>
            <w:bottom w:w="0" w:type="dxa"/>
            <w:right w:w="28" w:type="dxa"/>
          </w:tblCellMar>
        </w:tblPrEx>
        <w:trPr>
          <w:trHeight w:val="786" w:hRule="atLeast"/>
          <w:jc w:val="center"/>
        </w:trPr>
        <w:tc>
          <w:tcPr>
            <w:tcW w:w="9037" w:type="dxa"/>
            <w:gridSpan w:val="2"/>
            <w:tcBorders>
              <w:top w:val="nil"/>
              <w:left w:val="nil"/>
              <w:bottom w:val="nil"/>
              <w:right w:val="nil"/>
            </w:tcBorders>
            <w:vAlign w:val="center"/>
          </w:tcPr>
          <w:p>
            <w:pPr>
              <w:jc w:val="center"/>
              <w:rPr>
                <w:rFonts w:ascii="宋体" w:hAnsi="宋体" w:cs="宋体"/>
                <w:b/>
                <w:bCs/>
                <w:color w:val="auto"/>
                <w:sz w:val="32"/>
                <w:szCs w:val="32"/>
                <w:highlight w:val="none"/>
              </w:rPr>
            </w:pPr>
            <w:r>
              <w:rPr>
                <w:rFonts w:hint="eastAsia"/>
                <w:b/>
                <w:bCs/>
                <w:color w:val="auto"/>
                <w:sz w:val="32"/>
                <w:szCs w:val="32"/>
                <w:highlight w:val="none"/>
                <w:u w:val="single"/>
              </w:rPr>
              <w:t>二○二三年</w:t>
            </w:r>
            <w:r>
              <w:rPr>
                <w:rFonts w:hint="eastAsia"/>
                <w:b/>
                <w:bCs/>
                <w:color w:val="auto"/>
                <w:sz w:val="32"/>
                <w:szCs w:val="32"/>
                <w:highlight w:val="none"/>
                <w:u w:val="single"/>
                <w:lang w:val="en-US" w:eastAsia="zh-CN"/>
              </w:rPr>
              <w:t>十一</w:t>
            </w:r>
            <w:r>
              <w:rPr>
                <w:rFonts w:hint="eastAsia"/>
                <w:b/>
                <w:bCs/>
                <w:color w:val="auto"/>
                <w:sz w:val="32"/>
                <w:szCs w:val="32"/>
                <w:highlight w:val="none"/>
                <w:u w:val="single"/>
              </w:rPr>
              <w:t>月</w:t>
            </w:r>
            <w:r>
              <w:rPr>
                <w:rFonts w:hint="eastAsia"/>
                <w:b/>
                <w:bCs/>
                <w:color w:val="auto"/>
                <w:sz w:val="32"/>
                <w:szCs w:val="32"/>
                <w:highlight w:val="none"/>
                <w:u w:val="single"/>
                <w:lang w:val="en-US" w:eastAsia="zh-CN"/>
              </w:rPr>
              <w:t>二十一</w:t>
            </w:r>
            <w:r>
              <w:rPr>
                <w:rFonts w:hint="eastAsia"/>
                <w:b/>
                <w:bCs/>
                <w:color w:val="auto"/>
                <w:sz w:val="32"/>
                <w:szCs w:val="32"/>
                <w:highlight w:val="none"/>
                <w:u w:val="single"/>
              </w:rPr>
              <w:t>日</w:t>
            </w:r>
          </w:p>
        </w:tc>
      </w:tr>
    </w:tbl>
    <w:p>
      <w:pPr>
        <w:rPr>
          <w:color w:val="auto"/>
          <w:highlight w:val="none"/>
        </w:rPr>
      </w:pPr>
      <w:r>
        <w:rPr>
          <w:color w:val="auto"/>
          <w:highlight w:val="none"/>
        </w:rPr>
        <w:br w:type="page"/>
      </w:r>
    </w:p>
    <w:p>
      <w:pPr>
        <w:spacing w:line="360" w:lineRule="auto"/>
        <w:jc w:val="center"/>
        <w:rPr>
          <w:b/>
          <w:color w:val="auto"/>
          <w:sz w:val="32"/>
          <w:szCs w:val="32"/>
          <w:highlight w:val="none"/>
        </w:rPr>
      </w:pPr>
      <w:r>
        <w:rPr>
          <w:rFonts w:hint="eastAsia"/>
          <w:b/>
          <w:color w:val="auto"/>
          <w:sz w:val="32"/>
          <w:szCs w:val="32"/>
          <w:highlight w:val="none"/>
        </w:rPr>
        <w:t>目 录</w:t>
      </w:r>
    </w:p>
    <w:p>
      <w:pPr>
        <w:pStyle w:val="18"/>
        <w:tabs>
          <w:tab w:val="right" w:leader="dot" w:pos="9070"/>
        </w:tabs>
        <w:rPr>
          <w:color w:val="auto"/>
          <w:highlight w:val="none"/>
        </w:rPr>
      </w:pPr>
      <w:r>
        <w:rPr>
          <w:rFonts w:ascii="宋体" w:hAnsi="宋体"/>
          <w:b w:val="0"/>
          <w:color w:val="auto"/>
          <w:szCs w:val="24"/>
          <w:highlight w:val="none"/>
        </w:rPr>
        <w:fldChar w:fldCharType="begin"/>
      </w:r>
      <w:r>
        <w:rPr>
          <w:rFonts w:ascii="宋体" w:hAnsi="宋体"/>
          <w:b w:val="0"/>
          <w:color w:val="auto"/>
          <w:szCs w:val="24"/>
          <w:highlight w:val="none"/>
        </w:rPr>
        <w:instrText xml:space="preserve"> TOC \o "1-3" \h \z \u </w:instrText>
      </w:r>
      <w:r>
        <w:rPr>
          <w:rFonts w:ascii="宋体" w:hAnsi="宋体"/>
          <w:b w:val="0"/>
          <w:color w:val="auto"/>
          <w:szCs w:val="24"/>
          <w:highlight w:val="none"/>
        </w:rPr>
        <w:fldChar w:fldCharType="separate"/>
      </w:r>
      <w:r>
        <w:rPr>
          <w:rFonts w:ascii="宋体" w:hAnsi="宋体"/>
          <w:color w:val="auto"/>
          <w:szCs w:val="24"/>
          <w:highlight w:val="none"/>
        </w:rPr>
        <w:fldChar w:fldCharType="begin"/>
      </w:r>
      <w:r>
        <w:rPr>
          <w:rFonts w:ascii="宋体" w:hAnsi="宋体"/>
          <w:color w:val="auto"/>
          <w:szCs w:val="24"/>
          <w:highlight w:val="none"/>
        </w:rPr>
        <w:instrText xml:space="preserve"> HYPERLINK \l _Toc1679 </w:instrText>
      </w:r>
      <w:r>
        <w:rPr>
          <w:rFonts w:ascii="宋体" w:hAnsi="宋体"/>
          <w:color w:val="auto"/>
          <w:szCs w:val="24"/>
          <w:highlight w:val="none"/>
        </w:rPr>
        <w:fldChar w:fldCharType="separate"/>
      </w:r>
      <w:r>
        <w:rPr>
          <w:rFonts w:hint="eastAsia" w:ascii="宋体" w:hAnsi="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_Toc1679 \h </w:instrText>
      </w:r>
      <w:r>
        <w:rPr>
          <w:color w:val="auto"/>
          <w:highlight w:val="none"/>
        </w:rPr>
        <w:fldChar w:fldCharType="separate"/>
      </w:r>
      <w:r>
        <w:rPr>
          <w:color w:val="auto"/>
          <w:highlight w:val="none"/>
        </w:rPr>
        <w:t>3</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_Toc13341 </w:instrText>
      </w:r>
      <w:r>
        <w:rPr>
          <w:rFonts w:ascii="宋体" w:hAnsi="宋体"/>
          <w:color w:val="auto"/>
          <w:szCs w:val="24"/>
          <w:highlight w:val="none"/>
        </w:rPr>
        <w:fldChar w:fldCharType="separate"/>
      </w:r>
      <w:r>
        <w:rPr>
          <w:rFonts w:hint="eastAsia" w:ascii="宋体" w:hAnsi="宋体"/>
          <w:color w:val="auto"/>
          <w:highlight w:val="none"/>
        </w:rPr>
        <w:t>第二章投标人须知</w:t>
      </w:r>
      <w:r>
        <w:rPr>
          <w:color w:val="auto"/>
          <w:highlight w:val="none"/>
        </w:rPr>
        <w:tab/>
      </w:r>
      <w:r>
        <w:rPr>
          <w:color w:val="auto"/>
          <w:highlight w:val="none"/>
        </w:rPr>
        <w:fldChar w:fldCharType="begin"/>
      </w:r>
      <w:r>
        <w:rPr>
          <w:color w:val="auto"/>
          <w:highlight w:val="none"/>
        </w:rPr>
        <w:instrText xml:space="preserve"> PAGEREF _Toc13341 \h </w:instrText>
      </w:r>
      <w:r>
        <w:rPr>
          <w:color w:val="auto"/>
          <w:highlight w:val="none"/>
        </w:rPr>
        <w:fldChar w:fldCharType="separate"/>
      </w:r>
      <w:r>
        <w:rPr>
          <w:color w:val="auto"/>
          <w:highlight w:val="none"/>
        </w:rPr>
        <w:t>8</w:t>
      </w:r>
      <w:r>
        <w:rPr>
          <w:color w:val="auto"/>
          <w:highlight w:val="none"/>
        </w:rPr>
        <w:fldChar w:fldCharType="end"/>
      </w:r>
      <w:r>
        <w:rPr>
          <w:rFonts w:ascii="宋体" w:hAnsi="宋体"/>
          <w:color w:val="auto"/>
          <w:szCs w:val="24"/>
          <w:highlight w:val="none"/>
        </w:rPr>
        <w:fldChar w:fldCharType="end"/>
      </w:r>
    </w:p>
    <w:p>
      <w:pPr>
        <w:pStyle w:val="22"/>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_Toc10518 </w:instrText>
      </w:r>
      <w:r>
        <w:rPr>
          <w:rFonts w:ascii="宋体" w:hAnsi="宋体"/>
          <w:color w:val="auto"/>
          <w:szCs w:val="24"/>
          <w:highlight w:val="none"/>
        </w:rPr>
        <w:fldChar w:fldCharType="separate"/>
      </w:r>
      <w:r>
        <w:rPr>
          <w:rFonts w:hint="eastAsia" w:eastAsia="宋体" w:cs="Times New Roman"/>
          <w:i w:val="0"/>
          <w:iCs w:val="0"/>
          <w:caps w:val="0"/>
          <w:smallCaps w:val="0"/>
          <w:strike w:val="0"/>
          <w:dstrike w:val="0"/>
          <w:vanish w:val="0"/>
          <w:color w:val="auto"/>
          <w:spacing w:val="0"/>
          <w:kern w:val="0"/>
          <w:position w:val="0"/>
          <w:highlight w:val="none"/>
          <w:vertAlign w:val="baseline"/>
        </w:rPr>
        <w:t xml:space="preserve">第1节 </w:t>
      </w:r>
      <w:r>
        <w:rPr>
          <w:rFonts w:hint="eastAsia"/>
          <w:color w:val="auto"/>
          <w:highlight w:val="none"/>
        </w:rPr>
        <w:t>前附表</w:t>
      </w:r>
      <w:r>
        <w:rPr>
          <w:color w:val="auto"/>
          <w:highlight w:val="none"/>
        </w:rPr>
        <w:tab/>
      </w:r>
      <w:r>
        <w:rPr>
          <w:color w:val="auto"/>
          <w:highlight w:val="none"/>
        </w:rPr>
        <w:fldChar w:fldCharType="begin"/>
      </w:r>
      <w:r>
        <w:rPr>
          <w:color w:val="auto"/>
          <w:highlight w:val="none"/>
        </w:rPr>
        <w:instrText xml:space="preserve"> PAGEREF _Toc10518 \h </w:instrText>
      </w:r>
      <w:r>
        <w:rPr>
          <w:color w:val="auto"/>
          <w:highlight w:val="none"/>
        </w:rPr>
        <w:fldChar w:fldCharType="separate"/>
      </w:r>
      <w:r>
        <w:rPr>
          <w:color w:val="auto"/>
          <w:highlight w:val="none"/>
        </w:rPr>
        <w:t>8</w:t>
      </w:r>
      <w:r>
        <w:rPr>
          <w:color w:val="auto"/>
          <w:highlight w:val="none"/>
        </w:rPr>
        <w:fldChar w:fldCharType="end"/>
      </w:r>
      <w:r>
        <w:rPr>
          <w:rFonts w:ascii="宋体" w:hAnsi="宋体"/>
          <w:color w:val="auto"/>
          <w:szCs w:val="24"/>
          <w:highlight w:val="none"/>
        </w:rPr>
        <w:fldChar w:fldCharType="end"/>
      </w:r>
    </w:p>
    <w:p>
      <w:pPr>
        <w:pStyle w:val="22"/>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_Toc17522 </w:instrText>
      </w:r>
      <w:r>
        <w:rPr>
          <w:rFonts w:ascii="宋体" w:hAnsi="宋体"/>
          <w:color w:val="auto"/>
          <w:szCs w:val="24"/>
          <w:highlight w:val="none"/>
        </w:rPr>
        <w:fldChar w:fldCharType="separate"/>
      </w:r>
      <w:r>
        <w:rPr>
          <w:rFonts w:hint="eastAsia" w:eastAsia="宋体" w:cs="Times New Roman"/>
          <w:i w:val="0"/>
          <w:iCs w:val="0"/>
          <w:caps w:val="0"/>
          <w:smallCaps w:val="0"/>
          <w:strike w:val="0"/>
          <w:dstrike w:val="0"/>
          <w:vanish w:val="0"/>
          <w:color w:val="auto"/>
          <w:spacing w:val="0"/>
          <w:kern w:val="0"/>
          <w:position w:val="0"/>
          <w:highlight w:val="none"/>
          <w:vertAlign w:val="baseline"/>
        </w:rPr>
        <w:t xml:space="preserve">第2节 </w:t>
      </w:r>
      <w:r>
        <w:rPr>
          <w:rFonts w:hint="eastAsia"/>
          <w:color w:val="auto"/>
          <w:highlight w:val="none"/>
        </w:rPr>
        <w:t>投标须知</w:t>
      </w:r>
      <w:r>
        <w:rPr>
          <w:color w:val="auto"/>
          <w:highlight w:val="none"/>
        </w:rPr>
        <w:tab/>
      </w:r>
      <w:r>
        <w:rPr>
          <w:color w:val="auto"/>
          <w:highlight w:val="none"/>
        </w:rPr>
        <w:fldChar w:fldCharType="begin"/>
      </w:r>
      <w:r>
        <w:rPr>
          <w:color w:val="auto"/>
          <w:highlight w:val="none"/>
        </w:rPr>
        <w:instrText xml:space="preserve"> PAGEREF _Toc17522 \h </w:instrText>
      </w:r>
      <w:r>
        <w:rPr>
          <w:color w:val="auto"/>
          <w:highlight w:val="none"/>
        </w:rPr>
        <w:fldChar w:fldCharType="separate"/>
      </w:r>
      <w:r>
        <w:rPr>
          <w:color w:val="auto"/>
          <w:highlight w:val="none"/>
        </w:rPr>
        <w:t>13</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_Toc27128 </w:instrText>
      </w:r>
      <w:r>
        <w:rPr>
          <w:rFonts w:ascii="宋体" w:hAnsi="宋体"/>
          <w:color w:val="auto"/>
          <w:szCs w:val="24"/>
          <w:highlight w:val="none"/>
        </w:rPr>
        <w:fldChar w:fldCharType="separate"/>
      </w:r>
      <w:r>
        <w:rPr>
          <w:rFonts w:hint="eastAsia"/>
          <w:color w:val="auto"/>
          <w:highlight w:val="none"/>
        </w:rPr>
        <w:t xml:space="preserve">(一) </w:t>
      </w:r>
      <w:r>
        <w:rPr>
          <w:rFonts w:hint="eastAsia"/>
          <w:color w:val="auto"/>
          <w:highlight w:val="none"/>
        </w:rPr>
        <w:t>总则</w:t>
      </w:r>
      <w:r>
        <w:rPr>
          <w:color w:val="auto"/>
          <w:highlight w:val="none"/>
        </w:rPr>
        <w:tab/>
      </w:r>
      <w:r>
        <w:rPr>
          <w:color w:val="auto"/>
          <w:highlight w:val="none"/>
        </w:rPr>
        <w:fldChar w:fldCharType="begin"/>
      </w:r>
      <w:r>
        <w:rPr>
          <w:color w:val="auto"/>
          <w:highlight w:val="none"/>
        </w:rPr>
        <w:instrText xml:space="preserve"> PAGEREF _Toc27128 \h </w:instrText>
      </w:r>
      <w:r>
        <w:rPr>
          <w:color w:val="auto"/>
          <w:highlight w:val="none"/>
        </w:rPr>
        <w:fldChar w:fldCharType="separate"/>
      </w:r>
      <w:r>
        <w:rPr>
          <w:color w:val="auto"/>
          <w:highlight w:val="none"/>
        </w:rPr>
        <w:t>13</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_Toc8004 </w:instrText>
      </w:r>
      <w:r>
        <w:rPr>
          <w:rFonts w:ascii="宋体" w:hAnsi="宋体"/>
          <w:color w:val="auto"/>
          <w:szCs w:val="24"/>
          <w:highlight w:val="none"/>
        </w:rPr>
        <w:fldChar w:fldCharType="separate"/>
      </w:r>
      <w:r>
        <w:rPr>
          <w:rFonts w:hint="eastAsia"/>
          <w:color w:val="auto"/>
          <w:highlight w:val="none"/>
        </w:rPr>
        <w:t xml:space="preserve">(二) </w:t>
      </w:r>
      <w:r>
        <w:rPr>
          <w:rFonts w:hint="eastAsia"/>
          <w:color w:val="auto"/>
          <w:highlight w:val="none"/>
        </w:rPr>
        <w:t>招标文件</w:t>
      </w:r>
      <w:r>
        <w:rPr>
          <w:color w:val="auto"/>
          <w:highlight w:val="none"/>
        </w:rPr>
        <w:tab/>
      </w:r>
      <w:r>
        <w:rPr>
          <w:color w:val="auto"/>
          <w:highlight w:val="none"/>
        </w:rPr>
        <w:fldChar w:fldCharType="begin"/>
      </w:r>
      <w:r>
        <w:rPr>
          <w:color w:val="auto"/>
          <w:highlight w:val="none"/>
        </w:rPr>
        <w:instrText xml:space="preserve"> PAGEREF _Toc8004 \h </w:instrText>
      </w:r>
      <w:r>
        <w:rPr>
          <w:color w:val="auto"/>
          <w:highlight w:val="none"/>
        </w:rPr>
        <w:fldChar w:fldCharType="separate"/>
      </w:r>
      <w:r>
        <w:rPr>
          <w:color w:val="auto"/>
          <w:highlight w:val="none"/>
        </w:rPr>
        <w:t>13</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_Toc10168 </w:instrText>
      </w:r>
      <w:r>
        <w:rPr>
          <w:rFonts w:ascii="宋体" w:hAnsi="宋体"/>
          <w:color w:val="auto"/>
          <w:szCs w:val="24"/>
          <w:highlight w:val="none"/>
        </w:rPr>
        <w:fldChar w:fldCharType="separate"/>
      </w:r>
      <w:r>
        <w:rPr>
          <w:rFonts w:hint="eastAsia"/>
          <w:color w:val="auto"/>
          <w:highlight w:val="none"/>
        </w:rPr>
        <w:t xml:space="preserve">(三) </w:t>
      </w:r>
      <w:r>
        <w:rPr>
          <w:rFonts w:hint="eastAsia"/>
          <w:color w:val="auto"/>
          <w:highlight w:val="none"/>
        </w:rPr>
        <w:t>投标文件的编制</w:t>
      </w:r>
      <w:r>
        <w:rPr>
          <w:color w:val="auto"/>
          <w:highlight w:val="none"/>
        </w:rPr>
        <w:tab/>
      </w:r>
      <w:r>
        <w:rPr>
          <w:color w:val="auto"/>
          <w:highlight w:val="none"/>
        </w:rPr>
        <w:fldChar w:fldCharType="begin"/>
      </w:r>
      <w:r>
        <w:rPr>
          <w:color w:val="auto"/>
          <w:highlight w:val="none"/>
        </w:rPr>
        <w:instrText xml:space="preserve"> PAGEREF _Toc10168 \h </w:instrText>
      </w:r>
      <w:r>
        <w:rPr>
          <w:color w:val="auto"/>
          <w:highlight w:val="none"/>
        </w:rPr>
        <w:fldChar w:fldCharType="separate"/>
      </w:r>
      <w:r>
        <w:rPr>
          <w:color w:val="auto"/>
          <w:highlight w:val="none"/>
        </w:rPr>
        <w:t>14</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_Toc1928 </w:instrText>
      </w:r>
      <w:r>
        <w:rPr>
          <w:rFonts w:ascii="宋体" w:hAnsi="宋体"/>
          <w:color w:val="auto"/>
          <w:szCs w:val="24"/>
          <w:highlight w:val="none"/>
        </w:rPr>
        <w:fldChar w:fldCharType="separate"/>
      </w:r>
      <w:r>
        <w:rPr>
          <w:rFonts w:hint="eastAsia"/>
          <w:color w:val="auto"/>
          <w:highlight w:val="none"/>
        </w:rPr>
        <w:t xml:space="preserve">(四) </w:t>
      </w:r>
      <w:r>
        <w:rPr>
          <w:rFonts w:hint="eastAsia"/>
          <w:color w:val="auto"/>
          <w:highlight w:val="none"/>
        </w:rPr>
        <w:t>投标文件的提交</w:t>
      </w:r>
      <w:r>
        <w:rPr>
          <w:color w:val="auto"/>
          <w:highlight w:val="none"/>
        </w:rPr>
        <w:tab/>
      </w:r>
      <w:r>
        <w:rPr>
          <w:color w:val="auto"/>
          <w:highlight w:val="none"/>
        </w:rPr>
        <w:fldChar w:fldCharType="begin"/>
      </w:r>
      <w:r>
        <w:rPr>
          <w:color w:val="auto"/>
          <w:highlight w:val="none"/>
        </w:rPr>
        <w:instrText xml:space="preserve"> PAGEREF _Toc1928 \h </w:instrText>
      </w:r>
      <w:r>
        <w:rPr>
          <w:color w:val="auto"/>
          <w:highlight w:val="none"/>
        </w:rPr>
        <w:fldChar w:fldCharType="separate"/>
      </w:r>
      <w:r>
        <w:rPr>
          <w:color w:val="auto"/>
          <w:highlight w:val="none"/>
        </w:rPr>
        <w:t>17</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_Toc26116 </w:instrText>
      </w:r>
      <w:r>
        <w:rPr>
          <w:rFonts w:ascii="宋体" w:hAnsi="宋体"/>
          <w:color w:val="auto"/>
          <w:szCs w:val="24"/>
          <w:highlight w:val="none"/>
        </w:rPr>
        <w:fldChar w:fldCharType="separate"/>
      </w:r>
      <w:r>
        <w:rPr>
          <w:rFonts w:hint="eastAsia"/>
          <w:color w:val="auto"/>
          <w:highlight w:val="none"/>
        </w:rPr>
        <w:t xml:space="preserve">(五) </w:t>
      </w:r>
      <w:r>
        <w:rPr>
          <w:rFonts w:hint="eastAsia"/>
          <w:color w:val="auto"/>
          <w:highlight w:val="none"/>
        </w:rPr>
        <w:t>开标</w:t>
      </w:r>
      <w:r>
        <w:rPr>
          <w:color w:val="auto"/>
          <w:highlight w:val="none"/>
        </w:rPr>
        <w:tab/>
      </w:r>
      <w:r>
        <w:rPr>
          <w:color w:val="auto"/>
          <w:highlight w:val="none"/>
        </w:rPr>
        <w:fldChar w:fldCharType="begin"/>
      </w:r>
      <w:r>
        <w:rPr>
          <w:color w:val="auto"/>
          <w:highlight w:val="none"/>
        </w:rPr>
        <w:instrText xml:space="preserve"> PAGEREF _Toc26116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_Toc21624 </w:instrText>
      </w:r>
      <w:r>
        <w:rPr>
          <w:rFonts w:ascii="宋体" w:hAnsi="宋体"/>
          <w:color w:val="auto"/>
          <w:szCs w:val="24"/>
          <w:highlight w:val="none"/>
        </w:rPr>
        <w:fldChar w:fldCharType="separate"/>
      </w:r>
      <w:r>
        <w:rPr>
          <w:rFonts w:hint="eastAsia"/>
          <w:color w:val="auto"/>
          <w:highlight w:val="none"/>
        </w:rPr>
        <w:t xml:space="preserve">(六) </w:t>
      </w:r>
      <w:r>
        <w:rPr>
          <w:rFonts w:hint="eastAsia"/>
          <w:color w:val="auto"/>
          <w:highlight w:val="none"/>
        </w:rPr>
        <w:t>评标</w:t>
      </w:r>
      <w:r>
        <w:rPr>
          <w:color w:val="auto"/>
          <w:highlight w:val="none"/>
        </w:rPr>
        <w:tab/>
      </w:r>
      <w:r>
        <w:rPr>
          <w:color w:val="auto"/>
          <w:highlight w:val="none"/>
        </w:rPr>
        <w:fldChar w:fldCharType="begin"/>
      </w:r>
      <w:r>
        <w:rPr>
          <w:color w:val="auto"/>
          <w:highlight w:val="none"/>
        </w:rPr>
        <w:instrText xml:space="preserve"> PAGEREF _Toc21624 \h </w:instrText>
      </w:r>
      <w:r>
        <w:rPr>
          <w:color w:val="auto"/>
          <w:highlight w:val="none"/>
        </w:rPr>
        <w:fldChar w:fldCharType="separate"/>
      </w:r>
      <w:r>
        <w:rPr>
          <w:color w:val="auto"/>
          <w:highlight w:val="none"/>
        </w:rPr>
        <w:t>19</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_Toc8274 </w:instrText>
      </w:r>
      <w:r>
        <w:rPr>
          <w:rFonts w:ascii="宋体" w:hAnsi="宋体"/>
          <w:color w:val="auto"/>
          <w:szCs w:val="24"/>
          <w:highlight w:val="none"/>
        </w:rPr>
        <w:fldChar w:fldCharType="separate"/>
      </w:r>
      <w:r>
        <w:rPr>
          <w:rFonts w:hint="eastAsia"/>
          <w:color w:val="auto"/>
          <w:highlight w:val="none"/>
        </w:rPr>
        <w:t xml:space="preserve">(七) </w:t>
      </w:r>
      <w:r>
        <w:rPr>
          <w:rFonts w:hint="eastAsia"/>
          <w:color w:val="auto"/>
          <w:highlight w:val="none"/>
          <w:lang w:val="en-US" w:eastAsia="zh-CN"/>
        </w:rPr>
        <w:t>推荐</w:t>
      </w:r>
      <w:r>
        <w:rPr>
          <w:rFonts w:hint="eastAsia"/>
          <w:color w:val="auto"/>
          <w:highlight w:val="none"/>
        </w:rPr>
        <w:t>中标候选人名单</w:t>
      </w:r>
      <w:r>
        <w:rPr>
          <w:color w:val="auto"/>
          <w:highlight w:val="none"/>
        </w:rPr>
        <w:tab/>
      </w:r>
      <w:r>
        <w:rPr>
          <w:color w:val="auto"/>
          <w:highlight w:val="none"/>
        </w:rPr>
        <w:fldChar w:fldCharType="begin"/>
      </w:r>
      <w:r>
        <w:rPr>
          <w:color w:val="auto"/>
          <w:highlight w:val="none"/>
        </w:rPr>
        <w:instrText xml:space="preserve"> PAGEREF _Toc8274 \h </w:instrText>
      </w:r>
      <w:r>
        <w:rPr>
          <w:color w:val="auto"/>
          <w:highlight w:val="none"/>
        </w:rPr>
        <w:fldChar w:fldCharType="separate"/>
      </w:r>
      <w:r>
        <w:rPr>
          <w:color w:val="auto"/>
          <w:highlight w:val="none"/>
        </w:rPr>
        <w:t>20</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_Toc6226 </w:instrText>
      </w:r>
      <w:r>
        <w:rPr>
          <w:rFonts w:ascii="宋体" w:hAnsi="宋体"/>
          <w:color w:val="auto"/>
          <w:szCs w:val="24"/>
          <w:highlight w:val="none"/>
        </w:rPr>
        <w:fldChar w:fldCharType="separate"/>
      </w:r>
      <w:r>
        <w:rPr>
          <w:rFonts w:hint="eastAsia"/>
          <w:color w:val="auto"/>
          <w:highlight w:val="none"/>
        </w:rPr>
        <w:t xml:space="preserve">(八) </w:t>
      </w:r>
      <w:r>
        <w:rPr>
          <w:rFonts w:hint="eastAsia"/>
          <w:color w:val="auto"/>
          <w:highlight w:val="none"/>
        </w:rPr>
        <w:t>确定中标人</w:t>
      </w:r>
      <w:r>
        <w:rPr>
          <w:color w:val="auto"/>
          <w:highlight w:val="none"/>
        </w:rPr>
        <w:tab/>
      </w:r>
      <w:r>
        <w:rPr>
          <w:color w:val="auto"/>
          <w:highlight w:val="none"/>
        </w:rPr>
        <w:fldChar w:fldCharType="begin"/>
      </w:r>
      <w:r>
        <w:rPr>
          <w:color w:val="auto"/>
          <w:highlight w:val="none"/>
        </w:rPr>
        <w:instrText xml:space="preserve"> PAGEREF _Toc6226 \h </w:instrText>
      </w:r>
      <w:r>
        <w:rPr>
          <w:color w:val="auto"/>
          <w:highlight w:val="none"/>
        </w:rPr>
        <w:fldChar w:fldCharType="separate"/>
      </w:r>
      <w:r>
        <w:rPr>
          <w:color w:val="auto"/>
          <w:highlight w:val="none"/>
        </w:rPr>
        <w:t>20</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_Toc31260 </w:instrText>
      </w:r>
      <w:r>
        <w:rPr>
          <w:rFonts w:ascii="宋体" w:hAnsi="宋体"/>
          <w:color w:val="auto"/>
          <w:szCs w:val="24"/>
          <w:highlight w:val="none"/>
        </w:rPr>
        <w:fldChar w:fldCharType="separate"/>
      </w:r>
      <w:r>
        <w:rPr>
          <w:rFonts w:hint="eastAsia"/>
          <w:color w:val="auto"/>
          <w:highlight w:val="none"/>
        </w:rPr>
        <w:t xml:space="preserve">(九) </w:t>
      </w:r>
      <w:r>
        <w:rPr>
          <w:rFonts w:hint="eastAsia"/>
          <w:color w:val="auto"/>
          <w:highlight w:val="none"/>
        </w:rPr>
        <w:t>合同的授予</w:t>
      </w:r>
      <w:r>
        <w:rPr>
          <w:color w:val="auto"/>
          <w:highlight w:val="none"/>
        </w:rPr>
        <w:tab/>
      </w:r>
      <w:r>
        <w:rPr>
          <w:color w:val="auto"/>
          <w:highlight w:val="none"/>
        </w:rPr>
        <w:fldChar w:fldCharType="begin"/>
      </w:r>
      <w:r>
        <w:rPr>
          <w:color w:val="auto"/>
          <w:highlight w:val="none"/>
        </w:rPr>
        <w:instrText xml:space="preserve"> PAGEREF _Toc31260 \h </w:instrText>
      </w:r>
      <w:r>
        <w:rPr>
          <w:color w:val="auto"/>
          <w:highlight w:val="none"/>
        </w:rPr>
        <w:fldChar w:fldCharType="separate"/>
      </w:r>
      <w:r>
        <w:rPr>
          <w:color w:val="auto"/>
          <w:highlight w:val="none"/>
        </w:rPr>
        <w:t>23</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_Toc8717 </w:instrText>
      </w:r>
      <w:r>
        <w:rPr>
          <w:rFonts w:ascii="宋体" w:hAnsi="宋体"/>
          <w:color w:val="auto"/>
          <w:szCs w:val="24"/>
          <w:highlight w:val="none"/>
        </w:rPr>
        <w:fldChar w:fldCharType="separate"/>
      </w:r>
      <w:r>
        <w:rPr>
          <w:rFonts w:hint="eastAsia"/>
          <w:color w:val="auto"/>
          <w:highlight w:val="none"/>
        </w:rPr>
        <w:t xml:space="preserve">(十) </w:t>
      </w:r>
      <w:r>
        <w:rPr>
          <w:rFonts w:hint="eastAsia"/>
          <w:color w:val="auto"/>
          <w:highlight w:val="none"/>
        </w:rPr>
        <w:t>其他</w:t>
      </w:r>
      <w:r>
        <w:rPr>
          <w:color w:val="auto"/>
          <w:highlight w:val="none"/>
        </w:rPr>
        <w:tab/>
      </w:r>
      <w:r>
        <w:rPr>
          <w:color w:val="auto"/>
          <w:highlight w:val="none"/>
        </w:rPr>
        <w:fldChar w:fldCharType="begin"/>
      </w:r>
      <w:r>
        <w:rPr>
          <w:color w:val="auto"/>
          <w:highlight w:val="none"/>
        </w:rPr>
        <w:instrText xml:space="preserve"> PAGEREF _Toc8717 \h </w:instrText>
      </w:r>
      <w:r>
        <w:rPr>
          <w:color w:val="auto"/>
          <w:highlight w:val="none"/>
        </w:rPr>
        <w:fldChar w:fldCharType="separate"/>
      </w:r>
      <w:r>
        <w:rPr>
          <w:color w:val="auto"/>
          <w:highlight w:val="none"/>
        </w:rPr>
        <w:t>24</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_Toc573 </w:instrText>
      </w:r>
      <w:r>
        <w:rPr>
          <w:rFonts w:ascii="宋体" w:hAnsi="宋体"/>
          <w:color w:val="auto"/>
          <w:szCs w:val="24"/>
          <w:highlight w:val="none"/>
        </w:rPr>
        <w:fldChar w:fldCharType="separate"/>
      </w:r>
      <w:r>
        <w:rPr>
          <w:rFonts w:hint="eastAsia"/>
          <w:color w:val="auto"/>
          <w:highlight w:val="none"/>
        </w:rPr>
        <w:t>第三章评标办法和标准</w:t>
      </w:r>
      <w:r>
        <w:rPr>
          <w:color w:val="auto"/>
          <w:highlight w:val="none"/>
        </w:rPr>
        <w:tab/>
      </w:r>
      <w:r>
        <w:rPr>
          <w:color w:val="auto"/>
          <w:highlight w:val="none"/>
        </w:rPr>
        <w:fldChar w:fldCharType="begin"/>
      </w:r>
      <w:r>
        <w:rPr>
          <w:color w:val="auto"/>
          <w:highlight w:val="none"/>
        </w:rPr>
        <w:instrText xml:space="preserve"> PAGEREF _Toc573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24"/>
          <w:highlight w:val="none"/>
        </w:rPr>
        <w:fldChar w:fldCharType="end"/>
      </w:r>
    </w:p>
    <w:p>
      <w:pPr>
        <w:pStyle w:val="22"/>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_Toc22997 </w:instrText>
      </w:r>
      <w:r>
        <w:rPr>
          <w:rFonts w:ascii="宋体" w:hAnsi="宋体"/>
          <w:color w:val="auto"/>
          <w:szCs w:val="24"/>
          <w:highlight w:val="none"/>
        </w:rPr>
        <w:fldChar w:fldCharType="separate"/>
      </w:r>
      <w:r>
        <w:rPr>
          <w:rFonts w:hint="eastAsia" w:ascii="Arial" w:hAnsi="Arial" w:eastAsia="黑体"/>
          <w:bCs/>
          <w:color w:val="auto"/>
          <w:szCs w:val="32"/>
          <w:highlight w:val="none"/>
        </w:rPr>
        <w:t>一、评标办法</w:t>
      </w:r>
      <w:r>
        <w:rPr>
          <w:color w:val="auto"/>
          <w:highlight w:val="none"/>
        </w:rPr>
        <w:tab/>
      </w:r>
      <w:r>
        <w:rPr>
          <w:color w:val="auto"/>
          <w:highlight w:val="none"/>
        </w:rPr>
        <w:fldChar w:fldCharType="begin"/>
      </w:r>
      <w:r>
        <w:rPr>
          <w:color w:val="auto"/>
          <w:highlight w:val="none"/>
        </w:rPr>
        <w:instrText xml:space="preserve"> PAGEREF _Toc22997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_Toc10754 </w:instrText>
      </w:r>
      <w:r>
        <w:rPr>
          <w:rFonts w:ascii="宋体" w:hAnsi="宋体"/>
          <w:color w:val="auto"/>
          <w:szCs w:val="24"/>
          <w:highlight w:val="none"/>
        </w:rPr>
        <w:fldChar w:fldCharType="separate"/>
      </w:r>
      <w:r>
        <w:rPr>
          <w:color w:val="auto"/>
          <w:highlight w:val="none"/>
        </w:rPr>
        <w:t>1.</w:t>
      </w:r>
      <w:r>
        <w:rPr>
          <w:rFonts w:hint="eastAsia"/>
          <w:color w:val="auto"/>
          <w:highlight w:val="none"/>
        </w:rPr>
        <w:t>评标方法</w:t>
      </w:r>
      <w:r>
        <w:rPr>
          <w:color w:val="auto"/>
          <w:highlight w:val="none"/>
        </w:rPr>
        <w:tab/>
      </w:r>
      <w:r>
        <w:rPr>
          <w:color w:val="auto"/>
          <w:highlight w:val="none"/>
        </w:rPr>
        <w:fldChar w:fldCharType="begin"/>
      </w:r>
      <w:r>
        <w:rPr>
          <w:color w:val="auto"/>
          <w:highlight w:val="none"/>
        </w:rPr>
        <w:instrText xml:space="preserve"> PAGEREF _Toc10754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_Toc13902 </w:instrText>
      </w:r>
      <w:r>
        <w:rPr>
          <w:rFonts w:ascii="宋体" w:hAnsi="宋体"/>
          <w:color w:val="auto"/>
          <w:szCs w:val="24"/>
          <w:highlight w:val="none"/>
        </w:rPr>
        <w:fldChar w:fldCharType="separate"/>
      </w:r>
      <w:r>
        <w:rPr>
          <w:color w:val="auto"/>
          <w:highlight w:val="none"/>
        </w:rPr>
        <w:t>2.</w:t>
      </w:r>
      <w:r>
        <w:rPr>
          <w:rFonts w:hint="eastAsia"/>
          <w:color w:val="auto"/>
          <w:highlight w:val="none"/>
        </w:rPr>
        <w:t>评标委员会</w:t>
      </w:r>
      <w:r>
        <w:rPr>
          <w:color w:val="auto"/>
          <w:highlight w:val="none"/>
        </w:rPr>
        <w:tab/>
      </w:r>
      <w:r>
        <w:rPr>
          <w:color w:val="auto"/>
          <w:highlight w:val="none"/>
        </w:rPr>
        <w:fldChar w:fldCharType="begin"/>
      </w:r>
      <w:r>
        <w:rPr>
          <w:color w:val="auto"/>
          <w:highlight w:val="none"/>
        </w:rPr>
        <w:instrText xml:space="preserve"> PAGEREF _Toc13902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_Toc21988 </w:instrText>
      </w:r>
      <w:r>
        <w:rPr>
          <w:rFonts w:ascii="宋体" w:hAnsi="宋体"/>
          <w:color w:val="auto"/>
          <w:szCs w:val="24"/>
          <w:highlight w:val="none"/>
        </w:rPr>
        <w:fldChar w:fldCharType="separate"/>
      </w:r>
      <w:r>
        <w:rPr>
          <w:rFonts w:ascii="ˎ̥" w:hAnsi="ˎ̥"/>
          <w:color w:val="auto"/>
          <w:szCs w:val="28"/>
          <w:highlight w:val="none"/>
        </w:rPr>
        <w:t>3.</w:t>
      </w:r>
      <w:r>
        <w:rPr>
          <w:rFonts w:hint="eastAsia" w:ascii="ˎ̥" w:hAnsi="ˎ̥"/>
          <w:color w:val="auto"/>
          <w:szCs w:val="28"/>
          <w:highlight w:val="none"/>
        </w:rPr>
        <w:t>评标委员会</w:t>
      </w:r>
      <w:r>
        <w:rPr>
          <w:rFonts w:ascii="ˎ̥" w:hAnsi="ˎ̥"/>
          <w:color w:val="auto"/>
          <w:szCs w:val="28"/>
          <w:highlight w:val="none"/>
        </w:rPr>
        <w:t>在评标过程中应当遵守下列规定</w:t>
      </w:r>
      <w:r>
        <w:rPr>
          <w:rFonts w:hint="eastAsia"/>
          <w:color w:val="auto"/>
          <w:szCs w:val="28"/>
          <w:highlight w:val="none"/>
        </w:rPr>
        <w:t>：</w:t>
      </w:r>
      <w:r>
        <w:rPr>
          <w:color w:val="auto"/>
          <w:highlight w:val="none"/>
        </w:rPr>
        <w:tab/>
      </w:r>
      <w:r>
        <w:rPr>
          <w:color w:val="auto"/>
          <w:highlight w:val="none"/>
        </w:rPr>
        <w:fldChar w:fldCharType="begin"/>
      </w:r>
      <w:r>
        <w:rPr>
          <w:color w:val="auto"/>
          <w:highlight w:val="none"/>
        </w:rPr>
        <w:instrText xml:space="preserve"> PAGEREF _Toc21988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_Toc14563 </w:instrText>
      </w:r>
      <w:r>
        <w:rPr>
          <w:rFonts w:ascii="宋体" w:hAnsi="宋体"/>
          <w:color w:val="auto"/>
          <w:szCs w:val="24"/>
          <w:highlight w:val="none"/>
        </w:rPr>
        <w:fldChar w:fldCharType="separate"/>
      </w:r>
      <w:r>
        <w:rPr>
          <w:rFonts w:ascii="ˎ̥" w:hAnsi="ˎ̥"/>
          <w:color w:val="auto"/>
          <w:szCs w:val="28"/>
          <w:highlight w:val="none"/>
        </w:rPr>
        <w:t>4.</w:t>
      </w:r>
      <w:r>
        <w:rPr>
          <w:rFonts w:hint="eastAsia" w:ascii="ˎ̥" w:hAnsi="ˎ̥"/>
          <w:color w:val="auto"/>
          <w:szCs w:val="28"/>
          <w:highlight w:val="none"/>
        </w:rPr>
        <w:t>评标程序</w:t>
      </w:r>
      <w:r>
        <w:rPr>
          <w:color w:val="auto"/>
          <w:highlight w:val="none"/>
        </w:rPr>
        <w:tab/>
      </w:r>
      <w:r>
        <w:rPr>
          <w:color w:val="auto"/>
          <w:highlight w:val="none"/>
        </w:rPr>
        <w:fldChar w:fldCharType="begin"/>
      </w:r>
      <w:r>
        <w:rPr>
          <w:color w:val="auto"/>
          <w:highlight w:val="none"/>
        </w:rPr>
        <w:instrText xml:space="preserve"> PAGEREF _Toc14563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_Toc23825 </w:instrText>
      </w:r>
      <w:r>
        <w:rPr>
          <w:rFonts w:ascii="宋体" w:hAnsi="宋体"/>
          <w:color w:val="auto"/>
          <w:szCs w:val="24"/>
          <w:highlight w:val="none"/>
        </w:rPr>
        <w:fldChar w:fldCharType="separate"/>
      </w:r>
      <w:r>
        <w:rPr>
          <w:rFonts w:ascii="ˎ̥" w:hAnsi="ˎ̥"/>
          <w:color w:val="auto"/>
          <w:szCs w:val="28"/>
          <w:highlight w:val="none"/>
        </w:rPr>
        <w:t>5.</w:t>
      </w:r>
      <w:r>
        <w:rPr>
          <w:rFonts w:hint="eastAsia" w:ascii="ˎ̥" w:hAnsi="ˎ̥"/>
          <w:color w:val="auto"/>
          <w:szCs w:val="28"/>
          <w:highlight w:val="none"/>
        </w:rPr>
        <w:t>评标前的准备工作</w:t>
      </w:r>
      <w:r>
        <w:rPr>
          <w:color w:val="auto"/>
          <w:highlight w:val="none"/>
        </w:rPr>
        <w:tab/>
      </w:r>
      <w:r>
        <w:rPr>
          <w:color w:val="auto"/>
          <w:highlight w:val="none"/>
        </w:rPr>
        <w:fldChar w:fldCharType="begin"/>
      </w:r>
      <w:r>
        <w:rPr>
          <w:color w:val="auto"/>
          <w:highlight w:val="none"/>
        </w:rPr>
        <w:instrText xml:space="preserve"> PAGEREF _Toc23825 \h </w:instrText>
      </w:r>
      <w:r>
        <w:rPr>
          <w:color w:val="auto"/>
          <w:highlight w:val="none"/>
        </w:rPr>
        <w:fldChar w:fldCharType="separate"/>
      </w:r>
      <w:r>
        <w:rPr>
          <w:color w:val="auto"/>
          <w:highlight w:val="none"/>
        </w:rPr>
        <w:t>27</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_Toc4534 </w:instrText>
      </w:r>
      <w:r>
        <w:rPr>
          <w:rFonts w:ascii="宋体" w:hAnsi="宋体"/>
          <w:color w:val="auto"/>
          <w:szCs w:val="24"/>
          <w:highlight w:val="none"/>
        </w:rPr>
        <w:fldChar w:fldCharType="separate"/>
      </w:r>
      <w:r>
        <w:rPr>
          <w:rFonts w:hint="eastAsia" w:ascii="宋体"/>
          <w:color w:val="auto"/>
          <w:kern w:val="2"/>
          <w:szCs w:val="28"/>
          <w:highlight w:val="none"/>
        </w:rPr>
        <w:t>6.详细评审</w:t>
      </w:r>
      <w:r>
        <w:rPr>
          <w:color w:val="auto"/>
          <w:highlight w:val="none"/>
        </w:rPr>
        <w:tab/>
      </w:r>
      <w:r>
        <w:rPr>
          <w:color w:val="auto"/>
          <w:highlight w:val="none"/>
        </w:rPr>
        <w:fldChar w:fldCharType="begin"/>
      </w:r>
      <w:r>
        <w:rPr>
          <w:color w:val="auto"/>
          <w:highlight w:val="none"/>
        </w:rPr>
        <w:instrText xml:space="preserve"> PAGEREF _Toc4534 \h </w:instrText>
      </w:r>
      <w:r>
        <w:rPr>
          <w:color w:val="auto"/>
          <w:highlight w:val="none"/>
        </w:rPr>
        <w:fldChar w:fldCharType="separate"/>
      </w:r>
      <w:r>
        <w:rPr>
          <w:color w:val="auto"/>
          <w:highlight w:val="none"/>
        </w:rPr>
        <w:t>27</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_Toc13862 </w:instrText>
      </w:r>
      <w:r>
        <w:rPr>
          <w:rFonts w:ascii="宋体" w:hAnsi="宋体"/>
          <w:color w:val="auto"/>
          <w:szCs w:val="24"/>
          <w:highlight w:val="none"/>
        </w:rPr>
        <w:fldChar w:fldCharType="separate"/>
      </w:r>
      <w:r>
        <w:rPr>
          <w:rFonts w:hint="eastAsia" w:ascii="宋体"/>
          <w:color w:val="auto"/>
          <w:kern w:val="2"/>
          <w:szCs w:val="28"/>
          <w:highlight w:val="none"/>
        </w:rPr>
        <w:t>7.澄清和补正</w:t>
      </w:r>
      <w:r>
        <w:rPr>
          <w:color w:val="auto"/>
          <w:highlight w:val="none"/>
        </w:rPr>
        <w:tab/>
      </w:r>
      <w:r>
        <w:rPr>
          <w:color w:val="auto"/>
          <w:highlight w:val="none"/>
        </w:rPr>
        <w:fldChar w:fldCharType="begin"/>
      </w:r>
      <w:r>
        <w:rPr>
          <w:color w:val="auto"/>
          <w:highlight w:val="none"/>
        </w:rPr>
        <w:instrText xml:space="preserve"> PAGEREF _Toc13862 \h </w:instrText>
      </w:r>
      <w:r>
        <w:rPr>
          <w:color w:val="auto"/>
          <w:highlight w:val="none"/>
        </w:rPr>
        <w:fldChar w:fldCharType="separate"/>
      </w:r>
      <w:r>
        <w:rPr>
          <w:color w:val="auto"/>
          <w:highlight w:val="none"/>
        </w:rPr>
        <w:t>27</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_Toc20460 </w:instrText>
      </w:r>
      <w:r>
        <w:rPr>
          <w:rFonts w:ascii="宋体" w:hAnsi="宋体"/>
          <w:color w:val="auto"/>
          <w:szCs w:val="24"/>
          <w:highlight w:val="none"/>
        </w:rPr>
        <w:fldChar w:fldCharType="separate"/>
      </w:r>
      <w:r>
        <w:rPr>
          <w:rFonts w:hint="eastAsia" w:ascii="宋体"/>
          <w:color w:val="auto"/>
          <w:kern w:val="2"/>
          <w:szCs w:val="28"/>
          <w:highlight w:val="none"/>
        </w:rPr>
        <w:t>8.推荐中标候选人名单</w:t>
      </w:r>
      <w:r>
        <w:rPr>
          <w:rFonts w:hint="eastAsia" w:ascii="宋体" w:hAnsi="Times New Roman" w:eastAsia="宋体" w:cs="Times New Roman"/>
          <w:color w:val="auto"/>
          <w:kern w:val="2"/>
          <w:szCs w:val="28"/>
          <w:highlight w:val="none"/>
        </w:rPr>
        <w:t>（排名不分先后）</w:t>
      </w:r>
      <w:r>
        <w:rPr>
          <w:color w:val="auto"/>
          <w:highlight w:val="none"/>
        </w:rPr>
        <w:tab/>
      </w:r>
      <w:r>
        <w:rPr>
          <w:color w:val="auto"/>
          <w:highlight w:val="none"/>
        </w:rPr>
        <w:fldChar w:fldCharType="begin"/>
      </w:r>
      <w:r>
        <w:rPr>
          <w:color w:val="auto"/>
          <w:highlight w:val="none"/>
        </w:rPr>
        <w:instrText xml:space="preserve"> PAGEREF _Toc20460 \h </w:instrText>
      </w:r>
      <w:r>
        <w:rPr>
          <w:color w:val="auto"/>
          <w:highlight w:val="none"/>
        </w:rPr>
        <w:fldChar w:fldCharType="separate"/>
      </w:r>
      <w:r>
        <w:rPr>
          <w:color w:val="auto"/>
          <w:highlight w:val="none"/>
        </w:rPr>
        <w:t>27</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_Toc17095 </w:instrText>
      </w:r>
      <w:r>
        <w:rPr>
          <w:rFonts w:ascii="宋体" w:hAnsi="宋体"/>
          <w:color w:val="auto"/>
          <w:szCs w:val="24"/>
          <w:highlight w:val="none"/>
        </w:rPr>
        <w:fldChar w:fldCharType="separate"/>
      </w:r>
      <w:r>
        <w:rPr>
          <w:rFonts w:hint="eastAsia" w:ascii="宋体"/>
          <w:color w:val="auto"/>
          <w:kern w:val="2"/>
          <w:szCs w:val="28"/>
          <w:highlight w:val="none"/>
        </w:rPr>
        <w:t>9.评标报告</w:t>
      </w:r>
      <w:r>
        <w:rPr>
          <w:color w:val="auto"/>
          <w:highlight w:val="none"/>
        </w:rPr>
        <w:tab/>
      </w:r>
      <w:r>
        <w:rPr>
          <w:color w:val="auto"/>
          <w:highlight w:val="none"/>
        </w:rPr>
        <w:fldChar w:fldCharType="begin"/>
      </w:r>
      <w:r>
        <w:rPr>
          <w:color w:val="auto"/>
          <w:highlight w:val="none"/>
        </w:rPr>
        <w:instrText xml:space="preserve"> PAGEREF _Toc17095 \h </w:instrText>
      </w:r>
      <w:r>
        <w:rPr>
          <w:color w:val="auto"/>
          <w:highlight w:val="none"/>
        </w:rPr>
        <w:fldChar w:fldCharType="separate"/>
      </w:r>
      <w:r>
        <w:rPr>
          <w:color w:val="auto"/>
          <w:highlight w:val="none"/>
        </w:rPr>
        <w:t>27</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_Toc26979 </w:instrText>
      </w:r>
      <w:r>
        <w:rPr>
          <w:rFonts w:ascii="宋体" w:hAnsi="宋体"/>
          <w:color w:val="auto"/>
          <w:szCs w:val="24"/>
          <w:highlight w:val="none"/>
        </w:rPr>
        <w:fldChar w:fldCharType="separate"/>
      </w:r>
      <w:r>
        <w:rPr>
          <w:rFonts w:hint="eastAsia" w:ascii="宋体"/>
          <w:color w:val="auto"/>
          <w:kern w:val="2"/>
          <w:szCs w:val="28"/>
          <w:highlight w:val="none"/>
        </w:rPr>
        <w:t>10.附则</w:t>
      </w:r>
      <w:r>
        <w:rPr>
          <w:color w:val="auto"/>
          <w:highlight w:val="none"/>
        </w:rPr>
        <w:tab/>
      </w:r>
      <w:r>
        <w:rPr>
          <w:color w:val="auto"/>
          <w:highlight w:val="none"/>
        </w:rPr>
        <w:fldChar w:fldCharType="begin"/>
      </w:r>
      <w:r>
        <w:rPr>
          <w:color w:val="auto"/>
          <w:highlight w:val="none"/>
        </w:rPr>
        <w:instrText xml:space="preserve"> PAGEREF _Toc26979 \h </w:instrText>
      </w:r>
      <w:r>
        <w:rPr>
          <w:color w:val="auto"/>
          <w:highlight w:val="none"/>
        </w:rPr>
        <w:fldChar w:fldCharType="separate"/>
      </w:r>
      <w:r>
        <w:rPr>
          <w:color w:val="auto"/>
          <w:highlight w:val="none"/>
        </w:rPr>
        <w:t>28</w:t>
      </w:r>
      <w:r>
        <w:rPr>
          <w:color w:val="auto"/>
          <w:highlight w:val="none"/>
        </w:rPr>
        <w:fldChar w:fldCharType="end"/>
      </w:r>
      <w:r>
        <w:rPr>
          <w:rFonts w:ascii="宋体" w:hAnsi="宋体"/>
          <w:color w:val="auto"/>
          <w:szCs w:val="24"/>
          <w:highlight w:val="none"/>
        </w:rPr>
        <w:fldChar w:fldCharType="end"/>
      </w:r>
    </w:p>
    <w:p>
      <w:pPr>
        <w:pStyle w:val="22"/>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_Toc30972 </w:instrText>
      </w:r>
      <w:r>
        <w:rPr>
          <w:rFonts w:ascii="宋体" w:hAnsi="宋体"/>
          <w:color w:val="auto"/>
          <w:szCs w:val="24"/>
          <w:highlight w:val="none"/>
        </w:rPr>
        <w:fldChar w:fldCharType="separate"/>
      </w:r>
      <w:r>
        <w:rPr>
          <w:rFonts w:hint="eastAsia" w:ascii="Arial" w:hAnsi="Arial" w:eastAsia="黑体"/>
          <w:bCs/>
          <w:color w:val="auto"/>
          <w:szCs w:val="32"/>
          <w:highlight w:val="none"/>
        </w:rPr>
        <w:t>二、评分标准（综合评估法）</w:t>
      </w:r>
      <w:r>
        <w:rPr>
          <w:color w:val="auto"/>
          <w:highlight w:val="none"/>
        </w:rPr>
        <w:tab/>
      </w:r>
      <w:r>
        <w:rPr>
          <w:color w:val="auto"/>
          <w:highlight w:val="none"/>
        </w:rPr>
        <w:fldChar w:fldCharType="begin"/>
      </w:r>
      <w:r>
        <w:rPr>
          <w:color w:val="auto"/>
          <w:highlight w:val="none"/>
        </w:rPr>
        <w:instrText xml:space="preserve"> PAGEREF _Toc30972 \h </w:instrText>
      </w:r>
      <w:r>
        <w:rPr>
          <w:color w:val="auto"/>
          <w:highlight w:val="none"/>
        </w:rPr>
        <w:fldChar w:fldCharType="separate"/>
      </w:r>
      <w:r>
        <w:rPr>
          <w:color w:val="auto"/>
          <w:highlight w:val="none"/>
        </w:rPr>
        <w:t>28</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_Toc32023 </w:instrText>
      </w:r>
      <w:r>
        <w:rPr>
          <w:rFonts w:ascii="宋体" w:hAnsi="宋体"/>
          <w:color w:val="auto"/>
          <w:szCs w:val="24"/>
          <w:highlight w:val="none"/>
        </w:rPr>
        <w:fldChar w:fldCharType="separate"/>
      </w:r>
      <w:r>
        <w:rPr>
          <w:rFonts w:hint="eastAsia" w:ascii="宋体"/>
          <w:color w:val="auto"/>
          <w:kern w:val="2"/>
          <w:szCs w:val="28"/>
          <w:highlight w:val="none"/>
        </w:rPr>
        <w:t>（一）技术标评分标准（</w:t>
      </w:r>
      <w:r>
        <w:rPr>
          <w:rFonts w:hint="eastAsia" w:ascii="宋体"/>
          <w:color w:val="auto"/>
          <w:kern w:val="2"/>
          <w:szCs w:val="28"/>
          <w:highlight w:val="none"/>
          <w:lang w:val="en-US" w:eastAsia="zh-CN"/>
        </w:rPr>
        <w:t>51</w:t>
      </w:r>
      <w:r>
        <w:rPr>
          <w:rFonts w:hint="eastAsia" w:ascii="宋体"/>
          <w:color w:val="auto"/>
          <w:kern w:val="2"/>
          <w:szCs w:val="28"/>
          <w:highlight w:val="none"/>
        </w:rPr>
        <w:t>分）</w:t>
      </w:r>
      <w:r>
        <w:rPr>
          <w:color w:val="auto"/>
          <w:highlight w:val="none"/>
        </w:rPr>
        <w:tab/>
      </w:r>
      <w:r>
        <w:rPr>
          <w:color w:val="auto"/>
          <w:highlight w:val="none"/>
        </w:rPr>
        <w:fldChar w:fldCharType="begin"/>
      </w:r>
      <w:r>
        <w:rPr>
          <w:color w:val="auto"/>
          <w:highlight w:val="none"/>
        </w:rPr>
        <w:instrText xml:space="preserve"> PAGEREF _Toc32023 \h </w:instrText>
      </w:r>
      <w:r>
        <w:rPr>
          <w:color w:val="auto"/>
          <w:highlight w:val="none"/>
        </w:rPr>
        <w:fldChar w:fldCharType="separate"/>
      </w:r>
      <w:r>
        <w:rPr>
          <w:color w:val="auto"/>
          <w:highlight w:val="none"/>
        </w:rPr>
        <w:t>28</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_Toc24704 </w:instrText>
      </w:r>
      <w:r>
        <w:rPr>
          <w:rFonts w:ascii="宋体" w:hAnsi="宋体"/>
          <w:color w:val="auto"/>
          <w:szCs w:val="24"/>
          <w:highlight w:val="none"/>
        </w:rPr>
        <w:fldChar w:fldCharType="separate"/>
      </w:r>
      <w:r>
        <w:rPr>
          <w:rFonts w:hint="eastAsia" w:ascii="宋体"/>
          <w:color w:val="auto"/>
          <w:kern w:val="2"/>
          <w:szCs w:val="28"/>
          <w:highlight w:val="none"/>
        </w:rPr>
        <w:t>（三）商务文件评分标准（分值30分）</w:t>
      </w:r>
      <w:r>
        <w:rPr>
          <w:color w:val="auto"/>
          <w:highlight w:val="none"/>
        </w:rPr>
        <w:tab/>
      </w:r>
      <w:r>
        <w:rPr>
          <w:color w:val="auto"/>
          <w:highlight w:val="none"/>
        </w:rPr>
        <w:fldChar w:fldCharType="begin"/>
      </w:r>
      <w:r>
        <w:rPr>
          <w:color w:val="auto"/>
          <w:highlight w:val="none"/>
        </w:rPr>
        <w:instrText xml:space="preserve"> PAGEREF _Toc24704 \h </w:instrText>
      </w:r>
      <w:r>
        <w:rPr>
          <w:color w:val="auto"/>
          <w:highlight w:val="none"/>
        </w:rPr>
        <w:fldChar w:fldCharType="separate"/>
      </w:r>
      <w:r>
        <w:rPr>
          <w:color w:val="auto"/>
          <w:highlight w:val="none"/>
        </w:rPr>
        <w:t>34</w:t>
      </w:r>
      <w:r>
        <w:rPr>
          <w:color w:val="auto"/>
          <w:highlight w:val="none"/>
        </w:rPr>
        <w:fldChar w:fldCharType="end"/>
      </w:r>
      <w:r>
        <w:rPr>
          <w:rFonts w:ascii="宋体" w:hAnsi="宋体"/>
          <w:color w:val="auto"/>
          <w:szCs w:val="24"/>
          <w:highlight w:val="none"/>
        </w:rPr>
        <w:fldChar w:fldCharType="end"/>
      </w:r>
    </w:p>
    <w:p>
      <w:pPr>
        <w:pStyle w:val="13"/>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_Toc3527 </w:instrText>
      </w:r>
      <w:r>
        <w:rPr>
          <w:rFonts w:ascii="宋体" w:hAnsi="宋体"/>
          <w:color w:val="auto"/>
          <w:szCs w:val="24"/>
          <w:highlight w:val="none"/>
        </w:rPr>
        <w:fldChar w:fldCharType="separate"/>
      </w:r>
      <w:r>
        <w:rPr>
          <w:rFonts w:hint="eastAsia" w:ascii="宋体"/>
          <w:color w:val="auto"/>
          <w:kern w:val="2"/>
          <w:szCs w:val="28"/>
          <w:highlight w:val="none"/>
        </w:rPr>
        <w:t>（四）计算投标人最终得分（满分为8</w:t>
      </w:r>
      <w:r>
        <w:rPr>
          <w:rFonts w:hint="eastAsia" w:ascii="宋体"/>
          <w:color w:val="auto"/>
          <w:kern w:val="2"/>
          <w:szCs w:val="28"/>
          <w:highlight w:val="none"/>
          <w:lang w:val="en-US" w:eastAsia="zh-CN"/>
        </w:rPr>
        <w:t>1</w:t>
      </w:r>
      <w:r>
        <w:rPr>
          <w:rFonts w:hint="eastAsia" w:ascii="宋体"/>
          <w:color w:val="auto"/>
          <w:kern w:val="2"/>
          <w:szCs w:val="28"/>
          <w:highlight w:val="none"/>
        </w:rPr>
        <w:t>分）</w:t>
      </w:r>
      <w:r>
        <w:rPr>
          <w:color w:val="auto"/>
          <w:highlight w:val="none"/>
        </w:rPr>
        <w:tab/>
      </w:r>
      <w:r>
        <w:rPr>
          <w:color w:val="auto"/>
          <w:highlight w:val="none"/>
        </w:rPr>
        <w:fldChar w:fldCharType="begin"/>
      </w:r>
      <w:r>
        <w:rPr>
          <w:color w:val="auto"/>
          <w:highlight w:val="none"/>
        </w:rPr>
        <w:instrText xml:space="preserve"> PAGEREF _Toc3527 \h </w:instrText>
      </w:r>
      <w:r>
        <w:rPr>
          <w:color w:val="auto"/>
          <w:highlight w:val="none"/>
        </w:rPr>
        <w:fldChar w:fldCharType="separate"/>
      </w:r>
      <w:r>
        <w:rPr>
          <w:color w:val="auto"/>
          <w:highlight w:val="none"/>
        </w:rPr>
        <w:t>35</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_Toc19292 </w:instrText>
      </w:r>
      <w:r>
        <w:rPr>
          <w:rFonts w:ascii="宋体" w:hAnsi="宋体"/>
          <w:color w:val="auto"/>
          <w:szCs w:val="24"/>
          <w:highlight w:val="none"/>
        </w:rPr>
        <w:fldChar w:fldCharType="separate"/>
      </w:r>
      <w:r>
        <w:rPr>
          <w:rFonts w:hint="eastAsia"/>
          <w:color w:val="auto"/>
          <w:highlight w:val="none"/>
        </w:rPr>
        <w:t xml:space="preserve">第四章 </w:t>
      </w:r>
      <w:r>
        <w:rPr>
          <w:rFonts w:hint="eastAsia"/>
          <w:color w:val="auto"/>
          <w:highlight w:val="none"/>
        </w:rPr>
        <w:t>服务技术要求及标准</w:t>
      </w:r>
      <w:r>
        <w:rPr>
          <w:color w:val="auto"/>
          <w:highlight w:val="none"/>
        </w:rPr>
        <w:tab/>
      </w:r>
      <w:r>
        <w:rPr>
          <w:color w:val="auto"/>
          <w:highlight w:val="none"/>
        </w:rPr>
        <w:fldChar w:fldCharType="begin"/>
      </w:r>
      <w:r>
        <w:rPr>
          <w:color w:val="auto"/>
          <w:highlight w:val="none"/>
        </w:rPr>
        <w:instrText xml:space="preserve"> PAGEREF _Toc19292 \h </w:instrText>
      </w:r>
      <w:r>
        <w:rPr>
          <w:color w:val="auto"/>
          <w:highlight w:val="none"/>
        </w:rPr>
        <w:fldChar w:fldCharType="separate"/>
      </w:r>
      <w:r>
        <w:rPr>
          <w:color w:val="auto"/>
          <w:highlight w:val="none"/>
        </w:rPr>
        <w:t>36</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_Toc7825 </w:instrText>
      </w:r>
      <w:r>
        <w:rPr>
          <w:rFonts w:ascii="宋体" w:hAnsi="宋体"/>
          <w:color w:val="auto"/>
          <w:szCs w:val="24"/>
          <w:highlight w:val="none"/>
        </w:rPr>
        <w:fldChar w:fldCharType="separate"/>
      </w:r>
      <w:r>
        <w:rPr>
          <w:rFonts w:hint="eastAsia"/>
          <w:color w:val="auto"/>
          <w:highlight w:val="none"/>
        </w:rPr>
        <w:t>第五章 合同条款及格式</w:t>
      </w:r>
      <w:r>
        <w:rPr>
          <w:color w:val="auto"/>
          <w:highlight w:val="none"/>
        </w:rPr>
        <w:tab/>
      </w:r>
      <w:r>
        <w:rPr>
          <w:color w:val="auto"/>
          <w:highlight w:val="none"/>
        </w:rPr>
        <w:fldChar w:fldCharType="begin"/>
      </w:r>
      <w:r>
        <w:rPr>
          <w:color w:val="auto"/>
          <w:highlight w:val="none"/>
        </w:rPr>
        <w:instrText xml:space="preserve"> PAGEREF _Toc7825 \h </w:instrText>
      </w:r>
      <w:r>
        <w:rPr>
          <w:color w:val="auto"/>
          <w:highlight w:val="none"/>
        </w:rPr>
        <w:fldChar w:fldCharType="separate"/>
      </w:r>
      <w:r>
        <w:rPr>
          <w:color w:val="auto"/>
          <w:highlight w:val="none"/>
        </w:rPr>
        <w:t>52</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_Toc11396 </w:instrText>
      </w:r>
      <w:r>
        <w:rPr>
          <w:rFonts w:ascii="宋体" w:hAnsi="宋体"/>
          <w:color w:val="auto"/>
          <w:szCs w:val="24"/>
          <w:highlight w:val="none"/>
        </w:rPr>
        <w:fldChar w:fldCharType="separate"/>
      </w:r>
      <w:r>
        <w:rPr>
          <w:rFonts w:hint="eastAsia"/>
          <w:color w:val="auto"/>
          <w:highlight w:val="none"/>
        </w:rPr>
        <w:t>第六章投标文件格式</w:t>
      </w:r>
      <w:r>
        <w:rPr>
          <w:color w:val="auto"/>
          <w:highlight w:val="none"/>
        </w:rPr>
        <w:tab/>
      </w:r>
      <w:r>
        <w:rPr>
          <w:color w:val="auto"/>
          <w:highlight w:val="none"/>
        </w:rPr>
        <w:fldChar w:fldCharType="begin"/>
      </w:r>
      <w:r>
        <w:rPr>
          <w:color w:val="auto"/>
          <w:highlight w:val="none"/>
        </w:rPr>
        <w:instrText xml:space="preserve"> PAGEREF _Toc11396 \h </w:instrText>
      </w:r>
      <w:r>
        <w:rPr>
          <w:color w:val="auto"/>
          <w:highlight w:val="none"/>
        </w:rPr>
        <w:fldChar w:fldCharType="separate"/>
      </w:r>
      <w:r>
        <w:rPr>
          <w:color w:val="auto"/>
          <w:highlight w:val="none"/>
        </w:rPr>
        <w:t>89</w:t>
      </w:r>
      <w:r>
        <w:rPr>
          <w:color w:val="auto"/>
          <w:highlight w:val="none"/>
        </w:rPr>
        <w:fldChar w:fldCharType="end"/>
      </w:r>
      <w:r>
        <w:rPr>
          <w:rFonts w:ascii="宋体" w:hAnsi="宋体"/>
          <w:color w:val="auto"/>
          <w:szCs w:val="24"/>
          <w:highlight w:val="none"/>
        </w:rPr>
        <w:fldChar w:fldCharType="end"/>
      </w:r>
    </w:p>
    <w:p>
      <w:pPr>
        <w:rPr>
          <w:color w:val="auto"/>
          <w:highlight w:val="none"/>
        </w:rPr>
      </w:pPr>
      <w:r>
        <w:rPr>
          <w:rFonts w:ascii="宋体" w:hAnsi="宋体"/>
          <w:color w:val="auto"/>
          <w:szCs w:val="24"/>
          <w:highlight w:val="none"/>
        </w:rPr>
        <w:fldChar w:fldCharType="end"/>
      </w:r>
      <w:r>
        <w:rPr>
          <w:color w:val="auto"/>
          <w:highlight w:val="none"/>
        </w:rPr>
        <w:br w:type="page"/>
      </w:r>
    </w:p>
    <w:p>
      <w:pPr>
        <w:rPr>
          <w:color w:val="auto"/>
          <w:highlight w:val="none"/>
        </w:rPr>
        <w:sectPr>
          <w:footerReference r:id="rId7" w:type="first"/>
          <w:footerReference r:id="rId6" w:type="default"/>
          <w:headerReference r:id="rId5" w:type="even"/>
          <w:pgSz w:w="11906" w:h="16838"/>
          <w:pgMar w:top="1418" w:right="1418" w:bottom="1418" w:left="1418" w:header="851" w:footer="907" w:gutter="0"/>
          <w:pgNumType w:fmt="decimal"/>
          <w:cols w:space="720" w:num="1"/>
          <w:docGrid w:linePitch="312" w:charSpace="0"/>
        </w:sectPr>
      </w:pPr>
    </w:p>
    <w:p>
      <w:pPr>
        <w:pStyle w:val="2"/>
        <w:numPr>
          <w:ilvl w:val="0"/>
          <w:numId w:val="0"/>
        </w:numPr>
        <w:tabs>
          <w:tab w:val="clear" w:pos="1440"/>
        </w:tabs>
        <w:spacing w:before="0" w:after="0" w:line="360" w:lineRule="auto"/>
        <w:jc w:val="center"/>
        <w:rPr>
          <w:rFonts w:hint="eastAsia" w:ascii="宋体" w:hAnsi="宋体"/>
          <w:color w:val="auto"/>
          <w:highlight w:val="none"/>
        </w:rPr>
      </w:pPr>
      <w:bookmarkStart w:id="0" w:name="_Toc17350"/>
      <w:bookmarkStart w:id="1" w:name="_Toc30609"/>
      <w:bookmarkStart w:id="2" w:name="_Toc15897"/>
      <w:bookmarkStart w:id="3" w:name="_Toc16478"/>
      <w:bookmarkStart w:id="4" w:name="_Toc12125"/>
      <w:bookmarkStart w:id="5" w:name="_Toc6635"/>
      <w:bookmarkStart w:id="6" w:name="_Toc30865"/>
      <w:bookmarkStart w:id="7" w:name="_Toc7511"/>
      <w:bookmarkStart w:id="8" w:name="_Toc30781"/>
      <w:bookmarkStart w:id="9" w:name="_Toc7258"/>
      <w:bookmarkStart w:id="10" w:name="_Toc85"/>
      <w:bookmarkStart w:id="11" w:name="_Toc14562"/>
      <w:bookmarkStart w:id="12" w:name="_Toc12828"/>
      <w:bookmarkStart w:id="13" w:name="_Toc7301"/>
      <w:bookmarkStart w:id="14" w:name="_Toc15312"/>
      <w:bookmarkStart w:id="15" w:name="_Toc27600"/>
      <w:bookmarkStart w:id="16" w:name="_Toc20550"/>
      <w:bookmarkStart w:id="17" w:name="_Toc23536"/>
      <w:bookmarkStart w:id="18" w:name="_Toc27045"/>
      <w:bookmarkStart w:id="19" w:name="_Toc20922"/>
      <w:bookmarkStart w:id="20" w:name="_Toc25892"/>
      <w:bookmarkStart w:id="21" w:name="_Toc14574"/>
      <w:bookmarkStart w:id="22" w:name="_Toc16428"/>
      <w:bookmarkStart w:id="23" w:name="_Toc8431"/>
      <w:bookmarkStart w:id="24" w:name="_Toc29382"/>
      <w:bookmarkStart w:id="25" w:name="_Toc23928"/>
      <w:r>
        <w:rPr>
          <w:rFonts w:hint="eastAsia" w:ascii="宋体" w:hAnsi="宋体"/>
          <w:color w:val="auto"/>
          <w:szCs w:val="24"/>
          <w:highlight w:val="none"/>
          <w:lang w:val="en-US" w:eastAsia="zh-CN"/>
        </w:rPr>
        <w:t xml:space="preserve"> </w:t>
      </w:r>
      <w:bookmarkStart w:id="26" w:name="_Toc1679"/>
      <w:r>
        <w:rPr>
          <w:rFonts w:hint="eastAsia" w:ascii="宋体" w:hAnsi="宋体"/>
          <w:color w:val="auto"/>
          <w:highlight w:val="none"/>
        </w:rPr>
        <w:t>第一章 招标公告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（诸全咨招-2023-2）</w:t>
      </w:r>
    </w:p>
    <w:p>
      <w:pPr>
        <w:rPr>
          <w:color w:val="auto"/>
          <w:highlight w:val="none"/>
        </w:rPr>
      </w:pPr>
    </w:p>
    <w:p>
      <w:pPr>
        <w:pStyle w:val="14"/>
        <w:pageBreakBefore w:val="0"/>
        <w:kinsoku/>
        <w:wordWrap/>
        <w:overflowPunct/>
        <w:topLinePunct w:val="0"/>
        <w:bidi w:val="0"/>
        <w:snapToGrid/>
        <w:spacing w:line="360" w:lineRule="auto"/>
        <w:ind w:firstLine="480" w:firstLineChars="20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.招标人：</w:t>
      </w:r>
      <w:r>
        <w:rPr>
          <w:rFonts w:hint="eastAsia" w:cs="宋体"/>
          <w:color w:val="auto"/>
          <w:sz w:val="24"/>
          <w:szCs w:val="24"/>
          <w:highlight w:val="none"/>
        </w:rPr>
        <w:t>诸暨市城乡投资集团有限公司</w:t>
      </w:r>
    </w:p>
    <w:p>
      <w:pPr>
        <w:pStyle w:val="14"/>
        <w:pageBreakBefore w:val="0"/>
        <w:kinsoku/>
        <w:wordWrap/>
        <w:overflowPunct/>
        <w:topLinePunct w:val="0"/>
        <w:bidi w:val="0"/>
        <w:snapToGrid/>
        <w:spacing w:line="360" w:lineRule="auto"/>
        <w:ind w:firstLine="480" w:firstLineChars="200"/>
        <w:rPr>
          <w:rFonts w:cs="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.招标代理机构</w:t>
      </w:r>
      <w:r>
        <w:rPr>
          <w:rFonts w:hint="eastAsia" w:cs="宋体"/>
          <w:color w:val="auto"/>
          <w:sz w:val="24"/>
          <w:szCs w:val="24"/>
          <w:highlight w:val="none"/>
        </w:rPr>
        <w:t>：浙江远大工程咨询有限公司</w:t>
      </w:r>
    </w:p>
    <w:p>
      <w:pPr>
        <w:pStyle w:val="14"/>
        <w:pageBreakBefore w:val="0"/>
        <w:kinsoku/>
        <w:wordWrap/>
        <w:overflowPunct/>
        <w:topLinePunct w:val="0"/>
        <w:bidi w:val="0"/>
        <w:snapToGrid/>
        <w:spacing w:line="360" w:lineRule="auto"/>
        <w:ind w:firstLine="480" w:firstLineChars="200"/>
        <w:rPr>
          <w:rFonts w:hint="eastAsia" w:hAnsi="宋体" w:eastAsia="宋体"/>
          <w:color w:val="auto"/>
          <w:sz w:val="24"/>
          <w:szCs w:val="24"/>
          <w:highlight w:val="none"/>
          <w:lang w:val="en-US" w:eastAsia="zh-CN"/>
        </w:rPr>
      </w:pPr>
      <w:r>
        <w:rPr>
          <w:rFonts w:hAnsi="宋体"/>
          <w:color w:val="auto"/>
          <w:sz w:val="24"/>
          <w:szCs w:val="24"/>
          <w:highlight w:val="none"/>
        </w:rPr>
        <w:t>3</w:t>
      </w:r>
      <w:r>
        <w:rPr>
          <w:rFonts w:hint="eastAsia" w:hAnsi="宋体"/>
          <w:color w:val="auto"/>
          <w:sz w:val="24"/>
          <w:szCs w:val="24"/>
          <w:highlight w:val="none"/>
        </w:rPr>
        <w:t>.工程名称：二环路智慧快速化改造工程（柯诸高速至S211省道公路连接线）全过程工程咨询</w:t>
      </w:r>
      <w:r>
        <w:rPr>
          <w:rFonts w:hint="eastAsia" w:hAnsi="宋体"/>
          <w:color w:val="auto"/>
          <w:sz w:val="24"/>
          <w:szCs w:val="24"/>
          <w:highlight w:val="none"/>
          <w:lang w:val="en-US" w:eastAsia="zh-CN"/>
        </w:rPr>
        <w:t>服务</w:t>
      </w:r>
    </w:p>
    <w:p>
      <w:pPr>
        <w:pStyle w:val="14"/>
        <w:pageBreakBefore w:val="0"/>
        <w:kinsoku/>
        <w:wordWrap/>
        <w:overflowPunct/>
        <w:topLinePunct w:val="0"/>
        <w:bidi w:val="0"/>
        <w:snapToGrid/>
        <w:spacing w:line="360" w:lineRule="auto"/>
        <w:ind w:firstLine="480" w:firstLineChars="200"/>
        <w:rPr>
          <w:rFonts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.建设地点：诸暨市。</w:t>
      </w:r>
    </w:p>
    <w:p>
      <w:pPr>
        <w:pageBreakBefore w:val="0"/>
        <w:kinsoku/>
        <w:wordWrap/>
        <w:overflowPunct/>
        <w:topLinePunct w:val="0"/>
        <w:autoSpaceDE w:val="0"/>
        <w:autoSpaceDN w:val="0"/>
        <w:bidi w:val="0"/>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rPr>
        <w:t>5.建设规模</w:t>
      </w:r>
      <w:bookmarkStart w:id="27" w:name="_Hlk98023334"/>
      <w:bookmarkStart w:id="28" w:name="_Hlk98970389"/>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lang w:val="zh-CN" w:eastAsia="zh-CN"/>
        </w:rPr>
        <w:t>二环路智慧快速化改造工程（柯诸高速至S211省道公路连接线）项目总投资约</w:t>
      </w:r>
      <w:r>
        <w:rPr>
          <w:rFonts w:hint="eastAsia" w:ascii="宋体" w:hAnsi="宋体" w:eastAsia="宋体" w:cs="宋体"/>
          <w:color w:val="auto"/>
          <w:sz w:val="24"/>
          <w:szCs w:val="24"/>
          <w:highlight w:val="none"/>
          <w:lang w:val="en-US" w:eastAsia="zh-CN"/>
        </w:rPr>
        <w:t>33亿</w:t>
      </w:r>
      <w:r>
        <w:rPr>
          <w:rFonts w:hint="eastAsia" w:ascii="宋体" w:hAnsi="宋体" w:eastAsia="宋体" w:cs="宋体"/>
          <w:color w:val="auto"/>
          <w:sz w:val="24"/>
          <w:szCs w:val="24"/>
          <w:highlight w:val="none"/>
          <w:lang w:val="zh-CN" w:eastAsia="zh-CN"/>
        </w:rPr>
        <w:t>元，总长度约8km，起点为北二环线育英路口（柯诸高速与二环北路互通项目终点），终点为环城南路艮塔路口（环城南路快速路项目终点）。该项目</w:t>
      </w:r>
      <w:r>
        <w:rPr>
          <w:rFonts w:hint="eastAsia"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zh-CN" w:eastAsia="zh-CN"/>
        </w:rPr>
        <w:t>Ⅰ标段、Ⅱ标段、Ⅲ标段</w:t>
      </w:r>
      <w:r>
        <w:rPr>
          <w:rFonts w:hint="eastAsia" w:ascii="宋体" w:hAnsi="宋体" w:eastAsia="宋体" w:cs="宋体"/>
          <w:color w:val="auto"/>
          <w:sz w:val="24"/>
          <w:szCs w:val="24"/>
          <w:highlight w:val="none"/>
          <w:lang w:val="en-US" w:eastAsia="zh-CN"/>
        </w:rPr>
        <w:t>3个</w:t>
      </w:r>
      <w:r>
        <w:rPr>
          <w:rFonts w:hint="eastAsia" w:ascii="宋体" w:hAnsi="宋体" w:cs="宋体"/>
          <w:color w:val="auto"/>
          <w:sz w:val="24"/>
          <w:szCs w:val="24"/>
          <w:highlight w:val="none"/>
          <w:lang w:val="en-US" w:eastAsia="zh-CN"/>
        </w:rPr>
        <w:t>施工</w:t>
      </w:r>
      <w:r>
        <w:rPr>
          <w:rFonts w:hint="eastAsia" w:ascii="宋体" w:hAnsi="宋体" w:eastAsia="宋体" w:cs="宋体"/>
          <w:color w:val="auto"/>
          <w:sz w:val="24"/>
          <w:szCs w:val="24"/>
          <w:highlight w:val="none"/>
          <w:lang w:val="en-US" w:eastAsia="zh-CN"/>
        </w:rPr>
        <w:t>标段，其中</w:t>
      </w:r>
      <w:r>
        <w:rPr>
          <w:rFonts w:hint="eastAsia" w:ascii="宋体" w:hAnsi="宋体" w:eastAsia="宋体" w:cs="宋体"/>
          <w:color w:val="auto"/>
          <w:sz w:val="24"/>
          <w:szCs w:val="24"/>
          <w:highlight w:val="none"/>
          <w:lang w:val="zh-CN" w:eastAsia="zh-CN"/>
        </w:rPr>
        <w:t>Ⅰ标段北起育英路交叉口东，南至永乐路交叉口北，起始桩K0+143~K3+120，长约2.98km，采用“快速化主线+地面辅道”的建设形式，</w:t>
      </w:r>
      <w:r>
        <w:rPr>
          <w:rFonts w:hint="eastAsia" w:ascii="宋体" w:hAnsi="宋体" w:eastAsia="宋体" w:cs="宋体"/>
          <w:color w:val="auto"/>
          <w:sz w:val="24"/>
          <w:szCs w:val="24"/>
          <w:highlight w:val="none"/>
          <w:lang w:val="en-US" w:eastAsia="zh-CN"/>
        </w:rPr>
        <w:t>工程概算 85069.81万元，建安工程造价66600.36万元；</w:t>
      </w:r>
      <w:r>
        <w:rPr>
          <w:rFonts w:hint="eastAsia" w:ascii="宋体" w:hAnsi="宋体" w:eastAsia="宋体" w:cs="宋体"/>
          <w:color w:val="auto"/>
          <w:sz w:val="24"/>
          <w:szCs w:val="24"/>
          <w:highlight w:val="none"/>
          <w:lang w:val="zh-CN" w:eastAsia="zh-CN"/>
        </w:rPr>
        <w:t>Ⅱ标段北起永乐路交叉口，南至东三路交叉口，起始桩K3+120~K5+554.749，长约2.4km，采用“快速化主线+地面辅道”的建设形式，</w:t>
      </w:r>
      <w:r>
        <w:rPr>
          <w:rFonts w:hint="eastAsia" w:ascii="宋体" w:hAnsi="宋体" w:eastAsia="宋体" w:cs="宋体"/>
          <w:color w:val="auto"/>
          <w:sz w:val="24"/>
          <w:szCs w:val="24"/>
          <w:highlight w:val="none"/>
          <w:lang w:val="en-US" w:eastAsia="zh-CN"/>
        </w:rPr>
        <w:t>工程概算124878.95万元，建安工程造价用 94862.94万元</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III标包含主线道路、地面道路（二环路和环城南路两条道路）和匝道道路，主线起点桩号5+554.749，向南至环城南路后，向西终于东兴</w:t>
      </w:r>
      <w:r>
        <w:rPr>
          <w:rFonts w:hint="eastAsia" w:ascii="宋体" w:hAnsi="宋体" w:cs="宋体"/>
          <w:color w:val="auto"/>
          <w:sz w:val="24"/>
          <w:szCs w:val="24"/>
          <w:highlight w:val="none"/>
          <w:lang w:val="en-US" w:eastAsia="zh-CN"/>
        </w:rPr>
        <w:t>路</w:t>
      </w:r>
      <w:r>
        <w:rPr>
          <w:rFonts w:hint="eastAsia" w:ascii="宋体" w:hAnsi="宋体" w:eastAsia="宋体" w:cs="宋体"/>
          <w:color w:val="auto"/>
          <w:sz w:val="24"/>
          <w:szCs w:val="24"/>
          <w:highlight w:val="none"/>
          <w:lang w:val="en-US" w:eastAsia="zh-CN"/>
        </w:rPr>
        <w:t>西侧，终点桩号8+297.118，道路全长2742m，采用“快速化主线+地面辅道”的建设形式，地面道路东二环路地面道路北起东三</w:t>
      </w:r>
      <w:r>
        <w:rPr>
          <w:rFonts w:hint="eastAsia" w:ascii="宋体" w:hAnsi="宋体" w:cs="宋体"/>
          <w:color w:val="auto"/>
          <w:sz w:val="24"/>
          <w:szCs w:val="24"/>
          <w:highlight w:val="none"/>
          <w:lang w:val="en-US" w:eastAsia="zh-CN"/>
        </w:rPr>
        <w:t>路</w:t>
      </w:r>
      <w:r>
        <w:rPr>
          <w:rFonts w:hint="eastAsia" w:ascii="宋体" w:hAnsi="宋体" w:eastAsia="宋体" w:cs="宋体"/>
          <w:color w:val="auto"/>
          <w:sz w:val="24"/>
          <w:szCs w:val="24"/>
          <w:highlight w:val="none"/>
          <w:lang w:val="en-US" w:eastAsia="zh-CN"/>
        </w:rPr>
        <w:t>北侧，起点桩号DE5+547.914,南至朝五相路，终点桩号DE7+080,长约1532m。环城南路地面道路东起新晖路东侧，起点桩号HND0+000，西至东兴路西侧，终点桩号8+297.118，全长约1960m。工程概算 100359.19万元，建安工程造价74487.86万元。</w:t>
      </w:r>
    </w:p>
    <w:p>
      <w:pPr>
        <w:keepNext w:val="0"/>
        <w:keepLines w:val="0"/>
        <w:pageBreakBefore w:val="0"/>
        <w:widowControl/>
        <w:kinsoku/>
        <w:wordWrap/>
        <w:overflowPunct/>
        <w:topLinePunct w:val="0"/>
        <w:autoSpaceDE w:val="0"/>
        <w:autoSpaceDN w:val="0"/>
        <w:bidi w:val="0"/>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zh-CN"/>
        </w:rPr>
        <w:t>计划施工总工期暂定790日历天。</w:t>
      </w:r>
    </w:p>
    <w:bookmarkEnd w:id="27"/>
    <w:bookmarkEnd w:id="28"/>
    <w:p>
      <w:pPr>
        <w:autoSpaceDE/>
        <w:autoSpaceDN/>
        <w:spacing w:line="360" w:lineRule="auto"/>
        <w:ind w:firstLine="480" w:firstLineChars="200"/>
        <w:jc w:val="both"/>
        <w:rPr>
          <w:rFonts w:ascii="宋体" w:cs="宋体"/>
          <w:color w:val="auto"/>
          <w:sz w:val="24"/>
          <w:szCs w:val="24"/>
          <w:highlight w:val="none"/>
        </w:rPr>
      </w:pPr>
      <w:r>
        <w:rPr>
          <w:rFonts w:hint="eastAsia" w:hAnsi="宋体"/>
          <w:color w:val="auto"/>
          <w:sz w:val="24"/>
          <w:szCs w:val="24"/>
          <w:highlight w:val="none"/>
        </w:rPr>
        <w:t>6.</w:t>
      </w:r>
      <w:r>
        <w:rPr>
          <w:rFonts w:hint="eastAsia" w:ascii="宋体" w:cs="宋体"/>
          <w:color w:val="auto"/>
          <w:sz w:val="24"/>
          <w:szCs w:val="24"/>
          <w:highlight w:val="none"/>
        </w:rPr>
        <w:t>招标</w:t>
      </w:r>
      <w:r>
        <w:rPr>
          <w:rFonts w:hint="eastAsia" w:ascii="宋体" w:cs="宋体"/>
          <w:color w:val="auto"/>
          <w:sz w:val="24"/>
          <w:szCs w:val="24"/>
          <w:highlight w:val="none"/>
          <w:lang w:val="en-US" w:eastAsia="zh-CN"/>
        </w:rPr>
        <w:t>范围及</w:t>
      </w:r>
      <w:r>
        <w:rPr>
          <w:rFonts w:hint="eastAsia" w:ascii="宋体" w:cs="宋体"/>
          <w:color w:val="auto"/>
          <w:sz w:val="24"/>
          <w:szCs w:val="24"/>
          <w:highlight w:val="none"/>
        </w:rPr>
        <w:t>内容：</w:t>
      </w:r>
    </w:p>
    <w:p>
      <w:pPr>
        <w:pageBreakBefore w:val="0"/>
        <w:kinsoku/>
        <w:wordWrap/>
        <w:overflowPunct/>
        <w:topLinePunct w:val="0"/>
        <w:autoSpaceDE w:val="0"/>
        <w:autoSpaceDN w:val="0"/>
        <w:bidi w:val="0"/>
        <w:snapToGrid/>
        <w:spacing w:line="360" w:lineRule="auto"/>
        <w:ind w:firstLine="480" w:firstLineChars="200"/>
        <w:jc w:val="left"/>
        <w:rPr>
          <w:rFonts w:ascii="宋体" w:cs="宋体"/>
          <w:color w:val="auto"/>
          <w:sz w:val="24"/>
          <w:szCs w:val="24"/>
          <w:highlight w:val="none"/>
          <w:lang w:val="zh-CN"/>
        </w:rPr>
      </w:pPr>
      <w:r>
        <w:rPr>
          <w:rFonts w:hint="eastAsia" w:ascii="宋体" w:cs="宋体"/>
          <w:color w:val="auto"/>
          <w:sz w:val="24"/>
          <w:szCs w:val="24"/>
          <w:highlight w:val="none"/>
        </w:rPr>
        <w:t>（1）</w:t>
      </w:r>
      <w:r>
        <w:rPr>
          <w:rFonts w:hint="eastAsia" w:ascii="宋体" w:cs="宋体"/>
          <w:color w:val="auto"/>
          <w:sz w:val="24"/>
          <w:szCs w:val="24"/>
          <w:highlight w:val="none"/>
          <w:lang w:val="zh-CN"/>
        </w:rPr>
        <w:t>项目建设管理服务：二环路智慧快速化改造工程（柯诸高速至S211省道公路连接线）全范围（包括Ⅰ标段（育英路东侧-永乐路北侧）、Ⅱ标段（永乐路北侧-东三路北侧）、Ⅲ标段（东三路北侧-艮塔</w:t>
      </w:r>
      <w:r>
        <w:rPr>
          <w:rFonts w:hint="eastAsia" w:ascii="宋体" w:cs="宋体"/>
          <w:color w:val="auto"/>
          <w:sz w:val="24"/>
          <w:szCs w:val="24"/>
          <w:highlight w:val="none"/>
          <w:lang w:val="en-US" w:eastAsia="zh-CN"/>
        </w:rPr>
        <w:t>东</w:t>
      </w:r>
      <w:r>
        <w:rPr>
          <w:rFonts w:hint="eastAsia" w:ascii="宋体" w:cs="宋体"/>
          <w:color w:val="auto"/>
          <w:sz w:val="24"/>
          <w:szCs w:val="24"/>
          <w:highlight w:val="none"/>
          <w:lang w:val="zh-CN"/>
        </w:rPr>
        <w:t>路东侧）建设项目管理。</w:t>
      </w:r>
      <w:r>
        <w:rPr>
          <w:rFonts w:hint="eastAsia" w:ascii="宋体" w:cs="宋体"/>
          <w:color w:val="auto"/>
          <w:sz w:val="24"/>
          <w:szCs w:val="24"/>
          <w:highlight w:val="none"/>
        </w:rPr>
        <w:t>包括但不限于项目计划统筹及总体管理</w:t>
      </w:r>
      <w:r>
        <w:rPr>
          <w:rFonts w:hint="eastAsia" w:ascii="宋体" w:hAnsi="宋体" w:cs="宋体"/>
          <w:b/>
          <w:bCs/>
          <w:color w:val="auto"/>
          <w:sz w:val="24"/>
          <w:szCs w:val="24"/>
          <w:highlight w:val="none"/>
          <w:lang w:eastAsia="zh-CN"/>
        </w:rPr>
        <w:t>、</w:t>
      </w:r>
      <w:r>
        <w:rPr>
          <w:rFonts w:hint="eastAsia" w:ascii="宋体" w:cs="宋体"/>
          <w:color w:val="auto"/>
          <w:sz w:val="24"/>
          <w:szCs w:val="24"/>
          <w:highlight w:val="none"/>
        </w:rPr>
        <w:t>报批报建报验、合同管理、技术管理、进度管理、质量管理、投资管理、安全生产管理、环境管理、信息管理、协调管理、风险管理和移交管理等。</w:t>
      </w:r>
      <w:r>
        <w:rPr>
          <w:rFonts w:hint="eastAsia" w:ascii="宋体" w:hAnsi="宋体" w:cs="宋体"/>
          <w:color w:val="auto"/>
          <w:kern w:val="2"/>
          <w:sz w:val="24"/>
          <w:highlight w:val="none"/>
        </w:rPr>
        <w:t>对本项目相关专业的工程咨询管理，包括提交专项复核意见、组织召开专业系统会议和评审会</w:t>
      </w:r>
      <w:r>
        <w:rPr>
          <w:rFonts w:hint="eastAsia" w:ascii="宋体" w:hAnsi="宋体" w:cs="宋体"/>
          <w:color w:val="auto"/>
          <w:kern w:val="2"/>
          <w:sz w:val="24"/>
          <w:highlight w:val="none"/>
          <w:lang w:val="en-US" w:eastAsia="zh-CN"/>
        </w:rPr>
        <w:t>等</w:t>
      </w:r>
      <w:r>
        <w:rPr>
          <w:rFonts w:hint="eastAsia" w:ascii="宋体" w:hAnsi="宋体" w:cs="宋体"/>
          <w:color w:val="auto"/>
          <w:kern w:val="2"/>
          <w:sz w:val="24"/>
          <w:highlight w:val="none"/>
        </w:rPr>
        <w:t>。负责各专业衔接</w:t>
      </w:r>
      <w:r>
        <w:rPr>
          <w:rFonts w:hint="eastAsia" w:ascii="宋体" w:hAnsi="宋体" w:cs="宋体"/>
          <w:color w:val="auto"/>
          <w:kern w:val="2"/>
          <w:sz w:val="24"/>
          <w:highlight w:val="none"/>
          <w:lang w:val="en-US" w:eastAsia="zh-CN"/>
        </w:rPr>
        <w:t>工作</w:t>
      </w:r>
      <w:r>
        <w:rPr>
          <w:rFonts w:hint="eastAsia" w:ascii="宋体" w:hAnsi="宋体" w:cs="宋体"/>
          <w:color w:val="auto"/>
          <w:kern w:val="2"/>
          <w:sz w:val="24"/>
          <w:highlight w:val="none"/>
        </w:rPr>
        <w:t>，</w:t>
      </w:r>
      <w:r>
        <w:rPr>
          <w:rFonts w:hint="eastAsia" w:ascii="宋体" w:hAnsi="宋体" w:cs="宋体"/>
          <w:color w:val="auto"/>
          <w:kern w:val="2"/>
          <w:sz w:val="24"/>
          <w:highlight w:val="none"/>
          <w:lang w:val="en-US" w:eastAsia="zh-CN"/>
        </w:rPr>
        <w:t>配合协助业主做好政策处理的相关工作，</w:t>
      </w:r>
      <w:r>
        <w:rPr>
          <w:rFonts w:hint="eastAsia" w:ascii="宋体" w:hAnsi="宋体" w:cs="宋体"/>
          <w:color w:val="auto"/>
          <w:sz w:val="24"/>
          <w:highlight w:val="none"/>
        </w:rPr>
        <w:t>根据当地政府相关部门要求协助业主代办并完成第三方检测及其他服务，</w:t>
      </w:r>
      <w:r>
        <w:rPr>
          <w:rFonts w:hint="eastAsia" w:ascii="宋体" w:hAnsi="宋体" w:cs="宋体"/>
          <w:color w:val="auto"/>
          <w:kern w:val="2"/>
          <w:sz w:val="24"/>
          <w:highlight w:val="none"/>
        </w:rPr>
        <w:t>档案信息管理。负责竣工验收及移交管理、工程结算管理、质量保修期内的跟踪服务以及与项目建设管理相关的其他工作。</w:t>
      </w:r>
    </w:p>
    <w:p>
      <w:pPr>
        <w:pageBreakBefore w:val="0"/>
        <w:kinsoku/>
        <w:wordWrap/>
        <w:overflowPunct/>
        <w:topLinePunct w:val="0"/>
        <w:autoSpaceDE w:val="0"/>
        <w:autoSpaceDN w:val="0"/>
        <w:bidi w:val="0"/>
        <w:snapToGrid/>
        <w:spacing w:line="360" w:lineRule="auto"/>
        <w:ind w:firstLine="480" w:firstLineChars="200"/>
        <w:jc w:val="left"/>
        <w:rPr>
          <w:rFonts w:hint="default" w:ascii="宋体" w:eastAsia="宋体" w:cs="宋体"/>
          <w:color w:val="auto"/>
          <w:sz w:val="24"/>
          <w:szCs w:val="24"/>
          <w:highlight w:val="none"/>
          <w:lang w:val="en-US" w:eastAsia="zh-CN"/>
        </w:rPr>
      </w:pPr>
      <w:r>
        <w:rPr>
          <w:rFonts w:hint="eastAsia" w:ascii="宋体" w:cs="宋体"/>
          <w:color w:val="auto"/>
          <w:sz w:val="24"/>
          <w:szCs w:val="24"/>
          <w:highlight w:val="none"/>
        </w:rPr>
        <w:t>（2）</w:t>
      </w:r>
      <w:r>
        <w:rPr>
          <w:rFonts w:hint="eastAsia" w:ascii="宋体" w:cs="宋体"/>
          <w:color w:val="auto"/>
          <w:sz w:val="24"/>
          <w:szCs w:val="24"/>
          <w:highlight w:val="none"/>
          <w:lang w:val="zh-CN"/>
        </w:rPr>
        <w:t>工程监理：二环路智慧快速化改造工程（柯诸高速至S211省道公路连接线）-Ⅰ标段（育英路东侧-永乐路北侧）的施工监理，包括但不限于Ⅰ标段（育英路东侧-永乐路北侧）所有建设内容的施工全过程及缺陷责任期监理（包含</w:t>
      </w:r>
      <w:r>
        <w:rPr>
          <w:rFonts w:hint="eastAsia" w:ascii="宋体" w:hAnsi="宋体" w:cs="宋体"/>
          <w:color w:val="auto"/>
          <w:sz w:val="24"/>
          <w:highlight w:val="none"/>
        </w:rPr>
        <w:t>施工准备阶段、施工阶段各工序、各部位的监理以及工程备案验收证书取得至签发缺陷责任终止证书和工程结算的监理、服务工作），对项目的投资控制、工程</w:t>
      </w:r>
      <w:r>
        <w:rPr>
          <w:rFonts w:hint="eastAsia" w:ascii="宋体" w:cs="宋体"/>
          <w:color w:val="auto"/>
          <w:sz w:val="24"/>
          <w:szCs w:val="24"/>
          <w:highlight w:val="none"/>
          <w:lang w:val="zh-CN"/>
        </w:rPr>
        <w:t>质量、</w:t>
      </w:r>
      <w:r>
        <w:rPr>
          <w:rFonts w:hint="eastAsia" w:ascii="宋体" w:cs="宋体"/>
          <w:color w:val="auto"/>
          <w:sz w:val="24"/>
          <w:szCs w:val="24"/>
          <w:highlight w:val="none"/>
        </w:rPr>
        <w:t>工程安全、</w:t>
      </w:r>
      <w:r>
        <w:rPr>
          <w:rFonts w:hint="eastAsia" w:ascii="宋体" w:cs="宋体"/>
          <w:color w:val="auto"/>
          <w:sz w:val="24"/>
          <w:szCs w:val="24"/>
          <w:highlight w:val="none"/>
          <w:lang w:val="zh-CN"/>
        </w:rPr>
        <w:t>进度、安全</w:t>
      </w:r>
      <w:r>
        <w:rPr>
          <w:rFonts w:hint="eastAsia" w:ascii="宋体" w:cs="宋体"/>
          <w:color w:val="auto"/>
          <w:sz w:val="24"/>
          <w:szCs w:val="24"/>
          <w:highlight w:val="none"/>
        </w:rPr>
        <w:t>监督及</w:t>
      </w:r>
      <w:r>
        <w:rPr>
          <w:rFonts w:hint="eastAsia" w:ascii="宋体" w:cs="宋体"/>
          <w:color w:val="auto"/>
          <w:sz w:val="24"/>
          <w:szCs w:val="24"/>
          <w:highlight w:val="none"/>
          <w:lang w:val="zh-CN"/>
        </w:rPr>
        <w:t>文明施工、</w:t>
      </w:r>
      <w:r>
        <w:rPr>
          <w:rFonts w:hint="eastAsia" w:ascii="宋体" w:cs="宋体"/>
          <w:color w:val="auto"/>
          <w:sz w:val="24"/>
          <w:szCs w:val="24"/>
          <w:highlight w:val="none"/>
        </w:rPr>
        <w:t>环境保护的有效管理及组织协调，并进行合同管理和信息管理等方面工作。</w:t>
      </w:r>
      <w:r>
        <w:rPr>
          <w:rFonts w:hint="eastAsia" w:ascii="宋体" w:cs="宋体"/>
          <w:color w:val="auto"/>
          <w:sz w:val="24"/>
          <w:szCs w:val="24"/>
          <w:highlight w:val="none"/>
          <w:lang w:val="en-US" w:eastAsia="zh-CN"/>
        </w:rPr>
        <w:t>并对</w:t>
      </w:r>
      <w:r>
        <w:rPr>
          <w:rFonts w:hint="eastAsia" w:ascii="宋体" w:cs="宋体"/>
          <w:color w:val="auto"/>
          <w:sz w:val="24"/>
          <w:szCs w:val="24"/>
          <w:highlight w:val="none"/>
          <w:lang w:val="zh-CN"/>
        </w:rPr>
        <w:t>Ⅱ标段</w:t>
      </w:r>
      <w:r>
        <w:rPr>
          <w:rFonts w:hint="eastAsia" w:ascii="宋体" w:cs="宋体"/>
          <w:color w:val="auto"/>
          <w:sz w:val="24"/>
          <w:szCs w:val="24"/>
          <w:highlight w:val="none"/>
          <w:lang w:val="en-US" w:eastAsia="zh-CN"/>
        </w:rPr>
        <w:t>及</w:t>
      </w:r>
      <w:r>
        <w:rPr>
          <w:rFonts w:hint="eastAsia" w:ascii="宋体" w:cs="宋体"/>
          <w:color w:val="auto"/>
          <w:sz w:val="24"/>
          <w:szCs w:val="24"/>
          <w:highlight w:val="none"/>
          <w:lang w:val="zh-CN"/>
        </w:rPr>
        <w:t>Ⅲ标段</w:t>
      </w:r>
      <w:r>
        <w:rPr>
          <w:rFonts w:hint="eastAsia" w:ascii="宋体" w:cs="宋体"/>
          <w:color w:val="auto"/>
          <w:sz w:val="24"/>
          <w:szCs w:val="24"/>
          <w:highlight w:val="none"/>
          <w:lang w:val="en-US" w:eastAsia="zh-CN"/>
        </w:rPr>
        <w:t>监理进行协调和统筹管理。</w:t>
      </w:r>
    </w:p>
    <w:p>
      <w:pPr>
        <w:pageBreakBefore w:val="0"/>
        <w:kinsoku/>
        <w:wordWrap/>
        <w:overflowPunct/>
        <w:topLinePunct w:val="0"/>
        <w:autoSpaceDE w:val="0"/>
        <w:autoSpaceDN w:val="0"/>
        <w:bidi w:val="0"/>
        <w:snapToGrid/>
        <w:spacing w:line="360" w:lineRule="auto"/>
        <w:ind w:firstLine="480" w:firstLineChars="200"/>
        <w:jc w:val="left"/>
        <w:rPr>
          <w:rFonts w:hint="eastAsia" w:ascii="宋体" w:cs="宋体"/>
          <w:color w:val="auto"/>
          <w:sz w:val="24"/>
          <w:szCs w:val="24"/>
          <w:highlight w:val="none"/>
        </w:rPr>
      </w:pPr>
      <w:r>
        <w:rPr>
          <w:rFonts w:hint="eastAsia" w:ascii="宋体" w:cs="宋体"/>
          <w:color w:val="auto"/>
          <w:sz w:val="24"/>
          <w:szCs w:val="24"/>
          <w:highlight w:val="none"/>
        </w:rPr>
        <w:t>（3）造价咨询：</w:t>
      </w:r>
      <w:r>
        <w:rPr>
          <w:rFonts w:hint="eastAsia" w:ascii="宋体" w:cs="宋体"/>
          <w:color w:val="auto"/>
          <w:sz w:val="24"/>
          <w:szCs w:val="24"/>
          <w:highlight w:val="none"/>
          <w:lang w:val="zh-CN"/>
        </w:rPr>
        <w:t>二环路智慧快速化改造工程（柯诸高速至S211省道公路连接线）全范围（包括Ⅰ标段（育英路东侧-永乐路北侧）、Ⅱ标段（永乐路北侧-东三路北侧）、Ⅲ标段（东三路北侧-艮塔</w:t>
      </w:r>
      <w:r>
        <w:rPr>
          <w:rFonts w:hint="eastAsia" w:ascii="宋体" w:cs="宋体"/>
          <w:color w:val="auto"/>
          <w:sz w:val="24"/>
          <w:szCs w:val="24"/>
          <w:highlight w:val="none"/>
          <w:lang w:val="en-US" w:eastAsia="zh-CN"/>
        </w:rPr>
        <w:t>东</w:t>
      </w:r>
      <w:r>
        <w:rPr>
          <w:rFonts w:hint="eastAsia" w:ascii="宋体" w:cs="宋体"/>
          <w:color w:val="auto"/>
          <w:sz w:val="24"/>
          <w:szCs w:val="24"/>
          <w:highlight w:val="none"/>
          <w:lang w:val="zh-CN"/>
        </w:rPr>
        <w:t>路东侧）造价咨询，</w:t>
      </w:r>
      <w:r>
        <w:rPr>
          <w:rFonts w:hint="eastAsia" w:ascii="宋体" w:cs="宋体"/>
          <w:color w:val="auto"/>
          <w:sz w:val="24"/>
          <w:szCs w:val="24"/>
          <w:highlight w:val="none"/>
        </w:rPr>
        <w:t>包括不限于本项目所有建设过程中的制定造价控制、资金使用计划的实施方案，合同价格咨询（包括合同分析、合同交底、合同变更管理工作），施工阶段造价风险分析，审核工程预付款和期中结算及其价款支付，工程变更、签证及索赔管理，材料、设备的询价，提供核价建议，工程造价动态管理，审核及汇总过程分阶段工程结算，出具结算审核的初步意见，配合完成竣工结算，工程技术经济指标分析等工作。</w:t>
      </w:r>
    </w:p>
    <w:p>
      <w:pPr>
        <w:pStyle w:val="14"/>
        <w:pageBreakBefore w:val="0"/>
        <w:kinsoku/>
        <w:wordWrap/>
        <w:overflowPunct/>
        <w:topLinePunct w:val="0"/>
        <w:bidi w:val="0"/>
        <w:snapToGrid/>
        <w:spacing w:line="360" w:lineRule="auto"/>
        <w:ind w:firstLine="480" w:firstLineChars="200"/>
        <w:rPr>
          <w:rFonts w:hAnsi="宋体"/>
          <w:color w:val="auto"/>
          <w:sz w:val="24"/>
          <w:szCs w:val="24"/>
          <w:highlight w:val="none"/>
        </w:rPr>
      </w:pPr>
      <w:r>
        <w:rPr>
          <w:rFonts w:hint="eastAsia" w:hAnsi="宋体"/>
          <w:color w:val="auto"/>
          <w:sz w:val="24"/>
          <w:szCs w:val="24"/>
          <w:highlight w:val="none"/>
        </w:rPr>
        <w:t>7.质量要求：</w:t>
      </w:r>
      <w:r>
        <w:rPr>
          <w:rFonts w:hint="eastAsia" w:hAnsi="宋体"/>
          <w:color w:val="auto"/>
          <w:spacing w:val="-6"/>
          <w:sz w:val="24"/>
          <w:szCs w:val="24"/>
          <w:highlight w:val="none"/>
        </w:rPr>
        <w:t>合格。</w:t>
      </w:r>
    </w:p>
    <w:p>
      <w:pPr>
        <w:pStyle w:val="14"/>
        <w:pageBreakBefore w:val="0"/>
        <w:kinsoku/>
        <w:wordWrap/>
        <w:overflowPunct/>
        <w:topLinePunct w:val="0"/>
        <w:bidi w:val="0"/>
        <w:snapToGrid/>
        <w:spacing w:line="360" w:lineRule="auto"/>
        <w:ind w:firstLine="480" w:firstLineChars="200"/>
        <w:rPr>
          <w:color w:val="auto"/>
          <w:szCs w:val="21"/>
          <w:highlight w:val="none"/>
        </w:rPr>
      </w:pPr>
      <w:r>
        <w:rPr>
          <w:rFonts w:hint="eastAsia" w:hAnsi="宋体"/>
          <w:color w:val="auto"/>
          <w:sz w:val="24"/>
          <w:szCs w:val="24"/>
          <w:highlight w:val="none"/>
        </w:rPr>
        <w:t>8.服务期限</w:t>
      </w:r>
      <w:r>
        <w:rPr>
          <w:rFonts w:hint="eastAsia" w:hAnsi="宋体"/>
          <w:color w:val="auto"/>
          <w:spacing w:val="-6"/>
          <w:sz w:val="24"/>
          <w:szCs w:val="24"/>
          <w:highlight w:val="none"/>
        </w:rPr>
        <w:t>：自咨询合同签订之日起，至本项目竣工验收后缺陷责任期满且结算审计结束，并完成招标范围内所有工作内容、办结相关档案的整体移交之日止。</w:t>
      </w:r>
    </w:p>
    <w:p>
      <w:pPr>
        <w:pageBreakBefore w:val="0"/>
        <w:widowControl/>
        <w:kinsoku/>
        <w:wordWrap/>
        <w:overflowPunct/>
        <w:topLinePunct w:val="0"/>
        <w:bidi w:val="0"/>
        <w:adjustRightInd/>
        <w:snapToGrid/>
        <w:spacing w:line="360" w:lineRule="auto"/>
        <w:ind w:firstLine="480" w:firstLineChars="200"/>
        <w:jc w:val="left"/>
        <w:textAlignment w:val="auto"/>
        <w:rPr>
          <w:rFonts w:ascii="宋体" w:hAnsi="宋体" w:eastAsiaTheme="minorEastAsia"/>
          <w:color w:val="auto"/>
          <w:kern w:val="2"/>
          <w:sz w:val="24"/>
          <w:szCs w:val="24"/>
          <w:highlight w:val="none"/>
        </w:rPr>
      </w:pPr>
      <w:bookmarkStart w:id="29" w:name="EB1e3322fc99bc4e90ad550ee8f04d4855"/>
      <w:r>
        <w:rPr>
          <w:rFonts w:hint="eastAsia" w:ascii="宋体" w:hAnsi="宋体" w:eastAsiaTheme="minorEastAsia"/>
          <w:color w:val="auto"/>
          <w:kern w:val="2"/>
          <w:sz w:val="24"/>
          <w:szCs w:val="24"/>
          <w:highlight w:val="none"/>
        </w:rPr>
        <w:t>9.</w:t>
      </w:r>
      <w:r>
        <w:rPr>
          <w:rFonts w:ascii="宋体" w:hAnsi="宋体" w:eastAsiaTheme="minorEastAsia"/>
          <w:color w:val="auto"/>
          <w:kern w:val="2"/>
          <w:sz w:val="24"/>
          <w:szCs w:val="24"/>
          <w:highlight w:val="none"/>
        </w:rPr>
        <w:t>投标</w:t>
      </w:r>
      <w:r>
        <w:rPr>
          <w:rFonts w:hint="eastAsia" w:ascii="宋体" w:hAnsi="宋体" w:eastAsiaTheme="minorEastAsia"/>
          <w:color w:val="auto"/>
          <w:kern w:val="2"/>
          <w:sz w:val="24"/>
          <w:szCs w:val="24"/>
          <w:highlight w:val="none"/>
        </w:rPr>
        <w:t>人资格</w:t>
      </w:r>
      <w:r>
        <w:rPr>
          <w:rFonts w:ascii="宋体" w:hAnsi="宋体" w:eastAsiaTheme="minorEastAsia"/>
          <w:color w:val="auto"/>
          <w:kern w:val="2"/>
          <w:sz w:val="24"/>
          <w:szCs w:val="24"/>
          <w:highlight w:val="none"/>
        </w:rPr>
        <w:t>要求：</w:t>
      </w:r>
    </w:p>
    <w:bookmarkEnd w:id="29"/>
    <w:p>
      <w:pPr>
        <w:pStyle w:val="14"/>
        <w:pageBreakBefore w:val="0"/>
        <w:kinsoku/>
        <w:wordWrap/>
        <w:overflowPunct/>
        <w:topLinePunct w:val="0"/>
        <w:bidi w:val="0"/>
        <w:snapToGrid/>
        <w:spacing w:line="360" w:lineRule="auto"/>
        <w:ind w:firstLine="480" w:firstLineChars="200"/>
        <w:rPr>
          <w:rFonts w:hint="eastAsia" w:hAnsi="宋体" w:cs="Times New Roman"/>
          <w:color w:val="auto"/>
          <w:sz w:val="24"/>
          <w:szCs w:val="24"/>
          <w:highlight w:val="none"/>
        </w:rPr>
      </w:pPr>
      <w:r>
        <w:rPr>
          <w:rFonts w:hint="eastAsia" w:hAnsi="宋体" w:cs="Times New Roman"/>
          <w:color w:val="auto"/>
          <w:sz w:val="24"/>
          <w:szCs w:val="24"/>
          <w:highlight w:val="none"/>
        </w:rPr>
        <w:t>（1）投标人须具备独立法人资格</w:t>
      </w:r>
      <w:bookmarkStart w:id="30" w:name="_Toc62715975"/>
      <w:r>
        <w:rPr>
          <w:rFonts w:hint="eastAsia" w:hAnsi="宋体" w:cs="Times New Roman"/>
          <w:color w:val="auto"/>
          <w:sz w:val="24"/>
          <w:szCs w:val="24"/>
          <w:highlight w:val="none"/>
          <w:lang w:val="en-US" w:eastAsia="zh-CN"/>
        </w:rPr>
        <w:t>,</w:t>
      </w:r>
      <w:r>
        <w:rPr>
          <w:rFonts w:hint="eastAsia" w:hAnsi="宋体" w:cs="Times New Roman"/>
          <w:color w:val="auto"/>
          <w:sz w:val="24"/>
          <w:szCs w:val="24"/>
          <w:highlight w:val="none"/>
        </w:rPr>
        <w:t>持有有效的企业法人营业执照或事业单位法人证书，通过全国投资项目在线审批监管平台备案的咨询企业（备案专业含</w:t>
      </w:r>
      <w:r>
        <w:rPr>
          <w:rFonts w:hint="eastAsia" w:hAnsi="宋体" w:cs="Times New Roman"/>
          <w:color w:val="auto"/>
          <w:sz w:val="24"/>
          <w:szCs w:val="24"/>
          <w:highlight w:val="none"/>
          <w:lang w:val="en-US" w:eastAsia="zh-CN"/>
        </w:rPr>
        <w:t>市政公用工程或公路</w:t>
      </w:r>
      <w:r>
        <w:rPr>
          <w:rFonts w:hint="eastAsia" w:hAnsi="宋体" w:cs="Times New Roman"/>
          <w:color w:val="auto"/>
          <w:sz w:val="24"/>
          <w:szCs w:val="24"/>
          <w:highlight w:val="none"/>
        </w:rPr>
        <w:t>），并在人员组成结构等方面具有相应的咨询能力。</w:t>
      </w:r>
    </w:p>
    <w:p>
      <w:pPr>
        <w:pStyle w:val="14"/>
        <w:pageBreakBefore w:val="0"/>
        <w:kinsoku/>
        <w:wordWrap/>
        <w:overflowPunct/>
        <w:topLinePunct w:val="0"/>
        <w:bidi w:val="0"/>
        <w:snapToGrid/>
        <w:spacing w:line="360" w:lineRule="auto"/>
        <w:ind w:firstLine="456" w:firstLineChars="200"/>
        <w:rPr>
          <w:rFonts w:hint="eastAsia" w:hAnsi="宋体" w:cs="宋体"/>
          <w:color w:val="auto"/>
          <w:sz w:val="24"/>
          <w:szCs w:val="24"/>
          <w:highlight w:val="none"/>
        </w:rPr>
      </w:pPr>
      <w:r>
        <w:rPr>
          <w:rFonts w:hint="eastAsia" w:hAnsi="宋体"/>
          <w:color w:val="auto"/>
          <w:spacing w:val="-6"/>
          <w:sz w:val="24"/>
          <w:szCs w:val="24"/>
          <w:highlight w:val="none"/>
        </w:rPr>
        <w:t>（2）</w:t>
      </w:r>
      <w:r>
        <w:rPr>
          <w:rFonts w:hint="eastAsia" w:ascii="宋体" w:hAnsi="宋体" w:eastAsia="宋体" w:cs="宋体"/>
          <w:color w:val="auto"/>
          <w:sz w:val="24"/>
          <w:szCs w:val="24"/>
          <w:highlight w:val="none"/>
        </w:rPr>
        <w:t>投标人须具有</w:t>
      </w:r>
      <w:r>
        <w:rPr>
          <w:rFonts w:hint="eastAsia" w:hAnsi="宋体" w:cs="宋体"/>
          <w:color w:val="auto"/>
          <w:sz w:val="24"/>
          <w:szCs w:val="24"/>
          <w:highlight w:val="none"/>
        </w:rPr>
        <w:t>工程监理综合</w:t>
      </w:r>
      <w:r>
        <w:rPr>
          <w:rFonts w:hint="eastAsia" w:hAnsi="宋体" w:cs="宋体"/>
          <w:color w:val="auto"/>
          <w:sz w:val="24"/>
          <w:szCs w:val="24"/>
          <w:highlight w:val="none"/>
          <w:lang w:val="en-US" w:eastAsia="zh-CN"/>
        </w:rPr>
        <w:t>甲级</w:t>
      </w:r>
      <w:r>
        <w:rPr>
          <w:rFonts w:hint="eastAsia" w:hAnsi="宋体" w:cs="宋体"/>
          <w:color w:val="auto"/>
          <w:sz w:val="24"/>
          <w:szCs w:val="24"/>
          <w:highlight w:val="none"/>
        </w:rPr>
        <w:t>资质或</w:t>
      </w:r>
      <w:r>
        <w:rPr>
          <w:rFonts w:hint="eastAsia" w:hAnsi="宋体"/>
          <w:color w:val="auto"/>
          <w:spacing w:val="-6"/>
          <w:sz w:val="24"/>
          <w:szCs w:val="24"/>
          <w:highlight w:val="none"/>
        </w:rPr>
        <w:t>市政公用</w:t>
      </w:r>
      <w:r>
        <w:rPr>
          <w:rFonts w:hint="eastAsia" w:hAnsi="宋体" w:cs="宋体"/>
          <w:color w:val="auto"/>
          <w:sz w:val="24"/>
          <w:szCs w:val="24"/>
          <w:highlight w:val="none"/>
        </w:rPr>
        <w:t>工程监理甲级资质；</w:t>
      </w:r>
      <w:bookmarkEnd w:id="30"/>
    </w:p>
    <w:p>
      <w:pPr>
        <w:pStyle w:val="14"/>
        <w:pageBreakBefore w:val="0"/>
        <w:kinsoku/>
        <w:wordWrap/>
        <w:overflowPunct/>
        <w:topLinePunct w:val="0"/>
        <w:bidi w:val="0"/>
        <w:snapToGrid/>
        <w:spacing w:line="360" w:lineRule="auto"/>
        <w:ind w:firstLine="480" w:firstLineChars="200"/>
        <w:rPr>
          <w:rFonts w:hint="eastAsia" w:hAnsi="宋体" w:cs="宋体"/>
          <w:b/>
          <w:bCs/>
          <w:color w:val="auto"/>
          <w:sz w:val="24"/>
          <w:szCs w:val="24"/>
          <w:highlight w:val="none"/>
          <w:lang w:eastAsia="zh-CN"/>
        </w:rPr>
      </w:pPr>
      <w:bookmarkStart w:id="31" w:name="_Toc62715978"/>
      <w:r>
        <w:rPr>
          <w:rFonts w:hint="eastAsia" w:hAnsi="宋体" w:cs="宋体"/>
          <w:color w:val="auto"/>
          <w:sz w:val="24"/>
          <w:szCs w:val="24"/>
          <w:highlight w:val="none"/>
        </w:rPr>
        <w:t>（</w:t>
      </w:r>
      <w:r>
        <w:rPr>
          <w:rFonts w:hint="eastAsia" w:hAnsi="宋体" w:cs="宋体"/>
          <w:color w:val="auto"/>
          <w:sz w:val="24"/>
          <w:szCs w:val="24"/>
          <w:highlight w:val="none"/>
          <w:lang w:val="en-US" w:eastAsia="zh-CN"/>
        </w:rPr>
        <w:t>3</w:t>
      </w:r>
      <w:r>
        <w:rPr>
          <w:rFonts w:hint="eastAsia" w:hAnsi="宋体" w:cs="宋体"/>
          <w:color w:val="auto"/>
          <w:sz w:val="24"/>
          <w:szCs w:val="24"/>
          <w:highlight w:val="none"/>
        </w:rPr>
        <w:t>）本项目接受联合体投标</w:t>
      </w:r>
      <w:r>
        <w:rPr>
          <w:rFonts w:hint="eastAsia" w:hAnsi="宋体" w:cs="宋体"/>
          <w:color w:val="auto"/>
          <w:sz w:val="24"/>
          <w:szCs w:val="24"/>
          <w:highlight w:val="none"/>
          <w:lang w:eastAsia="zh-CN"/>
        </w:rPr>
        <w:t>，</w:t>
      </w:r>
      <w:r>
        <w:rPr>
          <w:rFonts w:hint="eastAsia" w:hAnsi="宋体" w:cs="宋体"/>
          <w:b/>
          <w:bCs/>
          <w:color w:val="auto"/>
          <w:sz w:val="24"/>
          <w:szCs w:val="24"/>
          <w:highlight w:val="none"/>
        </w:rPr>
        <w:t>联合体成员不得超过2家</w:t>
      </w:r>
      <w:bookmarkEnd w:id="31"/>
      <w:r>
        <w:rPr>
          <w:rFonts w:hint="eastAsia" w:hAnsi="宋体" w:cs="宋体"/>
          <w:b/>
          <w:bCs/>
          <w:color w:val="auto"/>
          <w:sz w:val="24"/>
          <w:szCs w:val="24"/>
          <w:highlight w:val="none"/>
          <w:lang w:eastAsia="zh-CN"/>
        </w:rPr>
        <w:t>。</w:t>
      </w:r>
    </w:p>
    <w:p>
      <w:pPr>
        <w:pStyle w:val="14"/>
        <w:pageBreakBefore w:val="0"/>
        <w:kinsoku/>
        <w:wordWrap/>
        <w:overflowPunct/>
        <w:topLinePunct w:val="0"/>
        <w:bidi w:val="0"/>
        <w:snapToGrid/>
        <w:spacing w:line="360" w:lineRule="auto"/>
        <w:ind w:firstLine="480" w:firstLineChars="200"/>
        <w:rPr>
          <w:rFonts w:hint="eastAsia" w:hAnsi="宋体" w:cs="Times New Roman"/>
          <w:color w:val="auto"/>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4</w:t>
      </w:r>
      <w:r>
        <w:rPr>
          <w:rFonts w:hint="eastAsia" w:hAnsi="宋体" w:cs="宋体"/>
          <w:color w:val="auto"/>
          <w:sz w:val="24"/>
          <w:szCs w:val="24"/>
          <w:highlight w:val="none"/>
        </w:rPr>
        <w:t>）</w:t>
      </w:r>
      <w:r>
        <w:rPr>
          <w:rFonts w:hint="eastAsia" w:hAnsi="宋体" w:cs="Times New Roman"/>
          <w:color w:val="auto"/>
          <w:sz w:val="24"/>
          <w:szCs w:val="24"/>
          <w:highlight w:val="none"/>
        </w:rPr>
        <w:t>投标人（联合体投标时，指联合体各方）为省外企业的，须已办理进浙备案相关手续；</w:t>
      </w:r>
    </w:p>
    <w:p>
      <w:pPr>
        <w:pStyle w:val="14"/>
        <w:pageBreakBefore w:val="0"/>
        <w:kinsoku/>
        <w:wordWrap/>
        <w:overflowPunct/>
        <w:topLinePunct w:val="0"/>
        <w:bidi w:val="0"/>
        <w:snapToGrid/>
        <w:spacing w:line="360" w:lineRule="auto"/>
        <w:ind w:firstLine="480" w:firstLineChars="200"/>
        <w:rPr>
          <w:rFonts w:hint="eastAsia" w:hAnsi="宋体" w:cs="Times New Roman"/>
          <w:color w:val="auto"/>
          <w:sz w:val="24"/>
          <w:szCs w:val="24"/>
          <w:highlight w:val="none"/>
        </w:rPr>
      </w:pPr>
      <w:r>
        <w:rPr>
          <w:rFonts w:hint="eastAsia" w:hAnsi="宋体" w:cs="Times New Roman"/>
          <w:color w:val="auto"/>
          <w:sz w:val="24"/>
          <w:szCs w:val="24"/>
          <w:highlight w:val="none"/>
        </w:rPr>
        <w:t>（</w:t>
      </w:r>
      <w:r>
        <w:rPr>
          <w:rFonts w:hint="eastAsia" w:hAnsi="宋体" w:cs="Times New Roman"/>
          <w:color w:val="auto"/>
          <w:sz w:val="24"/>
          <w:szCs w:val="24"/>
          <w:highlight w:val="none"/>
          <w:lang w:val="en-US" w:eastAsia="zh-CN"/>
        </w:rPr>
        <w:t>5</w:t>
      </w:r>
      <w:r>
        <w:rPr>
          <w:rFonts w:hint="eastAsia" w:hAnsi="宋体" w:cs="Times New Roman"/>
          <w:color w:val="auto"/>
          <w:sz w:val="24"/>
          <w:szCs w:val="24"/>
          <w:highlight w:val="none"/>
        </w:rPr>
        <w:t>）投标人（联合体投标的，指联合体各方）及其分公司</w:t>
      </w:r>
      <w:r>
        <w:rPr>
          <w:rFonts w:hint="eastAsia" w:hAnsi="宋体" w:cs="Times New Roman"/>
          <w:color w:val="auto"/>
          <w:sz w:val="24"/>
          <w:szCs w:val="24"/>
          <w:highlight w:val="none"/>
          <w:lang w:val="en-US" w:eastAsia="zh-CN"/>
        </w:rPr>
        <w:t>未</w:t>
      </w:r>
      <w:r>
        <w:rPr>
          <w:rFonts w:hint="eastAsia" w:hAnsi="宋体" w:cs="Times New Roman"/>
          <w:color w:val="auto"/>
          <w:sz w:val="24"/>
          <w:szCs w:val="24"/>
          <w:highlight w:val="none"/>
        </w:rPr>
        <w:t>被市场监督管理机关在国家企业信用信息公示系统中列入严重违法失信企业名单</w:t>
      </w:r>
      <w:r>
        <w:rPr>
          <w:rFonts w:hint="eastAsia" w:hAnsi="宋体" w:cs="Times New Roman"/>
          <w:color w:val="auto"/>
          <w:sz w:val="24"/>
          <w:szCs w:val="24"/>
          <w:highlight w:val="none"/>
          <w:lang w:eastAsia="zh-CN"/>
        </w:rPr>
        <w:t>（</w:t>
      </w:r>
      <w:r>
        <w:rPr>
          <w:rFonts w:hint="eastAsia" w:hAnsi="宋体" w:cs="Times New Roman"/>
          <w:color w:val="auto"/>
          <w:sz w:val="24"/>
          <w:szCs w:val="24"/>
          <w:highlight w:val="none"/>
          <w:lang w:val="en-US" w:eastAsia="zh-CN"/>
        </w:rPr>
        <w:t>黑名单</w:t>
      </w:r>
      <w:r>
        <w:rPr>
          <w:rFonts w:hint="eastAsia" w:hAnsi="宋体" w:cs="Times New Roman"/>
          <w:color w:val="auto"/>
          <w:sz w:val="24"/>
          <w:szCs w:val="24"/>
          <w:highlight w:val="none"/>
          <w:lang w:eastAsia="zh-CN"/>
        </w:rPr>
        <w:t>）</w:t>
      </w:r>
      <w:r>
        <w:rPr>
          <w:rFonts w:hint="eastAsia" w:hAnsi="宋体" w:cs="Times New Roman"/>
          <w:color w:val="auto"/>
          <w:sz w:val="24"/>
          <w:szCs w:val="24"/>
          <w:highlight w:val="none"/>
        </w:rPr>
        <w:t>，以开标时的查询结果为准；</w:t>
      </w:r>
    </w:p>
    <w:p>
      <w:pPr>
        <w:pStyle w:val="14"/>
        <w:pageBreakBefore w:val="0"/>
        <w:kinsoku/>
        <w:wordWrap/>
        <w:overflowPunct/>
        <w:topLinePunct w:val="0"/>
        <w:bidi w:val="0"/>
        <w:snapToGrid/>
        <w:spacing w:line="360" w:lineRule="auto"/>
        <w:ind w:firstLine="480" w:firstLineChars="200"/>
        <w:rPr>
          <w:rFonts w:hint="eastAsia" w:hAnsi="宋体" w:cs="Times New Roman"/>
          <w:color w:val="auto"/>
          <w:sz w:val="24"/>
          <w:szCs w:val="24"/>
          <w:highlight w:val="none"/>
        </w:rPr>
      </w:pPr>
      <w:r>
        <w:rPr>
          <w:rFonts w:hint="eastAsia" w:hAnsi="宋体" w:cs="Times New Roman"/>
          <w:color w:val="auto"/>
          <w:sz w:val="24"/>
          <w:szCs w:val="24"/>
          <w:highlight w:val="none"/>
        </w:rPr>
        <w:t>（</w:t>
      </w:r>
      <w:r>
        <w:rPr>
          <w:rFonts w:hint="eastAsia" w:hAnsi="宋体" w:cs="Times New Roman"/>
          <w:color w:val="auto"/>
          <w:sz w:val="24"/>
          <w:szCs w:val="24"/>
          <w:highlight w:val="none"/>
          <w:lang w:val="en-US" w:eastAsia="zh-CN"/>
        </w:rPr>
        <w:t>6</w:t>
      </w:r>
      <w:r>
        <w:rPr>
          <w:rFonts w:hint="eastAsia" w:hAnsi="宋体" w:cs="Times New Roman"/>
          <w:color w:val="auto"/>
          <w:sz w:val="24"/>
          <w:szCs w:val="24"/>
          <w:highlight w:val="none"/>
        </w:rPr>
        <w:t>）投标人（联合体投标的，指联合体各方）</w:t>
      </w:r>
      <w:r>
        <w:rPr>
          <w:rFonts w:hint="eastAsia" w:hAnsi="宋体" w:cs="Times New Roman"/>
          <w:color w:val="auto"/>
          <w:sz w:val="24"/>
          <w:szCs w:val="24"/>
          <w:highlight w:val="none"/>
          <w:lang w:val="en-US" w:eastAsia="zh-CN"/>
        </w:rPr>
        <w:t>未</w:t>
      </w:r>
      <w:r>
        <w:rPr>
          <w:rFonts w:hint="eastAsia" w:hAnsi="宋体" w:cs="Times New Roman"/>
          <w:color w:val="auto"/>
          <w:sz w:val="24"/>
          <w:szCs w:val="24"/>
          <w:highlight w:val="none"/>
        </w:rPr>
        <w:t>被市场监督管理机关在国家企业信用信息公示系统中列入经营异常名录，以开标时的查询结果为准；</w:t>
      </w:r>
    </w:p>
    <w:p>
      <w:pPr>
        <w:pStyle w:val="14"/>
        <w:pageBreakBefore w:val="0"/>
        <w:kinsoku/>
        <w:wordWrap/>
        <w:overflowPunct/>
        <w:topLinePunct w:val="0"/>
        <w:bidi w:val="0"/>
        <w:snapToGrid/>
        <w:spacing w:line="360" w:lineRule="auto"/>
        <w:ind w:firstLine="480" w:firstLineChars="200"/>
        <w:rPr>
          <w:rFonts w:hint="eastAsia" w:hAnsi="宋体" w:cs="Times New Roman"/>
          <w:color w:val="auto"/>
          <w:sz w:val="24"/>
          <w:szCs w:val="24"/>
          <w:highlight w:val="none"/>
        </w:rPr>
      </w:pPr>
      <w:r>
        <w:rPr>
          <w:rFonts w:hint="eastAsia" w:hAnsi="宋体" w:cs="Times New Roman"/>
          <w:color w:val="auto"/>
          <w:sz w:val="24"/>
          <w:szCs w:val="24"/>
          <w:highlight w:val="none"/>
        </w:rPr>
        <w:t>（</w:t>
      </w:r>
      <w:r>
        <w:rPr>
          <w:rFonts w:hint="eastAsia" w:hAnsi="宋体" w:cs="Times New Roman"/>
          <w:color w:val="auto"/>
          <w:sz w:val="24"/>
          <w:szCs w:val="24"/>
          <w:highlight w:val="none"/>
          <w:lang w:val="en-US" w:eastAsia="zh-CN"/>
        </w:rPr>
        <w:t>7</w:t>
      </w:r>
      <w:r>
        <w:rPr>
          <w:rFonts w:hint="eastAsia" w:hAnsi="宋体" w:cs="Times New Roman"/>
          <w:color w:val="auto"/>
          <w:sz w:val="24"/>
          <w:szCs w:val="24"/>
          <w:highlight w:val="none"/>
        </w:rPr>
        <w:t>）投标人（联合体投标的，指联合体各方）及其分公司未被“信用中国”网站（http://www.creditchina.gov.cn）列入失信被执行人名单</w:t>
      </w:r>
      <w:r>
        <w:rPr>
          <w:rFonts w:hint="eastAsia" w:hAnsi="宋体" w:cs="Times New Roman"/>
          <w:color w:val="auto"/>
          <w:sz w:val="24"/>
          <w:szCs w:val="24"/>
          <w:highlight w:val="none"/>
          <w:lang w:eastAsia="zh-CN"/>
        </w:rPr>
        <w:t>，</w:t>
      </w:r>
      <w:r>
        <w:rPr>
          <w:rFonts w:hint="eastAsia" w:hAnsi="宋体" w:cs="Times New Roman"/>
          <w:color w:val="auto"/>
          <w:sz w:val="24"/>
          <w:szCs w:val="24"/>
          <w:highlight w:val="none"/>
        </w:rPr>
        <w:t>以开标时的查询结果为准；</w:t>
      </w:r>
    </w:p>
    <w:p>
      <w:pPr>
        <w:pStyle w:val="14"/>
        <w:pageBreakBefore w:val="0"/>
        <w:kinsoku/>
        <w:wordWrap/>
        <w:overflowPunct/>
        <w:topLinePunct w:val="0"/>
        <w:bidi w:val="0"/>
        <w:snapToGrid/>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）自2018年</w:t>
      </w:r>
      <w:r>
        <w:rPr>
          <w:rFonts w:hint="eastAsia"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月1日以来至投标截止时间投标人</w:t>
      </w:r>
      <w:r>
        <w:rPr>
          <w:rFonts w:hint="eastAsia" w:ascii="宋体" w:hAnsi="宋体" w:eastAsia="宋体" w:cs="Times New Roman"/>
          <w:color w:val="auto"/>
          <w:sz w:val="24"/>
          <w:szCs w:val="24"/>
          <w:highlight w:val="none"/>
        </w:rPr>
        <w:t>（联合体投标的，指联合体各方）</w:t>
      </w:r>
      <w:r>
        <w:rPr>
          <w:rFonts w:hint="eastAsia" w:ascii="宋体" w:hAnsi="宋体" w:eastAsia="宋体" w:cs="Times New Roman"/>
          <w:color w:val="auto"/>
          <w:sz w:val="24"/>
          <w:szCs w:val="24"/>
          <w:highlight w:val="none"/>
          <w:lang w:val="en-US" w:eastAsia="zh-CN"/>
        </w:rPr>
        <w:t>及拟派</w:t>
      </w:r>
      <w:r>
        <w:rPr>
          <w:rFonts w:hint="eastAsia" w:hAnsi="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lang w:val="en-US" w:eastAsia="zh-CN"/>
        </w:rPr>
        <w:t>负责人</w:t>
      </w:r>
      <w:r>
        <w:rPr>
          <w:rFonts w:hint="eastAsia" w:hAnsi="宋体" w:cs="Times New Roman"/>
          <w:color w:val="auto"/>
          <w:sz w:val="24"/>
          <w:szCs w:val="24"/>
          <w:highlight w:val="none"/>
          <w:lang w:val="en-US" w:eastAsia="zh-CN"/>
        </w:rPr>
        <w:t>及分项负责人</w:t>
      </w:r>
      <w:r>
        <w:rPr>
          <w:rFonts w:hint="eastAsia" w:ascii="宋体" w:hAnsi="宋体" w:eastAsia="宋体" w:cs="Times New Roman"/>
          <w:color w:val="auto"/>
          <w:sz w:val="24"/>
          <w:szCs w:val="24"/>
          <w:highlight w:val="none"/>
          <w:lang w:val="en-US" w:eastAsia="zh-CN"/>
        </w:rPr>
        <w:t>无行贿犯罪记录（行贿犯罪行为的认定以中国裁判文书网（http://wenshu.court.gov.cn/）网站查询结果为准,投标文件中无需提供查询结果，在公示期间由招标人查询）；</w:t>
      </w:r>
    </w:p>
    <w:p>
      <w:pPr>
        <w:pStyle w:val="14"/>
        <w:pageBreakBefore w:val="0"/>
        <w:kinsoku/>
        <w:wordWrap/>
        <w:overflowPunct/>
        <w:topLinePunct w:val="0"/>
        <w:bidi w:val="0"/>
        <w:snapToGrid/>
        <w:spacing w:line="360" w:lineRule="auto"/>
        <w:ind w:firstLine="480" w:firstLineChars="200"/>
        <w:rPr>
          <w:rFonts w:hint="eastAsia" w:hAnsi="宋体" w:cs="Times New Roman"/>
          <w:color w:val="auto"/>
          <w:sz w:val="24"/>
          <w:szCs w:val="24"/>
          <w:highlight w:val="none"/>
        </w:rPr>
      </w:pPr>
      <w:r>
        <w:rPr>
          <w:rFonts w:hint="eastAsia" w:hAnsi="宋体" w:cs="Times New Roman"/>
          <w:color w:val="auto"/>
          <w:sz w:val="24"/>
          <w:szCs w:val="24"/>
          <w:highlight w:val="none"/>
        </w:rPr>
        <w:t>（</w:t>
      </w:r>
      <w:r>
        <w:rPr>
          <w:rFonts w:hint="eastAsia" w:hAnsi="宋体" w:cs="Times New Roman"/>
          <w:color w:val="auto"/>
          <w:sz w:val="24"/>
          <w:szCs w:val="24"/>
          <w:highlight w:val="none"/>
          <w:lang w:val="en-US" w:eastAsia="zh-CN"/>
        </w:rPr>
        <w:t>9</w:t>
      </w:r>
      <w:r>
        <w:rPr>
          <w:rFonts w:hint="eastAsia" w:hAnsi="宋体" w:cs="Times New Roman"/>
          <w:color w:val="auto"/>
          <w:sz w:val="24"/>
          <w:szCs w:val="24"/>
          <w:highlight w:val="none"/>
        </w:rPr>
        <w:t>）投标人（联合体投标的，指联合体各方）不得存在进入清算程序或被宣告破产，或其他丧失履约能力的情形。</w:t>
      </w:r>
    </w:p>
    <w:p>
      <w:pPr>
        <w:pStyle w:val="14"/>
        <w:pageBreakBefore w:val="0"/>
        <w:kinsoku/>
        <w:wordWrap/>
        <w:overflowPunct/>
        <w:topLinePunct w:val="0"/>
        <w:bidi w:val="0"/>
        <w:snapToGrid/>
        <w:spacing w:line="360" w:lineRule="auto"/>
        <w:ind w:firstLine="480" w:firstLineChars="200"/>
        <w:rPr>
          <w:rFonts w:hAnsi="宋体" w:cs="宋体"/>
          <w:color w:val="auto"/>
          <w:sz w:val="24"/>
          <w:szCs w:val="24"/>
          <w:highlight w:val="none"/>
        </w:rPr>
      </w:pPr>
      <w:bookmarkStart w:id="32" w:name="_Toc62715979"/>
      <w:r>
        <w:rPr>
          <w:rFonts w:hint="eastAsia" w:hAnsi="宋体" w:cs="宋体"/>
          <w:color w:val="auto"/>
          <w:sz w:val="24"/>
          <w:szCs w:val="24"/>
          <w:highlight w:val="none"/>
        </w:rPr>
        <w:t>10.拟派负责人资格要求</w:t>
      </w:r>
      <w:bookmarkEnd w:id="32"/>
    </w:p>
    <w:p>
      <w:pPr>
        <w:pageBreakBefore w:val="0"/>
        <w:kinsoku/>
        <w:wordWrap/>
        <w:overflowPunct/>
        <w:topLinePunct w:val="0"/>
        <w:bidi w:val="0"/>
        <w:snapToGrid/>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（1）</w:t>
      </w:r>
      <w:r>
        <w:rPr>
          <w:rFonts w:hint="eastAsia" w:hAnsi="宋体"/>
          <w:b/>
          <w:bCs/>
          <w:color w:val="auto"/>
          <w:sz w:val="24"/>
          <w:szCs w:val="24"/>
          <w:highlight w:val="none"/>
        </w:rPr>
        <w:t>项目负责人资格要求</w:t>
      </w:r>
      <w:r>
        <w:rPr>
          <w:rFonts w:hint="eastAsia" w:hAnsi="宋体"/>
          <w:color w:val="auto"/>
          <w:sz w:val="24"/>
          <w:szCs w:val="24"/>
          <w:highlight w:val="none"/>
        </w:rPr>
        <w:t>：</w:t>
      </w:r>
    </w:p>
    <w:p>
      <w:pPr>
        <w:spacing w:line="360" w:lineRule="auto"/>
        <w:ind w:firstLine="720" w:firstLineChars="300"/>
        <w:rPr>
          <w:rFonts w:hint="eastAsia" w:hAnsi="宋体"/>
          <w:b/>
          <w:bCs w:val="0"/>
          <w:color w:val="auto"/>
          <w:sz w:val="24"/>
          <w:szCs w:val="24"/>
          <w:highlight w:val="none"/>
        </w:rPr>
      </w:pPr>
      <w:r>
        <w:rPr>
          <w:rFonts w:hint="eastAsia" w:hAnsi="宋体"/>
          <w:color w:val="auto"/>
          <w:sz w:val="24"/>
          <w:szCs w:val="24"/>
          <w:highlight w:val="none"/>
          <w:lang w:val="en-US" w:eastAsia="zh-CN"/>
        </w:rPr>
        <w:t>1</w:t>
      </w:r>
      <w:r>
        <w:rPr>
          <w:rFonts w:hint="eastAsia" w:hAnsi="宋体"/>
          <w:color w:val="auto"/>
          <w:sz w:val="24"/>
          <w:szCs w:val="24"/>
          <w:highlight w:val="none"/>
          <w:lang w:eastAsia="zh-CN"/>
        </w:rPr>
        <w:t>）</w:t>
      </w:r>
      <w:r>
        <w:rPr>
          <w:rFonts w:hint="eastAsia" w:hAnsi="宋体"/>
          <w:color w:val="auto"/>
          <w:sz w:val="24"/>
          <w:szCs w:val="24"/>
          <w:highlight w:val="none"/>
        </w:rPr>
        <w:t>具备国家注册监理工程师（市政公用工程）</w:t>
      </w:r>
      <w:r>
        <w:rPr>
          <w:rFonts w:hint="eastAsia" w:hAnsi="宋体"/>
          <w:color w:val="auto"/>
          <w:sz w:val="24"/>
          <w:szCs w:val="24"/>
          <w:highlight w:val="none"/>
          <w:lang w:val="en-US" w:eastAsia="zh-CN"/>
        </w:rPr>
        <w:t>证书</w:t>
      </w:r>
      <w:r>
        <w:rPr>
          <w:rFonts w:hint="eastAsia" w:hAnsi="宋体"/>
          <w:color w:val="auto"/>
          <w:sz w:val="24"/>
          <w:szCs w:val="24"/>
          <w:highlight w:val="none"/>
        </w:rPr>
        <w:t>或注册咨询工程师</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投资</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证书</w:t>
      </w:r>
      <w:r>
        <w:rPr>
          <w:rFonts w:hint="eastAsia" w:hAnsi="宋体"/>
          <w:color w:val="auto"/>
          <w:sz w:val="24"/>
          <w:szCs w:val="24"/>
          <w:highlight w:val="none"/>
        </w:rPr>
        <w:t>或一级注册造价工程师</w:t>
      </w:r>
      <w:r>
        <w:rPr>
          <w:rFonts w:hint="eastAsia" w:hAnsi="宋体"/>
          <w:color w:val="auto"/>
          <w:sz w:val="24"/>
          <w:szCs w:val="24"/>
          <w:highlight w:val="none"/>
          <w:lang w:val="en-US" w:eastAsia="zh-CN"/>
        </w:rPr>
        <w:t>证书</w:t>
      </w:r>
      <w:r>
        <w:rPr>
          <w:rFonts w:hint="eastAsia" w:hAnsi="宋体"/>
          <w:color w:val="auto"/>
          <w:sz w:val="24"/>
          <w:szCs w:val="24"/>
          <w:highlight w:val="none"/>
        </w:rPr>
        <w:t>或一级建造师（市政公用工程）注册</w:t>
      </w:r>
      <w:r>
        <w:rPr>
          <w:rFonts w:hint="eastAsia" w:hAnsi="宋体"/>
          <w:color w:val="auto"/>
          <w:sz w:val="24"/>
          <w:szCs w:val="24"/>
          <w:highlight w:val="none"/>
          <w:lang w:val="en-US" w:eastAsia="zh-CN"/>
        </w:rPr>
        <w:t>证书</w:t>
      </w:r>
      <w:r>
        <w:rPr>
          <w:rFonts w:hint="eastAsia" w:hAnsi="宋体"/>
          <w:color w:val="auto"/>
          <w:sz w:val="24"/>
          <w:szCs w:val="24"/>
          <w:highlight w:val="none"/>
        </w:rPr>
        <w:t>或一级注册建筑师</w:t>
      </w:r>
      <w:r>
        <w:rPr>
          <w:rFonts w:hint="eastAsia" w:hAnsi="宋体"/>
          <w:color w:val="auto"/>
          <w:sz w:val="24"/>
          <w:szCs w:val="24"/>
          <w:highlight w:val="none"/>
          <w:lang w:val="en-US" w:eastAsia="zh-CN"/>
        </w:rPr>
        <w:t>证书或注册土木工程师（道路工程）证书</w:t>
      </w:r>
      <w:r>
        <w:rPr>
          <w:rFonts w:hint="eastAsia" w:hAnsi="宋体"/>
          <w:color w:val="auto"/>
          <w:sz w:val="24"/>
          <w:szCs w:val="24"/>
          <w:highlight w:val="none"/>
        </w:rPr>
        <w:t>，须注册在投标单位，并同时具备工程类（或工程经济类）</w:t>
      </w:r>
      <w:r>
        <w:rPr>
          <w:rFonts w:hint="eastAsia" w:hAnsi="宋体"/>
          <w:color w:val="auto"/>
          <w:sz w:val="24"/>
          <w:szCs w:val="24"/>
          <w:highlight w:val="none"/>
          <w:lang w:val="en-US" w:eastAsia="zh-CN"/>
        </w:rPr>
        <w:t>中级</w:t>
      </w:r>
      <w:r>
        <w:rPr>
          <w:rFonts w:hint="eastAsia" w:hAnsi="宋体"/>
          <w:color w:val="auto"/>
          <w:sz w:val="24"/>
          <w:szCs w:val="24"/>
          <w:highlight w:val="none"/>
        </w:rPr>
        <w:t>及以上职称；</w:t>
      </w:r>
      <w:r>
        <w:rPr>
          <w:rFonts w:hint="eastAsia" w:ascii="宋体" w:hAnsi="宋体" w:cs="宋体"/>
          <w:b/>
          <w:bCs w:val="0"/>
          <w:color w:val="auto"/>
          <w:sz w:val="24"/>
          <w:szCs w:val="24"/>
          <w:highlight w:val="none"/>
        </w:rPr>
        <w:t>如为联合体投标，项目负责人必须由联合体牵头人拟派。</w:t>
      </w:r>
    </w:p>
    <w:p>
      <w:pPr>
        <w:pStyle w:val="14"/>
        <w:numPr>
          <w:ilvl w:val="0"/>
          <w:numId w:val="0"/>
        </w:numPr>
        <w:spacing w:line="360" w:lineRule="auto"/>
        <w:ind w:right="-328" w:rightChars="-164" w:firstLine="720" w:firstLineChars="300"/>
        <w:rPr>
          <w:rFonts w:hint="eastAsia" w:hAnsi="宋体" w:cs="仿宋"/>
          <w:bCs/>
          <w:color w:val="auto"/>
          <w:spacing w:val="2"/>
          <w:sz w:val="24"/>
          <w:szCs w:val="24"/>
          <w:highlight w:val="none"/>
          <w:lang w:eastAsia="zh-CN"/>
        </w:rPr>
      </w:pPr>
      <w:r>
        <w:rPr>
          <w:rFonts w:hint="eastAsia" w:hAnsi="宋体"/>
          <w:color w:val="auto"/>
          <w:sz w:val="24"/>
          <w:szCs w:val="24"/>
          <w:highlight w:val="none"/>
          <w:lang w:val="en-US" w:eastAsia="zh-CN"/>
        </w:rPr>
        <w:t>2）</w:t>
      </w:r>
      <w:r>
        <w:rPr>
          <w:rFonts w:hint="eastAsia" w:hAnsi="宋体" w:cs="宋体"/>
          <w:color w:val="auto"/>
          <w:sz w:val="24"/>
          <w:szCs w:val="24"/>
          <w:highlight w:val="none"/>
        </w:rPr>
        <w:t>自2018年</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月1日</w:t>
      </w:r>
      <w:r>
        <w:rPr>
          <w:rFonts w:hint="eastAsia" w:hAnsi="宋体" w:cs="宋体"/>
          <w:color w:val="auto"/>
          <w:sz w:val="24"/>
          <w:szCs w:val="24"/>
          <w:highlight w:val="none"/>
          <w:lang w:val="en-US" w:eastAsia="zh-CN"/>
        </w:rPr>
        <w:t>以来</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以施工交（竣工）验收证书时间为准</w:t>
      </w:r>
      <w:r>
        <w:rPr>
          <w:rFonts w:hint="eastAsia" w:hAnsi="宋体" w:cs="宋体"/>
          <w:color w:val="auto"/>
          <w:sz w:val="24"/>
          <w:szCs w:val="24"/>
          <w:highlight w:val="none"/>
        </w:rPr>
        <w:t>）</w:t>
      </w:r>
      <w:r>
        <w:rPr>
          <w:rFonts w:hint="eastAsia" w:ascii="宋体" w:hAnsi="宋体" w:eastAsia="宋体" w:cs="宋体"/>
          <w:color w:val="auto"/>
          <w:kern w:val="0"/>
          <w:sz w:val="24"/>
          <w:szCs w:val="24"/>
          <w:highlight w:val="none"/>
          <w:lang w:val="en-US" w:eastAsia="zh-CN" w:bidi="ar-SA"/>
        </w:rPr>
        <w:t>，</w:t>
      </w:r>
      <w:r>
        <w:rPr>
          <w:rFonts w:hint="eastAsia" w:ascii="宋体" w:hAnsi="宋体" w:cs="仿宋"/>
          <w:bCs/>
          <w:color w:val="auto"/>
          <w:spacing w:val="2"/>
          <w:sz w:val="24"/>
          <w:szCs w:val="24"/>
          <w:highlight w:val="none"/>
        </w:rPr>
        <w:t>拟派项目负责人以项目负责人身份</w:t>
      </w:r>
      <w:r>
        <w:rPr>
          <w:rFonts w:hint="eastAsia" w:hAnsi="宋体" w:cs="仿宋"/>
          <w:bCs/>
          <w:color w:val="auto"/>
          <w:spacing w:val="2"/>
          <w:sz w:val="24"/>
          <w:szCs w:val="24"/>
          <w:highlight w:val="none"/>
          <w:lang w:val="en-US" w:eastAsia="zh-CN"/>
        </w:rPr>
        <w:t>完成</w:t>
      </w:r>
      <w:r>
        <w:rPr>
          <w:rFonts w:hint="eastAsia" w:ascii="宋体" w:hAnsi="宋体" w:cs="仿宋"/>
          <w:bCs/>
          <w:color w:val="auto"/>
          <w:spacing w:val="2"/>
          <w:sz w:val="24"/>
          <w:szCs w:val="24"/>
          <w:highlight w:val="none"/>
        </w:rPr>
        <w:t>过</w:t>
      </w:r>
      <w:r>
        <w:rPr>
          <w:rFonts w:hint="eastAsia" w:hAnsi="宋体" w:cs="宋体"/>
          <w:color w:val="auto"/>
          <w:sz w:val="24"/>
          <w:szCs w:val="24"/>
          <w:highlight w:val="none"/>
        </w:rPr>
        <w:t>单个项目道路里程长度不少于</w:t>
      </w:r>
      <w:r>
        <w:rPr>
          <w:rFonts w:hint="eastAsia" w:hAnsi="宋体" w:cs="宋体"/>
          <w:color w:val="auto"/>
          <w:sz w:val="24"/>
          <w:szCs w:val="24"/>
          <w:highlight w:val="none"/>
          <w:lang w:val="en-US" w:eastAsia="zh-CN"/>
        </w:rPr>
        <w:t>1.8</w:t>
      </w:r>
      <w:r>
        <w:rPr>
          <w:rFonts w:hint="eastAsia" w:hAnsi="宋体" w:cs="宋体"/>
          <w:color w:val="auto"/>
          <w:sz w:val="24"/>
          <w:szCs w:val="24"/>
          <w:highlight w:val="none"/>
        </w:rPr>
        <w:t>km的</w:t>
      </w:r>
      <w:r>
        <w:rPr>
          <w:rFonts w:hint="eastAsia" w:hAnsi="宋体" w:cs="宋体"/>
          <w:color w:val="auto"/>
          <w:sz w:val="24"/>
          <w:szCs w:val="24"/>
          <w:highlight w:val="none"/>
          <w:lang w:val="en-US" w:eastAsia="zh-CN"/>
        </w:rPr>
        <w:t>新（改、扩）建</w:t>
      </w:r>
      <w:r>
        <w:rPr>
          <w:rFonts w:hint="eastAsia" w:hAnsi="宋体" w:cs="宋体"/>
          <w:color w:val="auto"/>
          <w:sz w:val="24"/>
          <w:szCs w:val="24"/>
          <w:highlight w:val="none"/>
        </w:rPr>
        <w:t>城市快速路或城市主干路或一级公路兼具城市道路功能（且该业绩中均须包含长度不少于</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km的高架桥）的全过程工程咨询</w:t>
      </w:r>
      <w:r>
        <w:rPr>
          <w:rFonts w:hint="eastAsia" w:hAnsi="宋体" w:cs="宋体"/>
          <w:color w:val="auto"/>
          <w:sz w:val="24"/>
          <w:szCs w:val="24"/>
          <w:highlight w:val="none"/>
          <w:lang w:val="en-US" w:eastAsia="zh-CN"/>
        </w:rPr>
        <w:t>服务业绩(</w:t>
      </w:r>
      <w:r>
        <w:rPr>
          <w:rFonts w:hint="eastAsia" w:hAnsi="宋体" w:cs="宋体"/>
          <w:color w:val="auto"/>
          <w:sz w:val="24"/>
          <w:szCs w:val="24"/>
          <w:highlight w:val="none"/>
        </w:rPr>
        <w:t>合同服务范围内容须同时包含项目管理、工程监理</w:t>
      </w:r>
      <w:r>
        <w:rPr>
          <w:rFonts w:hint="eastAsia" w:hAnsi="宋体" w:cs="宋体"/>
          <w:color w:val="auto"/>
          <w:sz w:val="24"/>
          <w:szCs w:val="24"/>
          <w:highlight w:val="none"/>
          <w:lang w:val="en-US" w:eastAsia="zh-CN"/>
        </w:rPr>
        <w:t>)或工程监理项目业绩</w:t>
      </w:r>
      <w:r>
        <w:rPr>
          <w:rFonts w:hint="eastAsia" w:hAnsi="宋体" w:cs="仿宋"/>
          <w:bCs/>
          <w:color w:val="auto"/>
          <w:spacing w:val="2"/>
          <w:sz w:val="24"/>
          <w:szCs w:val="24"/>
          <w:highlight w:val="none"/>
          <w:lang w:eastAsia="zh-CN"/>
        </w:rPr>
        <w:t>；</w:t>
      </w:r>
      <w:r>
        <w:rPr>
          <w:rFonts w:hint="eastAsia" w:ascii="Times New Roman" w:hAnsi="Times New Roman" w:eastAsia="宋体" w:cs="Times New Roman"/>
          <w:color w:val="auto"/>
          <w:sz w:val="24"/>
          <w:szCs w:val="24"/>
          <w:highlight w:val="none"/>
        </w:rPr>
        <w:t>上</w:t>
      </w:r>
      <w:r>
        <w:rPr>
          <w:rFonts w:hint="eastAsia" w:ascii="Times New Roman" w:hAnsi="Times New Roman" w:eastAsia="宋体" w:cs="Times New Roman"/>
          <w:color w:val="auto"/>
          <w:sz w:val="24"/>
          <w:szCs w:val="24"/>
          <w:highlight w:val="none"/>
          <w:lang w:val="zh-CN"/>
        </w:rPr>
        <w:t>述业绩的长度指主线长度，不包含匝道</w:t>
      </w:r>
      <w:r>
        <w:rPr>
          <w:rFonts w:hint="eastAsia" w:ascii="Times New Roman" w:hAnsi="Times New Roman" w:eastAsia="宋体" w:cs="Times New Roman"/>
          <w:color w:val="auto"/>
          <w:sz w:val="24"/>
          <w:szCs w:val="24"/>
          <w:highlight w:val="none"/>
        </w:rPr>
        <w:t>长度</w:t>
      </w:r>
      <w:r>
        <w:rPr>
          <w:rFonts w:hint="eastAsia" w:hAnsi="宋体" w:cs="宋体"/>
          <w:color w:val="auto"/>
          <w:sz w:val="24"/>
          <w:szCs w:val="24"/>
          <w:highlight w:val="none"/>
          <w:lang w:val="en-US" w:eastAsia="zh-CN"/>
        </w:rPr>
        <w:t>。</w:t>
      </w:r>
    </w:p>
    <w:p>
      <w:pPr>
        <w:pStyle w:val="14"/>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需提供的</w:t>
      </w:r>
      <w:r>
        <w:rPr>
          <w:rFonts w:hint="eastAsia" w:ascii="宋体" w:hAnsi="宋体" w:eastAsia="宋体" w:cs="宋体"/>
          <w:color w:val="auto"/>
          <w:sz w:val="24"/>
          <w:szCs w:val="24"/>
          <w:highlight w:val="none"/>
        </w:rPr>
        <w:t>有效证明材料</w:t>
      </w:r>
      <w:r>
        <w:rPr>
          <w:rFonts w:hint="eastAsia" w:ascii="宋体" w:hAnsi="宋体" w:eastAsia="宋体" w:cs="宋体"/>
          <w:color w:val="auto"/>
          <w:sz w:val="24"/>
          <w:szCs w:val="24"/>
          <w:highlight w:val="none"/>
          <w:lang w:eastAsia="zh-CN"/>
        </w:rPr>
        <w:t>：①</w:t>
      </w:r>
      <w:r>
        <w:rPr>
          <w:rFonts w:hint="eastAsia" w:ascii="宋体" w:hAnsi="宋体" w:eastAsia="宋体" w:cs="宋体"/>
          <w:color w:val="auto"/>
          <w:sz w:val="24"/>
          <w:szCs w:val="24"/>
          <w:highlight w:val="none"/>
          <w:lang w:val="en-US" w:eastAsia="zh-CN"/>
        </w:rPr>
        <w:t>中标通知书②</w:t>
      </w:r>
      <w:r>
        <w:rPr>
          <w:rFonts w:hint="eastAsia" w:ascii="宋体" w:hAnsi="宋体" w:eastAsia="宋体" w:cs="宋体"/>
          <w:color w:val="auto"/>
          <w:sz w:val="24"/>
          <w:szCs w:val="24"/>
          <w:highlight w:val="none"/>
        </w:rPr>
        <w:t>合同</w:t>
      </w:r>
      <w:r>
        <w:rPr>
          <w:rFonts w:hint="eastAsia" w:hAnsi="宋体" w:cs="宋体"/>
          <w:color w:val="auto"/>
          <w:sz w:val="24"/>
          <w:szCs w:val="24"/>
          <w:highlight w:val="none"/>
          <w:lang w:val="en-US" w:eastAsia="zh-CN"/>
        </w:rPr>
        <w:t>协议书</w:t>
      </w:r>
      <w:r>
        <w:rPr>
          <w:rFonts w:hint="eastAsia" w:ascii="宋体" w:hAnsi="宋体" w:eastAsia="宋体" w:cs="宋体"/>
          <w:color w:val="auto"/>
          <w:sz w:val="24"/>
          <w:szCs w:val="24"/>
          <w:highlight w:val="none"/>
          <w:lang w:eastAsia="zh-CN"/>
        </w:rPr>
        <w:t>③</w:t>
      </w:r>
      <w:r>
        <w:rPr>
          <w:rFonts w:hint="eastAsia" w:ascii="宋体" w:hAnsi="宋体" w:eastAsia="宋体" w:cs="宋体"/>
          <w:color w:val="auto"/>
          <w:sz w:val="24"/>
          <w:szCs w:val="24"/>
          <w:highlight w:val="none"/>
          <w:lang w:val="en-US" w:eastAsia="zh-CN"/>
        </w:rPr>
        <w:t>施工交（竣）工验验收资料【</w:t>
      </w:r>
      <w:r>
        <w:rPr>
          <w:rFonts w:hint="eastAsia" w:ascii="宋体" w:hAnsi="宋体" w:eastAsia="宋体" w:cs="宋体"/>
          <w:color w:val="auto"/>
          <w:sz w:val="24"/>
          <w:szCs w:val="24"/>
          <w:highlight w:val="none"/>
          <w:lang w:val="zh-CN" w:eastAsia="zh-CN"/>
        </w:rPr>
        <w:t>交（竣）工</w:t>
      </w:r>
      <w:r>
        <w:rPr>
          <w:rFonts w:hint="eastAsia" w:ascii="宋体" w:hAnsi="宋体" w:eastAsia="宋体" w:cs="宋体"/>
          <w:color w:val="auto"/>
          <w:sz w:val="24"/>
          <w:szCs w:val="24"/>
          <w:highlight w:val="none"/>
          <w:lang w:val="en-US" w:eastAsia="zh-CN"/>
        </w:rPr>
        <w:t>验收证书或竣工验收报告或竣工验收备案表】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上述在证明材料的复制件须加盖投标人公章。</w:t>
      </w:r>
      <w:r>
        <w:rPr>
          <w:rFonts w:hint="eastAsia" w:ascii="宋体" w:hAnsi="宋体" w:eastAsia="宋体" w:cs="宋体"/>
          <w:color w:val="auto"/>
          <w:sz w:val="24"/>
          <w:szCs w:val="24"/>
          <w:highlight w:val="none"/>
          <w:lang w:val="en-US"/>
        </w:rPr>
        <w:t>上述资料缺一不可，否则</w:t>
      </w:r>
      <w:r>
        <w:rPr>
          <w:rFonts w:hint="eastAsia" w:ascii="宋体" w:hAnsi="宋体" w:eastAsia="宋体" w:cs="宋体"/>
          <w:color w:val="auto"/>
          <w:sz w:val="24"/>
          <w:szCs w:val="24"/>
          <w:highlight w:val="none"/>
          <w:lang w:val="en-US" w:eastAsia="zh-CN"/>
        </w:rPr>
        <w:t>业绩</w:t>
      </w:r>
      <w:r>
        <w:rPr>
          <w:rFonts w:hint="eastAsia" w:ascii="宋体" w:hAnsi="宋体" w:eastAsia="宋体" w:cs="宋体"/>
          <w:color w:val="auto"/>
          <w:sz w:val="24"/>
          <w:szCs w:val="24"/>
          <w:highlight w:val="none"/>
          <w:lang w:val="en-US"/>
        </w:rPr>
        <w:t>不予认可。</w:t>
      </w:r>
    </w:p>
    <w:p>
      <w:pPr>
        <w:pStyle w:val="14"/>
        <w:pageBreakBefore w:val="0"/>
        <w:kinsoku/>
        <w:wordWrap/>
        <w:overflowPunct/>
        <w:topLinePunct w:val="0"/>
        <w:bidi w:val="0"/>
        <w:snapToGrid/>
        <w:spacing w:line="360" w:lineRule="auto"/>
        <w:ind w:firstLine="480" w:firstLineChars="200"/>
        <w:rPr>
          <w:rFonts w:hint="eastAsia" w:hAnsi="宋体"/>
          <w:color w:val="auto"/>
          <w:sz w:val="24"/>
          <w:szCs w:val="24"/>
          <w:highlight w:val="none"/>
          <w:lang w:eastAsia="zh-CN"/>
        </w:rPr>
      </w:pPr>
      <w:r>
        <w:rPr>
          <w:rFonts w:hint="eastAsia" w:ascii="Times New Roman" w:hAnsi="Times New Roman" w:cs="Times New Roman"/>
          <w:b w:val="0"/>
          <w:bCs w:val="0"/>
          <w:color w:val="auto"/>
          <w:kern w:val="0"/>
          <w:sz w:val="24"/>
          <w:szCs w:val="24"/>
          <w:highlight w:val="none"/>
          <w:lang w:val="zh-CN"/>
        </w:rPr>
        <w:t>如上述材料均未体现项目性质、业绩规模、</w:t>
      </w:r>
      <w:r>
        <w:rPr>
          <w:rFonts w:hint="eastAsia" w:ascii="Times New Roman" w:hAnsi="Times New Roman" w:cs="Times New Roman"/>
          <w:b w:val="0"/>
          <w:bCs w:val="0"/>
          <w:color w:val="auto"/>
          <w:kern w:val="0"/>
          <w:sz w:val="24"/>
          <w:szCs w:val="24"/>
          <w:highlight w:val="none"/>
        </w:rPr>
        <w:t>主要工程内容</w:t>
      </w:r>
      <w:r>
        <w:rPr>
          <w:rFonts w:hint="eastAsia" w:ascii="Times New Roman" w:hAnsi="Times New Roman" w:cs="Times New Roman"/>
          <w:b w:val="0"/>
          <w:bCs w:val="0"/>
          <w:color w:val="auto"/>
          <w:kern w:val="0"/>
          <w:sz w:val="24"/>
          <w:szCs w:val="24"/>
          <w:highlight w:val="none"/>
          <w:lang w:val="zh-CN"/>
        </w:rPr>
        <w:t>的，还需提供立项批复文件</w:t>
      </w:r>
      <w:r>
        <w:rPr>
          <w:rFonts w:hint="eastAsia" w:ascii="Times New Roman" w:hAnsi="Times New Roman" w:cs="Times New Roman"/>
          <w:b w:val="0"/>
          <w:bCs w:val="0"/>
          <w:color w:val="auto"/>
          <w:kern w:val="0"/>
          <w:sz w:val="24"/>
          <w:szCs w:val="24"/>
          <w:highlight w:val="none"/>
        </w:rPr>
        <w:t>或</w:t>
      </w:r>
      <w:r>
        <w:rPr>
          <w:rFonts w:hint="eastAsia" w:ascii="Times New Roman" w:hAnsi="Times New Roman" w:cs="Times New Roman"/>
          <w:b w:val="0"/>
          <w:bCs w:val="0"/>
          <w:color w:val="auto"/>
          <w:kern w:val="0"/>
          <w:sz w:val="24"/>
          <w:szCs w:val="24"/>
          <w:highlight w:val="none"/>
          <w:lang w:val="zh-CN"/>
        </w:rPr>
        <w:t>业主</w:t>
      </w:r>
      <w:r>
        <w:rPr>
          <w:rFonts w:hint="eastAsia" w:ascii="Times New Roman" w:hAnsi="Times New Roman" w:cs="Times New Roman"/>
          <w:b w:val="0"/>
          <w:bCs w:val="0"/>
          <w:color w:val="auto"/>
          <w:kern w:val="0"/>
          <w:sz w:val="24"/>
          <w:szCs w:val="24"/>
          <w:highlight w:val="none"/>
        </w:rPr>
        <w:t>出具的并经相关行业主管部门确认的</w:t>
      </w:r>
      <w:r>
        <w:rPr>
          <w:rFonts w:hint="eastAsia" w:ascii="Times New Roman" w:hAnsi="Times New Roman" w:cs="Times New Roman"/>
          <w:b w:val="0"/>
          <w:bCs w:val="0"/>
          <w:color w:val="auto"/>
          <w:kern w:val="0"/>
          <w:sz w:val="24"/>
          <w:szCs w:val="24"/>
          <w:highlight w:val="none"/>
          <w:lang w:val="zh-CN"/>
        </w:rPr>
        <w:t>证明材料</w:t>
      </w:r>
      <w:r>
        <w:rPr>
          <w:rFonts w:hint="eastAsia" w:ascii="Times New Roman" w:hAnsi="Times New Roman" w:cs="Times New Roman"/>
          <w:b w:val="0"/>
          <w:bCs w:val="0"/>
          <w:color w:val="auto"/>
          <w:kern w:val="0"/>
          <w:sz w:val="24"/>
          <w:szCs w:val="24"/>
          <w:highlight w:val="none"/>
        </w:rPr>
        <w:t>复制件</w:t>
      </w:r>
      <w:r>
        <w:rPr>
          <w:rFonts w:hint="eastAsia" w:ascii="Times New Roman" w:hAnsi="Times New Roman" w:cs="Times New Roman"/>
          <w:b w:val="0"/>
          <w:bCs w:val="0"/>
          <w:color w:val="auto"/>
          <w:kern w:val="0"/>
          <w:sz w:val="24"/>
          <w:szCs w:val="24"/>
          <w:highlight w:val="none"/>
          <w:lang w:val="zh-CN"/>
        </w:rPr>
        <w:t>，</w:t>
      </w:r>
      <w:r>
        <w:rPr>
          <w:rFonts w:hint="eastAsia" w:ascii="Times New Roman" w:hAnsi="Times New Roman" w:cs="Times New Roman"/>
          <w:b w:val="0"/>
          <w:bCs w:val="0"/>
          <w:color w:val="auto"/>
          <w:kern w:val="0"/>
          <w:sz w:val="24"/>
          <w:szCs w:val="24"/>
          <w:highlight w:val="none"/>
        </w:rPr>
        <w:t>并加盖投标人公章，</w:t>
      </w:r>
      <w:r>
        <w:rPr>
          <w:rFonts w:hint="eastAsia" w:ascii="Times New Roman" w:hAnsi="Times New Roman" w:cs="Times New Roman"/>
          <w:b w:val="0"/>
          <w:bCs w:val="0"/>
          <w:color w:val="auto"/>
          <w:kern w:val="0"/>
          <w:sz w:val="24"/>
          <w:szCs w:val="24"/>
          <w:highlight w:val="none"/>
          <w:lang w:val="zh-CN"/>
        </w:rPr>
        <w:t>否则不予认可</w:t>
      </w:r>
      <w:r>
        <w:rPr>
          <w:rFonts w:hint="eastAsia" w:ascii="Times New Roman" w:hAnsi="Times New Roman" w:cs="Times New Roman"/>
          <w:b w:val="0"/>
          <w:bCs w:val="0"/>
          <w:color w:val="auto"/>
          <w:kern w:val="0"/>
          <w:sz w:val="24"/>
          <w:szCs w:val="24"/>
          <w:highlight w:val="none"/>
          <w:lang w:val="en-US" w:eastAsia="zh-CN"/>
        </w:rPr>
        <w:t>。</w:t>
      </w:r>
    </w:p>
    <w:p>
      <w:pPr>
        <w:pStyle w:val="14"/>
        <w:pageBreakBefore w:val="0"/>
        <w:kinsoku/>
        <w:wordWrap/>
        <w:overflowPunct/>
        <w:topLinePunct w:val="0"/>
        <w:bidi w:val="0"/>
        <w:snapToGrid/>
        <w:spacing w:line="360" w:lineRule="auto"/>
        <w:ind w:firstLine="482" w:firstLineChars="200"/>
        <w:rPr>
          <w:rFonts w:hint="eastAsia" w:ascii="宋体" w:hAnsi="宋体" w:eastAsia="宋体" w:cs="宋体"/>
          <w:b w:val="0"/>
          <w:bCs w:val="0"/>
          <w:color w:val="auto"/>
          <w:sz w:val="24"/>
          <w:szCs w:val="24"/>
          <w:highlight w:val="none"/>
        </w:rPr>
      </w:pPr>
      <w:r>
        <w:rPr>
          <w:rFonts w:hint="eastAsia" w:hAnsi="宋体"/>
          <w:b/>
          <w:bCs/>
          <w:color w:val="auto"/>
          <w:sz w:val="24"/>
          <w:szCs w:val="24"/>
          <w:highlight w:val="none"/>
        </w:rPr>
        <w:t>备注：</w:t>
      </w:r>
      <w:r>
        <w:rPr>
          <w:rFonts w:hint="eastAsia" w:ascii="宋体" w:hAnsi="宋体" w:eastAsia="宋体" w:cs="Times New Roman"/>
          <w:color w:val="auto"/>
          <w:sz w:val="24"/>
          <w:szCs w:val="24"/>
          <w:highlight w:val="none"/>
          <w:lang w:val="en-US" w:eastAsia="zh-CN"/>
        </w:rPr>
        <w:t>①拟</w:t>
      </w:r>
      <w:r>
        <w:rPr>
          <w:rFonts w:hint="eastAsia" w:hAnsi="宋体" w:cs="Times New Roman"/>
          <w:color w:val="auto"/>
          <w:sz w:val="24"/>
          <w:szCs w:val="24"/>
          <w:highlight w:val="none"/>
          <w:lang w:val="en-US" w:eastAsia="zh-CN"/>
        </w:rPr>
        <w:t>派</w:t>
      </w:r>
      <w:r>
        <w:rPr>
          <w:rFonts w:hint="eastAsia" w:ascii="宋体" w:hAnsi="宋体" w:eastAsia="宋体" w:cs="Times New Roman"/>
          <w:color w:val="auto"/>
          <w:sz w:val="24"/>
          <w:szCs w:val="24"/>
          <w:highlight w:val="none"/>
          <w:lang w:val="en-US" w:eastAsia="zh-CN"/>
        </w:rPr>
        <w:t>的项目负责人未在其他在建合同工程中担任项目负责人【指全过程工程咨询服务项目负责人或项目总监理工程师或施工项目经理或设计施工总承包项目的项目经理或施工负责人】；</w:t>
      </w:r>
      <w:r>
        <w:rPr>
          <w:rFonts w:hint="eastAsia" w:ascii="宋体" w:hAnsi="宋体" w:eastAsia="宋体" w:cs="宋体"/>
          <w:b w:val="0"/>
          <w:bCs w:val="0"/>
          <w:color w:val="auto"/>
          <w:sz w:val="24"/>
          <w:szCs w:val="24"/>
          <w:highlight w:val="none"/>
          <w:lang w:val="en-US" w:eastAsia="zh-CN"/>
        </w:rPr>
        <w:t>“在建项目”的起止时间界定：</w:t>
      </w:r>
      <w:r>
        <w:rPr>
          <w:rFonts w:hint="eastAsia" w:ascii="宋体" w:hAnsi="宋体" w:eastAsia="宋体" w:cs="宋体"/>
          <w:b w:val="0"/>
          <w:bCs w:val="0"/>
          <w:color w:val="auto"/>
          <w:sz w:val="24"/>
          <w:szCs w:val="24"/>
          <w:highlight w:val="none"/>
        </w:rPr>
        <w:t>在建合同工程的开始时间为该合同工程中标通知书发出之日（不通过招标方式的，开始时间为合同签订之日），结束时间为该合同工程通过交</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竣</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工验收或合同解除之日。</w:t>
      </w:r>
    </w:p>
    <w:p>
      <w:pPr>
        <w:pStyle w:val="14"/>
        <w:pageBreakBefore w:val="0"/>
        <w:kinsoku/>
        <w:wordWrap/>
        <w:overflowPunct/>
        <w:topLinePunct w:val="0"/>
        <w:bidi w:val="0"/>
        <w:snapToGrid/>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②一级建造师相关注册证书须符合《住房和城乡建设部办公厅关于全面实行一级建造师电子注册证书的通知）》（建办市〔2021〕40号）规定</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一级建造师证书必须采用有效的电子证书，一级建造师打印电子证书后，应在个人签名处手写本人签名，未手写签名或与签名图像笔迹不一致的，该电子证书无效。</w:t>
      </w:r>
    </w:p>
    <w:p>
      <w:pPr>
        <w:pStyle w:val="14"/>
        <w:pageBreakBefore w:val="0"/>
        <w:kinsoku/>
        <w:wordWrap/>
        <w:overflowPunct/>
        <w:topLinePunct w:val="0"/>
        <w:bidi w:val="0"/>
        <w:snapToGrid/>
        <w:spacing w:line="360" w:lineRule="auto"/>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③一级注册建筑师相关证书须符合《全国注册建筑师管理委员会关于开展使用一级注册建筑师电子注册证书工作的通知》（注建〔2021〕2号）规定；</w:t>
      </w:r>
      <w:r>
        <w:rPr>
          <w:rFonts w:hint="eastAsia" w:ascii="宋体" w:hAnsi="宋体" w:eastAsia="宋体" w:cs="宋体"/>
          <w:b w:val="0"/>
          <w:bCs w:val="0"/>
          <w:color w:val="auto"/>
          <w:sz w:val="24"/>
          <w:szCs w:val="24"/>
          <w:highlight w:val="none"/>
          <w:lang w:val="en-US" w:eastAsia="zh-CN"/>
        </w:rPr>
        <w:t>一级建筑师</w:t>
      </w:r>
      <w:r>
        <w:rPr>
          <w:rFonts w:hint="eastAsia" w:ascii="宋体" w:hAnsi="宋体" w:eastAsia="宋体" w:cs="宋体"/>
          <w:b w:val="0"/>
          <w:bCs w:val="0"/>
          <w:color w:val="auto"/>
          <w:sz w:val="24"/>
          <w:szCs w:val="24"/>
          <w:highlight w:val="none"/>
        </w:rPr>
        <w:t>证书必须采用有效的电子证书，一级</w:t>
      </w:r>
      <w:r>
        <w:rPr>
          <w:rFonts w:hint="eastAsia" w:ascii="宋体" w:hAnsi="宋体" w:eastAsia="宋体" w:cs="宋体"/>
          <w:b w:val="0"/>
          <w:bCs w:val="0"/>
          <w:color w:val="auto"/>
          <w:sz w:val="24"/>
          <w:szCs w:val="24"/>
          <w:highlight w:val="none"/>
          <w:lang w:val="en-US" w:eastAsia="zh-CN"/>
        </w:rPr>
        <w:t>建筑师</w:t>
      </w:r>
      <w:r>
        <w:rPr>
          <w:rFonts w:hint="eastAsia" w:ascii="宋体" w:hAnsi="宋体" w:eastAsia="宋体" w:cs="宋体"/>
          <w:b w:val="0"/>
          <w:bCs w:val="0"/>
          <w:color w:val="auto"/>
          <w:sz w:val="24"/>
          <w:szCs w:val="24"/>
          <w:highlight w:val="none"/>
        </w:rPr>
        <w:t>打印电子证书后，应在个人签名处手写本人签名，未手写签名或与签名图像笔迹不一致的，该电子证书无效。</w:t>
      </w:r>
    </w:p>
    <w:p>
      <w:pPr>
        <w:pageBreakBefore w:val="0"/>
        <w:numPr>
          <w:ilvl w:val="0"/>
          <w:numId w:val="3"/>
        </w:numPr>
        <w:kinsoku/>
        <w:wordWrap/>
        <w:overflowPunct/>
        <w:topLinePunct w:val="0"/>
        <w:bidi w:val="0"/>
        <w:snapToGrid/>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拟派</w:t>
      </w:r>
      <w:r>
        <w:rPr>
          <w:rFonts w:hint="eastAsia" w:ascii="宋体" w:hAnsi="宋体" w:eastAsia="宋体" w:cs="宋体"/>
          <w:color w:val="auto"/>
          <w:sz w:val="24"/>
          <w:szCs w:val="24"/>
          <w:highlight w:val="none"/>
        </w:rPr>
        <w:t>监理负责人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总监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资格要求：须具有</w:t>
      </w:r>
      <w:r>
        <w:rPr>
          <w:rFonts w:hint="eastAsia" w:hAnsi="宋体"/>
          <w:color w:val="auto"/>
          <w:sz w:val="24"/>
          <w:szCs w:val="24"/>
          <w:highlight w:val="none"/>
        </w:rPr>
        <w:t>国家注册监理工程师（市政公用工程）</w:t>
      </w:r>
      <w:r>
        <w:rPr>
          <w:rFonts w:hint="eastAsia" w:hAnsi="宋体"/>
          <w:color w:val="auto"/>
          <w:sz w:val="24"/>
          <w:szCs w:val="24"/>
          <w:highlight w:val="none"/>
          <w:lang w:val="en-US" w:eastAsia="zh-CN"/>
        </w:rPr>
        <w:t>证书</w:t>
      </w:r>
      <w:r>
        <w:rPr>
          <w:rFonts w:hint="eastAsia" w:ascii="宋体" w:hAnsi="宋体" w:eastAsia="宋体" w:cs="宋体"/>
          <w:color w:val="auto"/>
          <w:sz w:val="24"/>
          <w:szCs w:val="24"/>
          <w:highlight w:val="none"/>
        </w:rPr>
        <w:t>，且无在</w:t>
      </w:r>
      <w:r>
        <w:rPr>
          <w:rFonts w:hint="eastAsia" w:ascii="宋体" w:hAnsi="宋体" w:cs="宋体"/>
          <w:color w:val="auto"/>
          <w:sz w:val="24"/>
          <w:szCs w:val="24"/>
          <w:highlight w:val="none"/>
          <w:lang w:val="en-US" w:eastAsia="zh-CN"/>
        </w:rPr>
        <w:t>监</w:t>
      </w:r>
      <w:r>
        <w:rPr>
          <w:rFonts w:hint="eastAsia" w:ascii="宋体" w:hAnsi="宋体" w:eastAsia="宋体" w:cs="宋体"/>
          <w:color w:val="auto"/>
          <w:sz w:val="24"/>
          <w:szCs w:val="24"/>
          <w:highlight w:val="none"/>
        </w:rPr>
        <w:t>工程</w:t>
      </w:r>
      <w:r>
        <w:rPr>
          <w:rFonts w:hint="eastAsia" w:ascii="宋体" w:hAnsi="宋体" w:eastAsia="宋体" w:cs="宋体"/>
          <w:color w:val="auto"/>
          <w:sz w:val="24"/>
          <w:szCs w:val="24"/>
          <w:highlight w:val="none"/>
          <w:lang w:eastAsia="zh-CN"/>
        </w:rPr>
        <w:t>；</w:t>
      </w:r>
      <w:bookmarkStart w:id="33" w:name="_Toc62715982"/>
    </w:p>
    <w:p>
      <w:pPr>
        <w:pageBreakBefore w:val="0"/>
        <w:numPr>
          <w:ilvl w:val="0"/>
          <w:numId w:val="0"/>
        </w:numPr>
        <w:kinsoku/>
        <w:wordWrap/>
        <w:overflowPunct/>
        <w:topLinePunct w:val="0"/>
        <w:bidi w:val="0"/>
        <w:snapToGrid/>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备注：根据浙建建发〔2015〕54号文件精神，项目总监的信息需在投标截止日前录入“浙江省建筑市场监管与诚信信息平台”，在该平台查询不到相关信息的，不予认定其资格</w:t>
      </w:r>
      <w:bookmarkEnd w:id="33"/>
      <w:bookmarkStart w:id="34" w:name="_Toc62715983"/>
      <w:r>
        <w:rPr>
          <w:rFonts w:hint="eastAsia" w:ascii="宋体" w:hAnsi="宋体" w:cs="宋体"/>
          <w:color w:val="auto"/>
          <w:sz w:val="24"/>
          <w:szCs w:val="24"/>
          <w:highlight w:val="none"/>
        </w:rPr>
        <w:t>。</w:t>
      </w:r>
      <w:r>
        <w:rPr>
          <w:rFonts w:hint="eastAsia" w:ascii="宋体" w:hAnsi="宋体" w:cs="宋体"/>
          <w:b/>
          <w:color w:val="auto"/>
          <w:sz w:val="24"/>
          <w:szCs w:val="24"/>
          <w:highlight w:val="none"/>
        </w:rPr>
        <w:t>中标公示期间拟派监理负责人</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总监</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如查出有在</w:t>
      </w:r>
      <w:r>
        <w:rPr>
          <w:rFonts w:hint="eastAsia" w:hAnsi="宋体"/>
          <w:b/>
          <w:color w:val="auto"/>
          <w:sz w:val="24"/>
          <w:szCs w:val="24"/>
          <w:highlight w:val="none"/>
        </w:rPr>
        <w:t>监</w:t>
      </w:r>
      <w:r>
        <w:rPr>
          <w:rFonts w:hint="eastAsia" w:ascii="宋体" w:hAnsi="宋体" w:cs="宋体"/>
          <w:b/>
          <w:color w:val="auto"/>
          <w:sz w:val="24"/>
          <w:szCs w:val="24"/>
          <w:highlight w:val="none"/>
        </w:rPr>
        <w:t>工程，取消中标资格。</w:t>
      </w:r>
    </w:p>
    <w:p>
      <w:pPr>
        <w:numPr>
          <w:ilvl w:val="0"/>
          <w:numId w:val="3"/>
        </w:numPr>
        <w:spacing w:line="360" w:lineRule="auto"/>
        <w:ind w:firstLine="480" w:firstLineChars="200"/>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拟派</w:t>
      </w:r>
      <w:r>
        <w:rPr>
          <w:rFonts w:hint="eastAsia" w:ascii="宋体" w:hAnsi="宋体" w:cs="宋体"/>
          <w:b/>
          <w:color w:val="auto"/>
          <w:sz w:val="24"/>
          <w:szCs w:val="24"/>
          <w:highlight w:val="none"/>
        </w:rPr>
        <w:t>造价</w:t>
      </w:r>
      <w:r>
        <w:rPr>
          <w:rFonts w:hint="eastAsia" w:ascii="宋体" w:hAnsi="宋体" w:cs="宋体"/>
          <w:b/>
          <w:color w:val="auto"/>
          <w:sz w:val="24"/>
          <w:szCs w:val="24"/>
          <w:highlight w:val="none"/>
          <w:lang w:val="en-US" w:eastAsia="zh-CN"/>
        </w:rPr>
        <w:t>咨询</w:t>
      </w:r>
      <w:r>
        <w:rPr>
          <w:rFonts w:hint="eastAsia" w:ascii="宋体" w:hAnsi="宋体" w:cs="宋体"/>
          <w:b/>
          <w:color w:val="auto"/>
          <w:sz w:val="24"/>
          <w:szCs w:val="24"/>
          <w:highlight w:val="none"/>
        </w:rPr>
        <w:t>负责人资格要求：</w:t>
      </w:r>
      <w:r>
        <w:rPr>
          <w:rFonts w:hint="eastAsia" w:ascii="宋体" w:hAnsi="宋体" w:cs="宋体"/>
          <w:color w:val="auto"/>
          <w:sz w:val="24"/>
          <w:szCs w:val="24"/>
          <w:highlight w:val="none"/>
        </w:rPr>
        <w:t>须具有</w:t>
      </w:r>
      <w:r>
        <w:rPr>
          <w:rFonts w:hint="eastAsia" w:hAnsi="宋体"/>
          <w:color w:val="auto"/>
          <w:sz w:val="24"/>
          <w:szCs w:val="24"/>
          <w:highlight w:val="none"/>
        </w:rPr>
        <w:t>一级注册造价工程师</w:t>
      </w:r>
      <w:bookmarkEnd w:id="34"/>
      <w:r>
        <w:rPr>
          <w:rFonts w:hint="eastAsia" w:ascii="宋体" w:hAnsi="宋体" w:cs="宋体"/>
          <w:b/>
          <w:color w:val="auto"/>
          <w:sz w:val="24"/>
          <w:szCs w:val="24"/>
          <w:highlight w:val="none"/>
        </w:rPr>
        <w:t>（2018 年 7 月 20 日发布“建人〔2018〕67 号”文件之前取得的造价工程师与一级等同）</w:t>
      </w:r>
      <w:r>
        <w:rPr>
          <w:rFonts w:hint="eastAsia" w:hAnsi="宋体"/>
          <w:color w:val="auto"/>
          <w:sz w:val="24"/>
          <w:szCs w:val="24"/>
          <w:highlight w:val="none"/>
          <w:lang w:val="en-US" w:eastAsia="zh-CN"/>
        </w:rPr>
        <w:t>证书</w:t>
      </w:r>
      <w:r>
        <w:rPr>
          <w:rFonts w:hint="eastAsia" w:ascii="宋体" w:hAnsi="宋体" w:cs="宋体"/>
          <w:b/>
          <w:color w:val="auto"/>
          <w:sz w:val="24"/>
          <w:szCs w:val="24"/>
          <w:highlight w:val="none"/>
        </w:rPr>
        <w:t>。</w:t>
      </w:r>
    </w:p>
    <w:p>
      <w:pPr>
        <w:pageBreakBefore w:val="0"/>
        <w:kinsoku/>
        <w:wordWrap/>
        <w:overflowPunct/>
        <w:topLinePunct w:val="0"/>
        <w:bidi w:val="0"/>
        <w:snapToGrid/>
        <w:spacing w:line="360" w:lineRule="auto"/>
        <w:ind w:firstLine="480" w:firstLineChars="200"/>
        <w:rPr>
          <w:rFonts w:ascii="宋体" w:hAnsi="宋体" w:cs="宋体"/>
          <w:b/>
          <w:color w:val="auto"/>
          <w:sz w:val="24"/>
          <w:szCs w:val="24"/>
          <w:highlight w:val="none"/>
        </w:rPr>
      </w:pPr>
      <w:bookmarkStart w:id="35" w:name="_Toc62715984"/>
      <w:r>
        <w:rPr>
          <w:rFonts w:hint="eastAsia" w:hAnsi="宋体" w:cs="宋体"/>
          <w:color w:val="auto"/>
          <w:sz w:val="24"/>
          <w:szCs w:val="24"/>
          <w:highlight w:val="none"/>
        </w:rPr>
        <w:t>（4）</w:t>
      </w:r>
      <w:r>
        <w:rPr>
          <w:rFonts w:hint="eastAsia" w:ascii="宋体" w:hAnsi="宋体" w:cs="宋体"/>
          <w:b/>
          <w:color w:val="auto"/>
          <w:sz w:val="24"/>
          <w:szCs w:val="24"/>
          <w:highlight w:val="none"/>
        </w:rPr>
        <w:t>项目负责人、监理负责人</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总监</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、造价</w:t>
      </w:r>
      <w:r>
        <w:rPr>
          <w:rFonts w:hint="eastAsia" w:ascii="宋体" w:hAnsi="宋体" w:cs="宋体"/>
          <w:b/>
          <w:color w:val="auto"/>
          <w:sz w:val="24"/>
          <w:szCs w:val="24"/>
          <w:highlight w:val="none"/>
          <w:lang w:val="en-US" w:eastAsia="zh-CN"/>
        </w:rPr>
        <w:t>咨询</w:t>
      </w:r>
      <w:r>
        <w:rPr>
          <w:rFonts w:hint="eastAsia" w:ascii="宋体" w:hAnsi="宋体" w:cs="宋体"/>
          <w:b/>
          <w:color w:val="auto"/>
          <w:sz w:val="24"/>
          <w:szCs w:val="24"/>
          <w:highlight w:val="none"/>
        </w:rPr>
        <w:t>负责人均需独立担任，不得兼任。</w:t>
      </w:r>
      <w:bookmarkEnd w:id="35"/>
      <w:bookmarkStart w:id="1073" w:name="_GoBack"/>
      <w:bookmarkEnd w:id="1073"/>
    </w:p>
    <w:p>
      <w:pPr>
        <w:pageBreakBefore w:val="0"/>
        <w:kinsoku/>
        <w:wordWrap/>
        <w:overflowPunct/>
        <w:topLinePunct w:val="0"/>
        <w:bidi w:val="0"/>
        <w:snapToGrid/>
        <w:spacing w:line="360" w:lineRule="auto"/>
        <w:ind w:firstLine="480" w:firstLineChars="200"/>
        <w:rPr>
          <w:rFonts w:hint="eastAsia" w:ascii="Times New Roman" w:hAnsi="宋体" w:eastAsia="宋体" w:cs="宋体"/>
          <w:color w:val="auto"/>
          <w:sz w:val="24"/>
          <w:szCs w:val="24"/>
          <w:highlight w:val="none"/>
        </w:rPr>
      </w:pPr>
      <w:bookmarkStart w:id="36" w:name="_Toc62715985"/>
      <w:r>
        <w:rPr>
          <w:rFonts w:hint="eastAsia" w:ascii="Times New Roman" w:hAnsi="宋体" w:eastAsia="宋体" w:cs="宋体"/>
          <w:color w:val="auto"/>
          <w:sz w:val="24"/>
          <w:szCs w:val="24"/>
          <w:highlight w:val="none"/>
        </w:rPr>
        <w:t>（5）</w:t>
      </w:r>
      <w:r>
        <w:rPr>
          <w:rFonts w:hint="eastAsia" w:ascii="Times New Roman" w:hAnsi="宋体" w:eastAsia="宋体" w:cs="宋体"/>
          <w:color w:val="auto"/>
          <w:sz w:val="24"/>
          <w:szCs w:val="24"/>
          <w:highlight w:val="none"/>
          <w:lang w:val="en-US" w:eastAsia="zh-CN"/>
        </w:rPr>
        <w:t>拟派的以上人员</w:t>
      </w:r>
      <w:r>
        <w:rPr>
          <w:rFonts w:hint="eastAsia" w:ascii="Times New Roman" w:hAnsi="宋体" w:eastAsia="宋体" w:cs="宋体"/>
          <w:color w:val="auto"/>
          <w:sz w:val="24"/>
          <w:szCs w:val="24"/>
          <w:highlight w:val="none"/>
        </w:rPr>
        <w:t>须为投标企业在职职工（在职职工不包括离、退休返聘人员），</w:t>
      </w:r>
      <w:r>
        <w:rPr>
          <w:rFonts w:hint="eastAsia" w:ascii="Times New Roman" w:hAnsi="宋体" w:eastAsia="宋体" w:cs="宋体"/>
          <w:color w:val="auto"/>
          <w:sz w:val="24"/>
          <w:szCs w:val="24"/>
          <w:highlight w:val="none"/>
          <w:lang w:val="en-US" w:eastAsia="zh-CN"/>
        </w:rPr>
        <w:t>并</w:t>
      </w:r>
      <w:r>
        <w:rPr>
          <w:rFonts w:hint="eastAsia" w:ascii="Times New Roman" w:hAnsi="宋体" w:eastAsia="宋体" w:cs="宋体"/>
          <w:color w:val="auto"/>
          <w:sz w:val="24"/>
          <w:szCs w:val="24"/>
          <w:highlight w:val="none"/>
        </w:rPr>
        <w:t>提供缴费期限包含2023年0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月投标人所属社保机构出具的个人养老保险缴纳清单或证明，以到账为准（除分公司外，缴纳单位和投标单位名称必须一致，并加盖社保缴费专用章或电子专用章）；若为事业编制的，以提供缴费期限包含2023年0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月由人事代理中心出具的个人养老保险缴纳清单或证明（需加盖人事代理中心证明专用章【或电子专用章】）。</w:t>
      </w:r>
      <w:bookmarkEnd w:id="36"/>
    </w:p>
    <w:p>
      <w:pPr>
        <w:pageBreakBefore w:val="0"/>
        <w:widowControl/>
        <w:kinsoku/>
        <w:wordWrap/>
        <w:overflowPunct/>
        <w:topLinePunct w:val="0"/>
        <w:bidi w:val="0"/>
        <w:adjustRightInd/>
        <w:snapToGrid/>
        <w:spacing w:line="360" w:lineRule="auto"/>
        <w:ind w:firstLine="240" w:firstLineChars="1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11.</w:t>
      </w:r>
      <w:r>
        <w:rPr>
          <w:rFonts w:ascii="宋体" w:hAnsi="宋体" w:eastAsiaTheme="minorEastAsia"/>
          <w:color w:val="auto"/>
          <w:kern w:val="2"/>
          <w:sz w:val="24"/>
          <w:szCs w:val="24"/>
          <w:highlight w:val="none"/>
        </w:rPr>
        <w:t>招标方式：公开招标</w:t>
      </w:r>
    </w:p>
    <w:p>
      <w:pPr>
        <w:pageBreakBefore w:val="0"/>
        <w:widowControl/>
        <w:kinsoku/>
        <w:wordWrap/>
        <w:overflowPunct/>
        <w:topLinePunct w:val="0"/>
        <w:bidi w:val="0"/>
        <w:adjustRightInd/>
        <w:snapToGrid/>
        <w:spacing w:line="360" w:lineRule="auto"/>
        <w:ind w:firstLine="240" w:firstLineChars="1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12.</w:t>
      </w:r>
      <w:r>
        <w:rPr>
          <w:rFonts w:ascii="宋体" w:hAnsi="宋体" w:eastAsiaTheme="minorEastAsia"/>
          <w:color w:val="auto"/>
          <w:kern w:val="2"/>
          <w:sz w:val="24"/>
          <w:szCs w:val="24"/>
          <w:highlight w:val="none"/>
        </w:rPr>
        <w:t>资格审查方式：资格后审</w:t>
      </w:r>
    </w:p>
    <w:p>
      <w:pPr>
        <w:pageBreakBefore w:val="0"/>
        <w:widowControl/>
        <w:kinsoku/>
        <w:wordWrap/>
        <w:overflowPunct/>
        <w:topLinePunct w:val="0"/>
        <w:bidi w:val="0"/>
        <w:adjustRightInd/>
        <w:snapToGrid/>
        <w:spacing w:line="360" w:lineRule="auto"/>
        <w:ind w:firstLine="240" w:firstLineChars="100"/>
        <w:jc w:val="left"/>
        <w:textAlignment w:val="auto"/>
        <w:rPr>
          <w:rFonts w:hint="eastAsia" w:ascii="宋体" w:hAnsi="宋体" w:eastAsiaTheme="minorEastAsia"/>
          <w:color w:val="auto"/>
          <w:kern w:val="2"/>
          <w:sz w:val="24"/>
          <w:szCs w:val="24"/>
          <w:highlight w:val="none"/>
          <w:lang w:eastAsia="zh-CN"/>
        </w:rPr>
      </w:pPr>
      <w:r>
        <w:rPr>
          <w:rFonts w:hint="eastAsia" w:ascii="宋体" w:hAnsi="宋体" w:eastAsiaTheme="minorEastAsia"/>
          <w:color w:val="auto"/>
          <w:kern w:val="2"/>
          <w:sz w:val="24"/>
          <w:szCs w:val="24"/>
          <w:highlight w:val="none"/>
        </w:rPr>
        <w:t>13.</w:t>
      </w:r>
      <w:r>
        <w:rPr>
          <w:rFonts w:ascii="宋体" w:hAnsi="宋体" w:eastAsiaTheme="minorEastAsia"/>
          <w:color w:val="auto"/>
          <w:kern w:val="2"/>
          <w:sz w:val="24"/>
          <w:szCs w:val="24"/>
          <w:highlight w:val="none"/>
        </w:rPr>
        <w:t>评标方法：综合评估法</w:t>
      </w:r>
      <w:r>
        <w:rPr>
          <w:rFonts w:hint="eastAsia" w:ascii="宋体" w:hAnsi="宋体" w:eastAsiaTheme="minorEastAsia"/>
          <w:color w:val="auto"/>
          <w:kern w:val="2"/>
          <w:sz w:val="24"/>
          <w:szCs w:val="24"/>
          <w:highlight w:val="none"/>
          <w:lang w:eastAsia="zh-CN"/>
        </w:rPr>
        <w:t>（</w:t>
      </w:r>
      <w:r>
        <w:rPr>
          <w:rFonts w:hint="eastAsia" w:ascii="宋体" w:hAnsi="宋体" w:eastAsiaTheme="minorEastAsia"/>
          <w:color w:val="auto"/>
          <w:kern w:val="2"/>
          <w:sz w:val="24"/>
          <w:szCs w:val="24"/>
          <w:highlight w:val="none"/>
          <w:lang w:val="en-US" w:eastAsia="zh-CN"/>
        </w:rPr>
        <w:t>评定分离</w:t>
      </w:r>
      <w:r>
        <w:rPr>
          <w:rFonts w:hint="eastAsia" w:ascii="宋体" w:hAnsi="宋体" w:eastAsiaTheme="minorEastAsia"/>
          <w:color w:val="auto"/>
          <w:kern w:val="2"/>
          <w:sz w:val="24"/>
          <w:szCs w:val="24"/>
          <w:highlight w:val="none"/>
          <w:lang w:eastAsia="zh-CN"/>
        </w:rPr>
        <w:t>）</w:t>
      </w:r>
    </w:p>
    <w:p>
      <w:pPr>
        <w:pageBreakBefore w:val="0"/>
        <w:widowControl/>
        <w:kinsoku/>
        <w:wordWrap/>
        <w:overflowPunct/>
        <w:topLinePunct w:val="0"/>
        <w:bidi w:val="0"/>
        <w:adjustRightInd/>
        <w:snapToGrid/>
        <w:spacing w:line="360" w:lineRule="auto"/>
        <w:ind w:firstLine="240" w:firstLineChars="1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14.</w:t>
      </w:r>
      <w:r>
        <w:rPr>
          <w:rFonts w:ascii="宋体" w:hAnsi="宋体" w:eastAsiaTheme="minorEastAsia"/>
          <w:color w:val="auto"/>
          <w:kern w:val="2"/>
          <w:sz w:val="24"/>
          <w:szCs w:val="24"/>
          <w:highlight w:val="none"/>
        </w:rPr>
        <w:t>招标文件的获取：在本公告附件中下载</w:t>
      </w:r>
    </w:p>
    <w:p>
      <w:pPr>
        <w:pageBreakBefore w:val="0"/>
        <w:widowControl/>
        <w:kinsoku/>
        <w:wordWrap/>
        <w:overflowPunct/>
        <w:topLinePunct w:val="0"/>
        <w:bidi w:val="0"/>
        <w:adjustRightInd/>
        <w:snapToGrid/>
        <w:spacing w:line="360" w:lineRule="auto"/>
        <w:ind w:firstLine="240" w:firstLineChars="1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15.项目投标保证金：</w:t>
      </w:r>
      <w:r>
        <w:rPr>
          <w:rFonts w:hint="eastAsia"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10</w:t>
      </w:r>
      <w:r>
        <w:rPr>
          <w:rFonts w:hint="eastAsia"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万元，到账截止时间：</w:t>
      </w:r>
      <w:r>
        <w:rPr>
          <w:rFonts w:ascii="宋体" w:hAnsi="宋体" w:eastAsiaTheme="minorEastAsia"/>
          <w:color w:val="auto"/>
          <w:kern w:val="2"/>
          <w:sz w:val="24"/>
          <w:szCs w:val="24"/>
          <w:highlight w:val="none"/>
        </w:rPr>
        <w:t>2023年</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12</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月</w:t>
      </w:r>
      <w:r>
        <w:rPr>
          <w:rFonts w:hint="eastAsia" w:ascii="宋体" w:hAnsi="宋体" w:eastAsiaTheme="minorEastAsia"/>
          <w:color w:val="auto"/>
          <w:kern w:val="2"/>
          <w:sz w:val="24"/>
          <w:szCs w:val="24"/>
          <w:highlight w:val="none"/>
          <w:u w:val="single"/>
          <w:lang w:val="en-US" w:eastAsia="zh-CN"/>
        </w:rPr>
        <w:t>14</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日</w:t>
      </w:r>
      <w:r>
        <w:rPr>
          <w:rFonts w:hint="eastAsia" w:ascii="宋体" w:hAnsi="宋体" w:eastAsiaTheme="minorEastAsia"/>
          <w:color w:val="auto"/>
          <w:kern w:val="2"/>
          <w:sz w:val="24"/>
          <w:szCs w:val="24"/>
          <w:highlight w:val="none"/>
          <w:u w:val="single"/>
        </w:rPr>
        <w:t>9:30</w:t>
      </w:r>
      <w:r>
        <w:rPr>
          <w:rFonts w:hint="eastAsia" w:ascii="宋体" w:hAnsi="宋体" w:eastAsiaTheme="minorEastAsia"/>
          <w:color w:val="auto"/>
          <w:kern w:val="2"/>
          <w:sz w:val="24"/>
          <w:szCs w:val="24"/>
          <w:highlight w:val="none"/>
        </w:rPr>
        <w:t>时止（详见招标文件第二章投标人须知前附表（一）第</w:t>
      </w:r>
      <w:r>
        <w:rPr>
          <w:rFonts w:ascii="宋体" w:hAnsi="宋体" w:eastAsiaTheme="minorEastAsia"/>
          <w:color w:val="auto"/>
          <w:kern w:val="2"/>
          <w:sz w:val="24"/>
          <w:szCs w:val="24"/>
          <w:highlight w:val="none"/>
        </w:rPr>
        <w:t>19</w:t>
      </w:r>
      <w:r>
        <w:rPr>
          <w:rFonts w:hint="eastAsia" w:ascii="宋体" w:hAnsi="宋体" w:eastAsiaTheme="minorEastAsia"/>
          <w:color w:val="auto"/>
          <w:kern w:val="2"/>
          <w:sz w:val="24"/>
          <w:szCs w:val="24"/>
          <w:highlight w:val="none"/>
        </w:rPr>
        <w:t>款）</w:t>
      </w:r>
    </w:p>
    <w:p>
      <w:pPr>
        <w:pageBreakBefore w:val="0"/>
        <w:widowControl/>
        <w:kinsoku/>
        <w:wordWrap/>
        <w:overflowPunct/>
        <w:topLinePunct w:val="0"/>
        <w:bidi w:val="0"/>
        <w:adjustRightInd/>
        <w:snapToGrid/>
        <w:spacing w:line="360" w:lineRule="auto"/>
        <w:ind w:firstLine="240" w:firstLineChars="1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16.</w:t>
      </w:r>
      <w:r>
        <w:rPr>
          <w:rFonts w:ascii="宋体" w:hAnsi="宋体" w:eastAsiaTheme="minorEastAsia"/>
          <w:color w:val="auto"/>
          <w:kern w:val="2"/>
          <w:sz w:val="24"/>
          <w:szCs w:val="24"/>
          <w:highlight w:val="none"/>
        </w:rPr>
        <w:t>开标时间：2023年</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12</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月</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14</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日</w:t>
      </w:r>
      <w:r>
        <w:rPr>
          <w:rFonts w:hint="eastAsia" w:ascii="宋体" w:hAnsi="宋体" w:eastAsiaTheme="minorEastAsia"/>
          <w:color w:val="auto"/>
          <w:kern w:val="2"/>
          <w:sz w:val="24"/>
          <w:szCs w:val="24"/>
          <w:highlight w:val="none"/>
          <w:u w:val="single"/>
        </w:rPr>
        <w:t xml:space="preserve">9:30 </w:t>
      </w:r>
      <w:r>
        <w:rPr>
          <w:rFonts w:hint="eastAsia" w:ascii="宋体" w:hAnsi="宋体" w:eastAsiaTheme="minorEastAsia"/>
          <w:color w:val="auto"/>
          <w:kern w:val="2"/>
          <w:sz w:val="24"/>
          <w:szCs w:val="24"/>
          <w:highlight w:val="none"/>
        </w:rPr>
        <w:t>时</w:t>
      </w:r>
    </w:p>
    <w:p>
      <w:pPr>
        <w:pageBreakBefore w:val="0"/>
        <w:widowControl/>
        <w:kinsoku/>
        <w:wordWrap/>
        <w:overflowPunct/>
        <w:topLinePunct w:val="0"/>
        <w:bidi w:val="0"/>
        <w:adjustRightInd/>
        <w:snapToGrid/>
        <w:spacing w:line="360" w:lineRule="auto"/>
        <w:ind w:firstLine="240" w:firstLineChars="1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地点：诸暨市公共资源交易中心</w:t>
      </w:r>
      <w:r>
        <w:rPr>
          <w:rFonts w:hint="eastAsia"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w:t>
      </w:r>
      <w:r>
        <w:rPr>
          <w:rFonts w:hint="eastAsia" w:ascii="宋体" w:hAnsi="宋体" w:eastAsiaTheme="minorEastAsia"/>
          <w:color w:val="auto"/>
          <w:kern w:val="2"/>
          <w:sz w:val="24"/>
          <w:szCs w:val="24"/>
          <w:highlight w:val="none"/>
        </w:rPr>
        <w:t>号开标室（暨东路</w:t>
      </w:r>
      <w:r>
        <w:rPr>
          <w:rFonts w:ascii="宋体" w:hAnsi="宋体" w:eastAsiaTheme="minorEastAsia"/>
          <w:color w:val="auto"/>
          <w:kern w:val="2"/>
          <w:sz w:val="24"/>
          <w:szCs w:val="24"/>
          <w:highlight w:val="none"/>
        </w:rPr>
        <w:t>58</w:t>
      </w:r>
      <w:r>
        <w:rPr>
          <w:rFonts w:hint="eastAsia" w:ascii="宋体" w:hAnsi="宋体" w:eastAsiaTheme="minorEastAsia"/>
          <w:color w:val="auto"/>
          <w:kern w:val="2"/>
          <w:sz w:val="24"/>
          <w:szCs w:val="24"/>
          <w:highlight w:val="none"/>
        </w:rPr>
        <w:t>号</w:t>
      </w:r>
      <w:r>
        <w:rPr>
          <w:rFonts w:ascii="宋体" w:hAnsi="宋体" w:eastAsiaTheme="minorEastAsia"/>
          <w:color w:val="auto"/>
          <w:kern w:val="2"/>
          <w:sz w:val="24"/>
          <w:szCs w:val="24"/>
          <w:highlight w:val="none"/>
        </w:rPr>
        <w:t>4</w:t>
      </w:r>
      <w:r>
        <w:rPr>
          <w:rFonts w:hint="eastAsia" w:ascii="宋体" w:hAnsi="宋体" w:eastAsiaTheme="minorEastAsia"/>
          <w:color w:val="auto"/>
          <w:kern w:val="2"/>
          <w:sz w:val="24"/>
          <w:szCs w:val="24"/>
          <w:highlight w:val="none"/>
        </w:rPr>
        <w:t>楼）</w:t>
      </w:r>
    </w:p>
    <w:p>
      <w:pPr>
        <w:pStyle w:val="14"/>
        <w:pageBreakBefore w:val="0"/>
        <w:numPr>
          <w:ilvl w:val="0"/>
          <w:numId w:val="0"/>
        </w:numPr>
        <w:kinsoku/>
        <w:wordWrap/>
        <w:overflowPunct/>
        <w:topLinePunct w:val="0"/>
        <w:bidi w:val="0"/>
        <w:snapToGrid/>
        <w:spacing w:line="360" w:lineRule="auto"/>
        <w:ind w:firstLine="240" w:firstLineChars="100"/>
        <w:rPr>
          <w:rFonts w:hint="eastAsia" w:hAnsi="宋体" w:cs="Times New Roman"/>
          <w:color w:val="auto"/>
          <w:sz w:val="24"/>
          <w:szCs w:val="24"/>
          <w:highlight w:val="none"/>
          <w:lang w:val="en-US" w:eastAsia="zh-CN"/>
        </w:rPr>
      </w:pPr>
      <w:r>
        <w:rPr>
          <w:rFonts w:hint="eastAsia" w:hAnsi="宋体"/>
          <w:color w:val="auto"/>
          <w:sz w:val="24"/>
          <w:szCs w:val="24"/>
          <w:highlight w:val="none"/>
          <w:lang w:val="en-US" w:eastAsia="zh-CN"/>
        </w:rPr>
        <w:t>17.</w:t>
      </w:r>
      <w:r>
        <w:rPr>
          <w:rFonts w:hint="eastAsia" w:hAnsi="宋体"/>
          <w:color w:val="auto"/>
          <w:sz w:val="24"/>
          <w:szCs w:val="24"/>
          <w:highlight w:val="none"/>
        </w:rPr>
        <w:t>本项目鼓励投标文件（需密封）采用邮寄方式，接收截止时间为</w:t>
      </w:r>
      <w:r>
        <w:rPr>
          <w:rFonts w:hAnsi="宋体"/>
          <w:color w:val="auto"/>
          <w:sz w:val="24"/>
          <w:szCs w:val="24"/>
          <w:highlight w:val="none"/>
        </w:rPr>
        <w:t>2023年</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12</w:t>
      </w:r>
      <w:r>
        <w:rPr>
          <w:rFonts w:hint="eastAsia" w:hAnsi="宋体"/>
          <w:color w:val="auto"/>
          <w:sz w:val="24"/>
          <w:szCs w:val="24"/>
          <w:highlight w:val="none"/>
        </w:rPr>
        <w:t>月</w:t>
      </w:r>
      <w:r>
        <w:rPr>
          <w:rFonts w:hint="eastAsia" w:hAnsi="宋体"/>
          <w:color w:val="auto"/>
          <w:sz w:val="24"/>
          <w:szCs w:val="24"/>
          <w:highlight w:val="none"/>
          <w:u w:val="single"/>
          <w:lang w:val="en-US" w:eastAsia="zh-CN"/>
        </w:rPr>
        <w:t xml:space="preserve">14 </w:t>
      </w:r>
      <w:r>
        <w:rPr>
          <w:rFonts w:hint="eastAsia" w:hAnsi="宋体"/>
          <w:color w:val="auto"/>
          <w:sz w:val="24"/>
          <w:szCs w:val="24"/>
          <w:highlight w:val="none"/>
        </w:rPr>
        <w:t>日</w:t>
      </w:r>
      <w:r>
        <w:rPr>
          <w:rFonts w:hint="eastAsia" w:hAnsi="宋体"/>
          <w:color w:val="auto"/>
          <w:sz w:val="24"/>
          <w:szCs w:val="24"/>
          <w:highlight w:val="none"/>
          <w:u w:val="single"/>
        </w:rPr>
        <w:t>9</w:t>
      </w:r>
      <w:r>
        <w:rPr>
          <w:rFonts w:hint="eastAsia" w:hAnsi="宋体"/>
          <w:color w:val="auto"/>
          <w:sz w:val="24"/>
          <w:szCs w:val="24"/>
          <w:highlight w:val="none"/>
        </w:rPr>
        <w:t>：</w:t>
      </w:r>
      <w:r>
        <w:rPr>
          <w:rFonts w:hint="eastAsia" w:hAnsi="宋体"/>
          <w:color w:val="auto"/>
          <w:sz w:val="24"/>
          <w:szCs w:val="24"/>
          <w:highlight w:val="none"/>
          <w:u w:val="single"/>
        </w:rPr>
        <w:t>30</w:t>
      </w:r>
      <w:r>
        <w:rPr>
          <w:rFonts w:hint="eastAsia" w:hAnsi="宋体"/>
          <w:color w:val="auto"/>
          <w:sz w:val="24"/>
          <w:szCs w:val="24"/>
          <w:highlight w:val="none"/>
        </w:rPr>
        <w:t>时止。邮寄件以全国邮政特快专递（</w:t>
      </w:r>
      <w:r>
        <w:rPr>
          <w:rFonts w:hAnsi="宋体"/>
          <w:color w:val="auto"/>
          <w:sz w:val="24"/>
          <w:szCs w:val="24"/>
          <w:highlight w:val="none"/>
        </w:rPr>
        <w:t>EMS）寄达，其他寄件方式</w:t>
      </w:r>
      <w:r>
        <w:rPr>
          <w:rFonts w:hint="eastAsia" w:hAnsi="宋体"/>
          <w:color w:val="auto"/>
          <w:sz w:val="24"/>
          <w:szCs w:val="24"/>
          <w:highlight w:val="none"/>
          <w:lang w:val="en-US" w:eastAsia="zh-CN"/>
        </w:rPr>
        <w:t>可</w:t>
      </w:r>
      <w:r>
        <w:rPr>
          <w:rFonts w:hAnsi="宋体"/>
          <w:color w:val="auto"/>
          <w:sz w:val="24"/>
          <w:szCs w:val="24"/>
          <w:highlight w:val="none"/>
        </w:rPr>
        <w:t>不予接收，投标文件接收时间以签收时间为准。邮寄地点：诸暨市公共资源交易中心4楼</w:t>
      </w:r>
      <w:r>
        <w:rPr>
          <w:rFonts w:hAnsi="宋体" w:eastAsiaTheme="minorEastAsia"/>
          <w:color w:val="auto"/>
          <w:sz w:val="24"/>
          <w:szCs w:val="24"/>
          <w:highlight w:val="none"/>
          <w:u w:val="single"/>
        </w:rPr>
        <w:t xml:space="preserve"> </w:t>
      </w:r>
      <w:r>
        <w:rPr>
          <w:rFonts w:hint="eastAsia" w:hAnsi="宋体" w:eastAsiaTheme="minorEastAsia"/>
          <w:color w:val="auto"/>
          <w:sz w:val="24"/>
          <w:szCs w:val="24"/>
          <w:highlight w:val="none"/>
          <w:u w:val="single"/>
          <w:lang w:val="en-US" w:eastAsia="zh-CN"/>
        </w:rPr>
        <w:t>1</w:t>
      </w:r>
      <w:r>
        <w:rPr>
          <w:rFonts w:hAnsi="宋体" w:eastAsiaTheme="minorEastAsia"/>
          <w:color w:val="auto"/>
          <w:sz w:val="24"/>
          <w:szCs w:val="24"/>
          <w:highlight w:val="none"/>
          <w:u w:val="single"/>
        </w:rPr>
        <w:t xml:space="preserve"> </w:t>
      </w:r>
      <w:r>
        <w:rPr>
          <w:rFonts w:hint="eastAsia" w:hAnsi="宋体"/>
          <w:color w:val="auto"/>
          <w:sz w:val="24"/>
          <w:szCs w:val="24"/>
          <w:highlight w:val="none"/>
        </w:rPr>
        <w:t>号开标室（暨东路</w:t>
      </w:r>
      <w:r>
        <w:rPr>
          <w:rFonts w:hAnsi="宋体"/>
          <w:color w:val="auto"/>
          <w:sz w:val="24"/>
          <w:szCs w:val="24"/>
          <w:highlight w:val="none"/>
        </w:rPr>
        <w:t>58号），联系人：</w:t>
      </w:r>
      <w:r>
        <w:rPr>
          <w:rFonts w:hint="eastAsia" w:hAnsi="宋体"/>
          <w:color w:val="auto"/>
          <w:sz w:val="24"/>
          <w:szCs w:val="24"/>
          <w:highlight w:val="none"/>
        </w:rPr>
        <w:t>熊工，</w:t>
      </w:r>
      <w:r>
        <w:rPr>
          <w:rFonts w:hint="eastAsia" w:hAnsi="宋体"/>
          <w:color w:val="auto"/>
          <w:sz w:val="24"/>
          <w:szCs w:val="24"/>
          <w:highlight w:val="none"/>
          <w:lang w:val="en-US" w:eastAsia="zh-CN"/>
        </w:rPr>
        <w:t>工作电话</w:t>
      </w:r>
      <w:r>
        <w:rPr>
          <w:rFonts w:hint="eastAsia" w:hAnsi="宋体"/>
          <w:color w:val="auto"/>
          <w:sz w:val="24"/>
          <w:szCs w:val="24"/>
          <w:highlight w:val="none"/>
        </w:rPr>
        <w:t>：</w:t>
      </w:r>
      <w:r>
        <w:rPr>
          <w:rFonts w:hAnsi="宋体"/>
          <w:color w:val="auto"/>
          <w:sz w:val="24"/>
          <w:szCs w:val="24"/>
          <w:highlight w:val="none"/>
        </w:rPr>
        <w:t>15068155352</w:t>
      </w:r>
      <w:r>
        <w:rPr>
          <w:rFonts w:hint="eastAsia" w:hAnsi="宋体"/>
          <w:color w:val="auto"/>
          <w:sz w:val="24"/>
          <w:szCs w:val="24"/>
          <w:highlight w:val="none"/>
        </w:rPr>
        <w:t>。</w:t>
      </w:r>
    </w:p>
    <w:p>
      <w:pPr>
        <w:pStyle w:val="14"/>
        <w:pageBreakBefore w:val="0"/>
        <w:kinsoku/>
        <w:wordWrap/>
        <w:overflowPunct/>
        <w:topLinePunct w:val="0"/>
        <w:bidi w:val="0"/>
        <w:snapToGrid/>
        <w:spacing w:line="360" w:lineRule="auto"/>
        <w:ind w:firstLine="240" w:firstLineChars="100"/>
        <w:jc w:val="left"/>
        <w:rPr>
          <w:rFonts w:hint="eastAsia" w:hAnsi="宋体" w:cs="Times New Roman"/>
          <w:color w:val="auto"/>
          <w:sz w:val="24"/>
          <w:szCs w:val="24"/>
          <w:highlight w:val="none"/>
          <w:lang w:val="en-US" w:eastAsia="zh-CN"/>
        </w:rPr>
      </w:pPr>
      <w:r>
        <w:rPr>
          <w:rFonts w:hint="eastAsia" w:hAnsi="宋体" w:cs="Times New Roman"/>
          <w:color w:val="auto"/>
          <w:sz w:val="24"/>
          <w:szCs w:val="24"/>
          <w:highlight w:val="none"/>
          <w:lang w:val="en-US" w:eastAsia="zh-CN"/>
        </w:rPr>
        <w:t>18.联系人：宣  工  0575-87590380  （招标人）</w:t>
      </w:r>
    </w:p>
    <w:p>
      <w:pPr>
        <w:pStyle w:val="14"/>
        <w:spacing w:line="360" w:lineRule="auto"/>
        <w:ind w:firstLine="1680" w:firstLineChars="700"/>
        <w:jc w:val="left"/>
        <w:rPr>
          <w:rFonts w:hint="eastAsia" w:hAnsi="宋体"/>
          <w:color w:val="auto"/>
          <w:sz w:val="24"/>
          <w:szCs w:val="24"/>
          <w:highlight w:val="none"/>
        </w:rPr>
      </w:pPr>
      <w:r>
        <w:rPr>
          <w:rFonts w:hint="eastAsia" w:hAnsi="宋体" w:cs="Times New Roman"/>
          <w:color w:val="auto"/>
          <w:sz w:val="24"/>
          <w:szCs w:val="24"/>
          <w:highlight w:val="none"/>
          <w:lang w:val="en-US" w:eastAsia="zh-CN"/>
        </w:rPr>
        <w:t>熊  工  15068155352  （招标代理机构）</w:t>
      </w:r>
    </w:p>
    <w:p>
      <w:pPr>
        <w:pStyle w:val="14"/>
        <w:pageBreakBefore w:val="0"/>
        <w:kinsoku/>
        <w:wordWrap/>
        <w:overflowPunct/>
        <w:topLinePunct w:val="0"/>
        <w:bidi w:val="0"/>
        <w:snapToGrid/>
        <w:spacing w:line="360" w:lineRule="auto"/>
        <w:jc w:val="right"/>
        <w:rPr>
          <w:rFonts w:hint="eastAsia" w:hAnsi="宋体"/>
          <w:color w:val="auto"/>
          <w:sz w:val="24"/>
          <w:szCs w:val="24"/>
          <w:highlight w:val="none"/>
        </w:rPr>
      </w:pPr>
    </w:p>
    <w:p>
      <w:pPr>
        <w:pStyle w:val="14"/>
        <w:pageBreakBefore w:val="0"/>
        <w:kinsoku/>
        <w:wordWrap/>
        <w:overflowPunct/>
        <w:topLinePunct w:val="0"/>
        <w:bidi w:val="0"/>
        <w:snapToGrid/>
        <w:spacing w:line="360" w:lineRule="auto"/>
        <w:jc w:val="right"/>
        <w:rPr>
          <w:rFonts w:hint="eastAsia" w:hAnsi="宋体"/>
          <w:color w:val="auto"/>
          <w:sz w:val="24"/>
          <w:szCs w:val="24"/>
          <w:highlight w:val="none"/>
        </w:rPr>
      </w:pPr>
    </w:p>
    <w:p>
      <w:pPr>
        <w:pStyle w:val="14"/>
        <w:pageBreakBefore w:val="0"/>
        <w:kinsoku/>
        <w:wordWrap/>
        <w:overflowPunct/>
        <w:topLinePunct w:val="0"/>
        <w:bidi w:val="0"/>
        <w:snapToGrid/>
        <w:spacing w:line="360" w:lineRule="auto"/>
        <w:jc w:val="right"/>
        <w:rPr>
          <w:rFonts w:hAnsi="宋体"/>
          <w:color w:val="auto"/>
          <w:sz w:val="24"/>
          <w:szCs w:val="24"/>
          <w:highlight w:val="none"/>
        </w:rPr>
      </w:pPr>
      <w:r>
        <w:rPr>
          <w:rFonts w:hint="eastAsia" w:hAnsi="宋体"/>
          <w:color w:val="auto"/>
          <w:sz w:val="24"/>
          <w:szCs w:val="24"/>
          <w:highlight w:val="none"/>
        </w:rPr>
        <w:t>诸暨市城乡投资集团有限公司</w:t>
      </w:r>
    </w:p>
    <w:p>
      <w:pPr>
        <w:pStyle w:val="14"/>
        <w:pageBreakBefore w:val="0"/>
        <w:kinsoku/>
        <w:wordWrap/>
        <w:overflowPunct/>
        <w:topLinePunct w:val="0"/>
        <w:bidi w:val="0"/>
        <w:snapToGrid/>
        <w:spacing w:line="360" w:lineRule="auto"/>
        <w:jc w:val="right"/>
        <w:rPr>
          <w:rFonts w:hAnsi="宋体"/>
          <w:color w:val="auto"/>
          <w:sz w:val="24"/>
          <w:szCs w:val="24"/>
          <w:highlight w:val="none"/>
        </w:rPr>
      </w:pPr>
      <w:r>
        <w:rPr>
          <w:rFonts w:hint="eastAsia" w:hAnsi="宋体"/>
          <w:color w:val="auto"/>
          <w:sz w:val="24"/>
          <w:szCs w:val="24"/>
          <w:highlight w:val="none"/>
        </w:rPr>
        <w:t>浙江远大工程咨询有限公司</w:t>
      </w:r>
    </w:p>
    <w:p>
      <w:pPr>
        <w:pStyle w:val="14"/>
        <w:pageBreakBefore w:val="0"/>
        <w:kinsoku/>
        <w:wordWrap/>
        <w:overflowPunct/>
        <w:topLinePunct w:val="0"/>
        <w:bidi w:val="0"/>
        <w:snapToGrid/>
        <w:spacing w:line="360" w:lineRule="auto"/>
        <w:jc w:val="right"/>
        <w:rPr>
          <w:rFonts w:hAnsi="宋体"/>
          <w:color w:val="auto"/>
          <w:sz w:val="24"/>
          <w:szCs w:val="24"/>
          <w:highlight w:val="none"/>
        </w:rPr>
      </w:pPr>
      <w:r>
        <w:rPr>
          <w:rFonts w:hAnsi="宋体"/>
          <w:color w:val="auto"/>
          <w:sz w:val="24"/>
          <w:szCs w:val="24"/>
          <w:highlight w:val="none"/>
        </w:rPr>
        <w:t xml:space="preserve">2023年 </w:t>
      </w:r>
      <w:r>
        <w:rPr>
          <w:rFonts w:hint="eastAsia" w:hAnsi="宋体"/>
          <w:color w:val="auto"/>
          <w:sz w:val="24"/>
          <w:szCs w:val="24"/>
          <w:highlight w:val="none"/>
          <w:lang w:val="en-US" w:eastAsia="zh-CN"/>
        </w:rPr>
        <w:t>11</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lang w:val="en-US" w:eastAsia="zh-CN"/>
        </w:rPr>
        <w:t>21</w:t>
      </w:r>
      <w:r>
        <w:rPr>
          <w:rFonts w:hAnsi="宋体"/>
          <w:color w:val="auto"/>
          <w:sz w:val="24"/>
          <w:szCs w:val="24"/>
          <w:highlight w:val="none"/>
        </w:rPr>
        <w:t xml:space="preserve"> </w:t>
      </w:r>
      <w:r>
        <w:rPr>
          <w:rFonts w:hint="eastAsia" w:hAnsi="宋体"/>
          <w:color w:val="auto"/>
          <w:sz w:val="24"/>
          <w:szCs w:val="24"/>
          <w:highlight w:val="none"/>
        </w:rPr>
        <w:t>日</w:t>
      </w:r>
    </w:p>
    <w:p>
      <w:pPr>
        <w:pStyle w:val="2"/>
        <w:pageBreakBefore w:val="0"/>
        <w:numPr>
          <w:ilvl w:val="0"/>
          <w:numId w:val="0"/>
        </w:numPr>
        <w:tabs>
          <w:tab w:val="clear" w:pos="1440"/>
        </w:tabs>
        <w:kinsoku/>
        <w:wordWrap/>
        <w:overflowPunct/>
        <w:topLinePunct w:val="0"/>
        <w:bidi w:val="0"/>
        <w:snapToGrid/>
        <w:spacing w:before="0" w:after="0" w:line="360" w:lineRule="auto"/>
        <w:jc w:val="center"/>
        <w:rPr>
          <w:rFonts w:ascii="宋体" w:hAnsi="宋体"/>
          <w:color w:val="auto"/>
          <w:highlight w:val="none"/>
        </w:rPr>
        <w:sectPr>
          <w:footerReference r:id="rId8" w:type="default"/>
          <w:pgSz w:w="11906" w:h="16838"/>
          <w:pgMar w:top="1418" w:right="1418" w:bottom="1418" w:left="1418" w:header="851" w:footer="907" w:gutter="0"/>
          <w:pgNumType w:fmt="decimal"/>
          <w:cols w:space="720" w:num="1"/>
          <w:docGrid w:linePitch="312" w:charSpace="0"/>
        </w:sectPr>
      </w:pPr>
    </w:p>
    <w:p>
      <w:pPr>
        <w:pStyle w:val="2"/>
        <w:numPr>
          <w:ilvl w:val="0"/>
          <w:numId w:val="0"/>
        </w:numPr>
        <w:tabs>
          <w:tab w:val="clear" w:pos="1440"/>
        </w:tabs>
        <w:spacing w:before="0" w:after="0" w:line="240" w:lineRule="auto"/>
        <w:jc w:val="center"/>
        <w:rPr>
          <w:rFonts w:hint="eastAsia" w:ascii="宋体" w:hAnsi="宋体"/>
          <w:color w:val="auto"/>
          <w:highlight w:val="none"/>
        </w:rPr>
      </w:pPr>
      <w:bookmarkStart w:id="37" w:name="_Toc5520"/>
      <w:bookmarkStart w:id="38" w:name="_Toc28664"/>
      <w:bookmarkStart w:id="39" w:name="_Toc1717"/>
      <w:bookmarkStart w:id="40" w:name="_Toc28396"/>
      <w:bookmarkStart w:id="41" w:name="_Toc1649"/>
      <w:bookmarkStart w:id="42" w:name="_Toc29716"/>
      <w:bookmarkStart w:id="43" w:name="_Toc30638"/>
      <w:bookmarkStart w:id="44" w:name="_Toc20608"/>
      <w:bookmarkStart w:id="45" w:name="_Toc23506"/>
      <w:bookmarkStart w:id="46" w:name="_Toc14852"/>
      <w:bookmarkStart w:id="47" w:name="_Toc32760"/>
      <w:bookmarkStart w:id="48" w:name="_Toc666"/>
      <w:bookmarkStart w:id="49" w:name="_Toc12912"/>
      <w:bookmarkStart w:id="50" w:name="_Toc28145"/>
      <w:bookmarkStart w:id="51" w:name="_Toc21200"/>
      <w:bookmarkStart w:id="52" w:name="_Toc2345"/>
      <w:bookmarkStart w:id="53" w:name="_Toc7607"/>
      <w:bookmarkStart w:id="54" w:name="_Toc13341"/>
      <w:bookmarkStart w:id="55" w:name="_Toc23286"/>
      <w:bookmarkStart w:id="56" w:name="_Toc31139"/>
      <w:bookmarkStart w:id="57" w:name="_Toc2074"/>
      <w:bookmarkStart w:id="58" w:name="_Toc12424"/>
      <w:bookmarkStart w:id="59" w:name="_Toc23585"/>
      <w:bookmarkStart w:id="60" w:name="_Toc9006"/>
      <w:bookmarkStart w:id="61" w:name="_Toc14523"/>
      <w:bookmarkStart w:id="62" w:name="_Toc22202"/>
      <w:bookmarkStart w:id="63" w:name="_Toc300038917"/>
      <w:bookmarkStart w:id="64" w:name="_Toc13824"/>
      <w:r>
        <w:rPr>
          <w:rFonts w:hint="eastAsia" w:ascii="宋体" w:hAnsi="宋体"/>
          <w:color w:val="auto"/>
          <w:highlight w:val="none"/>
        </w:rPr>
        <w:t>第二章投标人须知</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rPr>
          <w:color w:val="auto"/>
          <w:highlight w:val="none"/>
        </w:rPr>
      </w:pPr>
    </w:p>
    <w:p>
      <w:pPr>
        <w:pStyle w:val="3"/>
        <w:tabs>
          <w:tab w:val="left" w:pos="3600"/>
        </w:tabs>
        <w:spacing w:line="240" w:lineRule="auto"/>
        <w:jc w:val="left"/>
        <w:rPr>
          <w:color w:val="auto"/>
          <w:highlight w:val="none"/>
        </w:rPr>
      </w:pPr>
      <w:bookmarkStart w:id="65" w:name="_Toc23521"/>
      <w:bookmarkStart w:id="66" w:name="_Toc23676"/>
      <w:bookmarkStart w:id="67" w:name="_Toc4200"/>
      <w:bookmarkStart w:id="68" w:name="_Toc13624"/>
      <w:bookmarkStart w:id="69" w:name="_Toc5426"/>
      <w:bookmarkStart w:id="70" w:name="_Toc26906"/>
      <w:bookmarkStart w:id="71" w:name="_Toc30896"/>
      <w:bookmarkStart w:id="72" w:name="_Toc32473"/>
      <w:bookmarkStart w:id="73" w:name="_Toc19692"/>
      <w:bookmarkStart w:id="74" w:name="_Toc314"/>
      <w:bookmarkStart w:id="75" w:name="_Toc13792"/>
      <w:bookmarkStart w:id="76" w:name="_Toc29299"/>
      <w:bookmarkStart w:id="77" w:name="_Toc15031"/>
      <w:bookmarkStart w:id="78" w:name="_Toc24156"/>
      <w:bookmarkStart w:id="79" w:name="_Toc6216"/>
      <w:bookmarkStart w:id="80" w:name="_Toc10358"/>
      <w:bookmarkStart w:id="81" w:name="_Toc6807"/>
      <w:bookmarkStart w:id="82" w:name="_Toc300038918"/>
      <w:bookmarkStart w:id="83" w:name="_Toc19931"/>
      <w:bookmarkStart w:id="84" w:name="_Toc30601"/>
      <w:bookmarkStart w:id="85" w:name="_Toc26041"/>
      <w:bookmarkStart w:id="86" w:name="_Toc29381"/>
      <w:bookmarkStart w:id="87" w:name="_Toc10518"/>
      <w:bookmarkStart w:id="88" w:name="_Toc9640"/>
      <w:bookmarkStart w:id="89" w:name="_Toc15982"/>
      <w:bookmarkStart w:id="90" w:name="_Toc26456"/>
      <w:bookmarkStart w:id="91" w:name="_Toc22322"/>
      <w:bookmarkStart w:id="92" w:name="_Toc15770"/>
      <w:r>
        <w:rPr>
          <w:rFonts w:hint="eastAsia"/>
          <w:color w:val="auto"/>
          <w:highlight w:val="none"/>
        </w:rPr>
        <w:t>前附表</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pPr>
        <w:spacing w:line="240" w:lineRule="auto"/>
        <w:jc w:val="left"/>
        <w:rPr>
          <w:rFonts w:ascii="宋体" w:hAnsi="宋体"/>
          <w:b/>
          <w:bCs/>
          <w:color w:val="auto"/>
          <w:sz w:val="32"/>
          <w:highlight w:val="none"/>
        </w:rPr>
      </w:pPr>
      <w:r>
        <w:rPr>
          <w:rFonts w:hint="eastAsia" w:ascii="宋体" w:hAnsi="宋体"/>
          <w:b/>
          <w:bCs/>
          <w:color w:val="auto"/>
          <w:sz w:val="32"/>
          <w:highlight w:val="none"/>
        </w:rPr>
        <w:t>前附表（一）</w:t>
      </w:r>
    </w:p>
    <w:tbl>
      <w:tblPr>
        <w:tblStyle w:val="26"/>
        <w:tblW w:w="97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2381"/>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trPr>
        <w:tc>
          <w:tcPr>
            <w:tcW w:w="811" w:type="dxa"/>
            <w:vAlign w:val="center"/>
          </w:tcPr>
          <w:p>
            <w:pPr>
              <w:tabs>
                <w:tab w:val="left" w:pos="540"/>
              </w:tabs>
              <w:spacing w:line="400" w:lineRule="exact"/>
              <w:rPr>
                <w:rFonts w:ascii="宋体" w:hAnsi="宋体"/>
                <w:i/>
                <w:iCs/>
                <w:color w:val="auto"/>
                <w:spacing w:val="60"/>
                <w:sz w:val="26"/>
                <w:highlight w:val="none"/>
              </w:rPr>
            </w:pPr>
            <w:r>
              <w:rPr>
                <w:rFonts w:hint="eastAsia" w:ascii="宋体" w:hAnsi="宋体"/>
                <w:color w:val="auto"/>
                <w:kern w:val="16"/>
                <w:sz w:val="24"/>
                <w:highlight w:val="none"/>
              </w:rPr>
              <w:t>序号</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内容</w:t>
            </w:r>
          </w:p>
        </w:tc>
        <w:tc>
          <w:tcPr>
            <w:tcW w:w="6539"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1</w:t>
            </w:r>
          </w:p>
        </w:tc>
        <w:tc>
          <w:tcPr>
            <w:tcW w:w="2381" w:type="dxa"/>
            <w:vAlign w:val="center"/>
          </w:tcPr>
          <w:p>
            <w:pPr>
              <w:spacing w:line="400" w:lineRule="exact"/>
              <w:jc w:val="center"/>
              <w:rPr>
                <w:color w:val="auto"/>
                <w:sz w:val="24"/>
                <w:szCs w:val="24"/>
                <w:highlight w:val="none"/>
              </w:rPr>
            </w:pPr>
            <w:r>
              <w:rPr>
                <w:rFonts w:hint="eastAsia"/>
                <w:color w:val="auto"/>
                <w:sz w:val="24"/>
                <w:szCs w:val="24"/>
                <w:highlight w:val="none"/>
              </w:rPr>
              <w:t>招标人</w:t>
            </w:r>
          </w:p>
        </w:tc>
        <w:tc>
          <w:tcPr>
            <w:tcW w:w="6539" w:type="dxa"/>
            <w:vAlign w:val="center"/>
          </w:tcPr>
          <w:p>
            <w:pPr>
              <w:spacing w:line="400" w:lineRule="exact"/>
              <w:jc w:val="left"/>
              <w:rPr>
                <w:color w:val="auto"/>
                <w:sz w:val="24"/>
                <w:szCs w:val="24"/>
                <w:highlight w:val="none"/>
              </w:rPr>
            </w:pPr>
            <w:r>
              <w:rPr>
                <w:rFonts w:hint="eastAsia"/>
                <w:color w:val="auto"/>
                <w:sz w:val="24"/>
                <w:szCs w:val="24"/>
                <w:highlight w:val="none"/>
              </w:rPr>
              <w:t>诸暨市城乡投资集团有限公司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2</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招标代理机构</w:t>
            </w:r>
          </w:p>
        </w:tc>
        <w:tc>
          <w:tcPr>
            <w:tcW w:w="6539" w:type="dxa"/>
            <w:vAlign w:val="center"/>
          </w:tcPr>
          <w:p>
            <w:pPr>
              <w:tabs>
                <w:tab w:val="left" w:pos="540"/>
              </w:tabs>
              <w:spacing w:line="400" w:lineRule="exact"/>
              <w:jc w:val="left"/>
              <w:rPr>
                <w:rFonts w:ascii="宋体" w:hAnsi="宋体"/>
                <w:color w:val="auto"/>
                <w:kern w:val="16"/>
                <w:sz w:val="24"/>
                <w:highlight w:val="none"/>
              </w:rPr>
            </w:pPr>
            <w:r>
              <w:rPr>
                <w:rFonts w:hint="eastAsia" w:ascii="宋体" w:hAnsi="宋体"/>
                <w:color w:val="auto"/>
                <w:kern w:val="16"/>
                <w:sz w:val="24"/>
                <w:highlight w:val="none"/>
              </w:rPr>
              <w:t>浙江远大工程咨询有限公司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3</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工程名称</w:t>
            </w:r>
          </w:p>
        </w:tc>
        <w:tc>
          <w:tcPr>
            <w:tcW w:w="6539" w:type="dxa"/>
            <w:vAlign w:val="center"/>
          </w:tcPr>
          <w:p>
            <w:pPr>
              <w:pStyle w:val="14"/>
              <w:spacing w:line="400" w:lineRule="exact"/>
              <w:jc w:val="left"/>
              <w:rPr>
                <w:rFonts w:hint="eastAsia" w:hAnsi="宋体" w:eastAsia="宋体"/>
                <w:color w:val="auto"/>
                <w:kern w:val="16"/>
                <w:sz w:val="24"/>
                <w:highlight w:val="none"/>
                <w:lang w:val="en-US" w:eastAsia="zh-CN"/>
              </w:rPr>
            </w:pPr>
            <w:r>
              <w:rPr>
                <w:rFonts w:hint="eastAsia" w:hAnsi="宋体"/>
                <w:color w:val="auto"/>
                <w:kern w:val="16"/>
                <w:sz w:val="24"/>
                <w:highlight w:val="none"/>
              </w:rPr>
              <w:t>二环路智慧快速化改造工程（柯诸高速至S211省道公路连接线）全过程工程咨询</w:t>
            </w:r>
            <w:r>
              <w:rPr>
                <w:rFonts w:hint="eastAsia" w:hAnsi="宋体"/>
                <w:color w:val="auto"/>
                <w:kern w:val="16"/>
                <w:sz w:val="24"/>
                <w:highlight w:val="none"/>
                <w:lang w:val="en-US" w:eastAsia="zh-CN"/>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4</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建设地点</w:t>
            </w:r>
          </w:p>
        </w:tc>
        <w:tc>
          <w:tcPr>
            <w:tcW w:w="6539" w:type="dxa"/>
            <w:vAlign w:val="center"/>
          </w:tcPr>
          <w:p>
            <w:pPr>
              <w:pStyle w:val="14"/>
              <w:spacing w:line="400" w:lineRule="exact"/>
              <w:jc w:val="left"/>
              <w:rPr>
                <w:rFonts w:hAnsi="宋体"/>
                <w:color w:val="auto"/>
                <w:kern w:val="16"/>
                <w:sz w:val="24"/>
                <w:highlight w:val="none"/>
              </w:rPr>
            </w:pPr>
            <w:r>
              <w:rPr>
                <w:rFonts w:hint="eastAsia" w:hAnsi="宋体"/>
                <w:color w:val="auto"/>
                <w:sz w:val="24"/>
                <w:szCs w:val="24"/>
                <w:highlight w:val="none"/>
              </w:rPr>
              <w:t>诸暨市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5</w:t>
            </w:r>
          </w:p>
        </w:tc>
        <w:tc>
          <w:tcPr>
            <w:tcW w:w="2381" w:type="dxa"/>
            <w:vAlign w:val="center"/>
          </w:tcPr>
          <w:p>
            <w:pPr>
              <w:tabs>
                <w:tab w:val="left" w:pos="540"/>
              </w:tabs>
              <w:spacing w:line="400" w:lineRule="exact"/>
              <w:jc w:val="center"/>
              <w:rPr>
                <w:rFonts w:ascii="宋体" w:hAnsi="宋体"/>
                <w:color w:val="auto"/>
                <w:kern w:val="2"/>
                <w:sz w:val="24"/>
                <w:szCs w:val="24"/>
                <w:highlight w:val="none"/>
              </w:rPr>
            </w:pPr>
            <w:r>
              <w:rPr>
                <w:rFonts w:hint="eastAsia" w:ascii="宋体" w:hAnsi="宋体"/>
                <w:color w:val="auto"/>
                <w:kern w:val="2"/>
                <w:sz w:val="24"/>
                <w:szCs w:val="24"/>
                <w:highlight w:val="none"/>
              </w:rPr>
              <w:t>建设规模</w:t>
            </w:r>
          </w:p>
        </w:tc>
        <w:tc>
          <w:tcPr>
            <w:tcW w:w="6539" w:type="dxa"/>
            <w:vAlign w:val="center"/>
          </w:tcPr>
          <w:p>
            <w:pPr>
              <w:tabs>
                <w:tab w:val="left" w:pos="540"/>
              </w:tabs>
              <w:spacing w:line="400" w:lineRule="exact"/>
              <w:jc w:val="both"/>
              <w:rPr>
                <w:rFonts w:ascii="宋体" w:hAnsi="宋体"/>
                <w:color w:val="auto"/>
                <w:kern w:val="2"/>
                <w:sz w:val="24"/>
                <w:szCs w:val="24"/>
                <w:highlight w:val="none"/>
              </w:rPr>
            </w:pPr>
            <w:r>
              <w:rPr>
                <w:rFonts w:hint="eastAsia" w:ascii="宋体" w:hAnsi="宋体" w:eastAsia="宋体" w:cs="宋体"/>
                <w:color w:val="auto"/>
                <w:sz w:val="24"/>
                <w:szCs w:val="24"/>
                <w:highlight w:val="none"/>
                <w:lang w:val="zh-CN" w:eastAsia="zh-CN"/>
              </w:rPr>
              <w:t>二环路智慧快速化改造工程（柯诸高速至S211省道公路连接线）项目总投资约</w:t>
            </w:r>
            <w:r>
              <w:rPr>
                <w:rFonts w:hint="eastAsia" w:ascii="宋体" w:hAnsi="宋体" w:eastAsia="宋体" w:cs="宋体"/>
                <w:color w:val="auto"/>
                <w:sz w:val="24"/>
                <w:szCs w:val="24"/>
                <w:highlight w:val="none"/>
                <w:lang w:val="en-US" w:eastAsia="zh-CN"/>
              </w:rPr>
              <w:t>33亿</w:t>
            </w:r>
            <w:r>
              <w:rPr>
                <w:rFonts w:hint="eastAsia" w:ascii="宋体" w:hAnsi="宋体" w:eastAsia="宋体" w:cs="宋体"/>
                <w:color w:val="auto"/>
                <w:sz w:val="24"/>
                <w:szCs w:val="24"/>
                <w:highlight w:val="none"/>
                <w:lang w:val="zh-CN" w:eastAsia="zh-CN"/>
              </w:rPr>
              <w:t>元，总长度约8km，起点为北二环线育英路口（柯诸高速与二环北路互通项目终点），终点为环城南路艮塔路口（环城南路快速路项目终点）。该项目</w:t>
            </w:r>
            <w:r>
              <w:rPr>
                <w:rFonts w:hint="eastAsia"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zh-CN" w:eastAsia="zh-CN"/>
              </w:rPr>
              <w:t>Ⅰ标段、Ⅱ标段、Ⅲ标段</w:t>
            </w:r>
            <w:r>
              <w:rPr>
                <w:rFonts w:hint="eastAsia" w:ascii="宋体" w:hAnsi="宋体" w:eastAsia="宋体" w:cs="宋体"/>
                <w:color w:val="auto"/>
                <w:sz w:val="24"/>
                <w:szCs w:val="24"/>
                <w:highlight w:val="none"/>
                <w:lang w:val="en-US" w:eastAsia="zh-CN"/>
              </w:rPr>
              <w:t>3个标段，其中</w:t>
            </w:r>
            <w:r>
              <w:rPr>
                <w:rFonts w:hint="eastAsia" w:ascii="宋体" w:hAnsi="宋体" w:eastAsia="宋体" w:cs="宋体"/>
                <w:color w:val="auto"/>
                <w:sz w:val="24"/>
                <w:szCs w:val="24"/>
                <w:highlight w:val="none"/>
                <w:lang w:val="zh-CN" w:eastAsia="zh-CN"/>
              </w:rPr>
              <w:t>Ⅰ标段北起育英路交叉口东，南至永乐路交叉口北，起始桩K0+143~K3+120，长约2.98km，采用“快速化主线+地面辅道”的建设形式，</w:t>
            </w:r>
            <w:r>
              <w:rPr>
                <w:rFonts w:hint="eastAsia" w:ascii="宋体" w:hAnsi="宋体" w:eastAsia="宋体" w:cs="宋体"/>
                <w:color w:val="auto"/>
                <w:sz w:val="24"/>
                <w:szCs w:val="24"/>
                <w:highlight w:val="none"/>
                <w:lang w:val="en-US" w:eastAsia="zh-CN"/>
              </w:rPr>
              <w:t>工程概算 85069.81万元，建安工程造价66600.36万元；</w:t>
            </w:r>
            <w:r>
              <w:rPr>
                <w:rFonts w:hint="eastAsia" w:ascii="宋体" w:hAnsi="宋体" w:eastAsia="宋体" w:cs="宋体"/>
                <w:color w:val="auto"/>
                <w:sz w:val="24"/>
                <w:szCs w:val="24"/>
                <w:highlight w:val="none"/>
                <w:lang w:val="zh-CN" w:eastAsia="zh-CN"/>
              </w:rPr>
              <w:t>Ⅱ标段北起永乐路交叉口，南至东三路交叉口，起始桩K3+120~K5+554.749，长约2.4km，采用“快速化主线+地面辅道”的建设形式，</w:t>
            </w:r>
            <w:r>
              <w:rPr>
                <w:rFonts w:hint="eastAsia" w:ascii="宋体" w:hAnsi="宋体" w:eastAsia="宋体" w:cs="宋体"/>
                <w:color w:val="auto"/>
                <w:sz w:val="24"/>
                <w:szCs w:val="24"/>
                <w:highlight w:val="none"/>
                <w:lang w:val="en-US" w:eastAsia="zh-CN"/>
              </w:rPr>
              <w:t>工程概算124878.95万元，建安工程造价用 94862.94万元</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III标包含主线道路、地面道路（二环路和环城南路两条道路）和匝道道路，主线起点桩号5+554.749，向南至环城南路后，向西终于东兴</w:t>
            </w:r>
            <w:r>
              <w:rPr>
                <w:rFonts w:hint="eastAsia" w:ascii="宋体" w:hAnsi="宋体" w:cs="宋体"/>
                <w:color w:val="auto"/>
                <w:sz w:val="24"/>
                <w:szCs w:val="24"/>
                <w:highlight w:val="none"/>
                <w:lang w:val="en-US" w:eastAsia="zh-CN"/>
              </w:rPr>
              <w:t>路</w:t>
            </w:r>
            <w:r>
              <w:rPr>
                <w:rFonts w:hint="eastAsia" w:ascii="宋体" w:hAnsi="宋体" w:eastAsia="宋体" w:cs="宋体"/>
                <w:color w:val="auto"/>
                <w:sz w:val="24"/>
                <w:szCs w:val="24"/>
                <w:highlight w:val="none"/>
                <w:lang w:val="en-US" w:eastAsia="zh-CN"/>
              </w:rPr>
              <w:t>西侧，终点桩号8+297.118，道路全长2742m，采用“快速化主线+地面辅道”的建设形式，地面道路东二环路地面道路北起东三</w:t>
            </w:r>
            <w:r>
              <w:rPr>
                <w:rFonts w:hint="eastAsia" w:ascii="宋体" w:hAnsi="宋体" w:cs="宋体"/>
                <w:color w:val="auto"/>
                <w:sz w:val="24"/>
                <w:szCs w:val="24"/>
                <w:highlight w:val="none"/>
                <w:lang w:val="en-US" w:eastAsia="zh-CN"/>
              </w:rPr>
              <w:t>路</w:t>
            </w:r>
            <w:r>
              <w:rPr>
                <w:rFonts w:hint="eastAsia" w:ascii="宋体" w:hAnsi="宋体" w:eastAsia="宋体" w:cs="宋体"/>
                <w:color w:val="auto"/>
                <w:sz w:val="24"/>
                <w:szCs w:val="24"/>
                <w:highlight w:val="none"/>
                <w:lang w:val="en-US" w:eastAsia="zh-CN"/>
              </w:rPr>
              <w:t>北侧，起点桩号DE5+547.914,南至朝五相路，终点桩号DE7+080,长约1532m。环城南路地面道路东起新晖路东侧，起点桩号HND0+000，西至东兴路西侧，终点桩号8+297.118，全长约1960m。工程概算 100359.19万元，建安工程造价74487.86万元。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6</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建设资金来源</w:t>
            </w:r>
          </w:p>
        </w:tc>
        <w:tc>
          <w:tcPr>
            <w:tcW w:w="6539" w:type="dxa"/>
            <w:vAlign w:val="center"/>
          </w:tcPr>
          <w:p>
            <w:pPr>
              <w:tabs>
                <w:tab w:val="left" w:pos="540"/>
              </w:tabs>
              <w:spacing w:line="400" w:lineRule="exact"/>
              <w:rPr>
                <w:rFonts w:ascii="宋体" w:hAnsi="宋体"/>
                <w:color w:val="auto"/>
                <w:kern w:val="16"/>
                <w:sz w:val="24"/>
                <w:highlight w:val="none"/>
              </w:rPr>
            </w:pPr>
            <w:r>
              <w:rPr>
                <w:rFonts w:hint="eastAsia" w:ascii="宋体" w:hAnsi="宋体"/>
                <w:color w:val="auto"/>
                <w:kern w:val="16"/>
                <w:sz w:val="24"/>
                <w:highlight w:val="none"/>
              </w:rPr>
              <w:t>自筹（100%）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7</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hAnsi="宋体"/>
                <w:color w:val="auto"/>
                <w:sz w:val="24"/>
                <w:szCs w:val="24"/>
                <w:highlight w:val="none"/>
              </w:rPr>
              <w:t>招标范围及主要内容</w:t>
            </w:r>
          </w:p>
        </w:tc>
        <w:tc>
          <w:tcPr>
            <w:tcW w:w="6539" w:type="dxa"/>
            <w:vAlign w:val="center"/>
          </w:tcPr>
          <w:p>
            <w:pPr>
              <w:pStyle w:val="14"/>
              <w:spacing w:line="400" w:lineRule="exact"/>
              <w:jc w:val="left"/>
              <w:rPr>
                <w:rFonts w:hAnsi="宋体"/>
                <w:color w:val="auto"/>
                <w:sz w:val="24"/>
                <w:szCs w:val="24"/>
                <w:highlight w:val="none"/>
              </w:rPr>
            </w:pPr>
            <w:r>
              <w:rPr>
                <w:rFonts w:hint="eastAsia" w:ascii="Times New Roman" w:hAnsi="宋体"/>
                <w:color w:val="auto"/>
                <w:kern w:val="0"/>
                <w:sz w:val="24"/>
                <w:szCs w:val="24"/>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811" w:type="dxa"/>
            <w:vAlign w:val="center"/>
          </w:tcPr>
          <w:p>
            <w:pPr>
              <w:pStyle w:val="33"/>
              <w:widowControl w:val="0"/>
              <w:pBdr>
                <w:bottom w:val="none" w:color="auto" w:sz="0" w:space="0"/>
              </w:pBdr>
              <w:tabs>
                <w:tab w:val="left" w:pos="540"/>
              </w:tabs>
              <w:spacing w:beforeAutospacing="0" w:afterAutospacing="0" w:line="440" w:lineRule="exact"/>
              <w:rPr>
                <w:rFonts w:hint="default" w:ascii="宋体"/>
                <w:color w:val="auto"/>
                <w:kern w:val="16"/>
                <w:highlight w:val="none"/>
              </w:rPr>
            </w:pPr>
            <w:r>
              <w:rPr>
                <w:rFonts w:hint="default" w:ascii="宋体" w:eastAsia="宋体"/>
                <w:color w:val="auto"/>
                <w:spacing w:val="-10"/>
                <w:kern w:val="16"/>
                <w:highlight w:val="none"/>
              </w:rPr>
              <w:t>8</w:t>
            </w:r>
          </w:p>
        </w:tc>
        <w:tc>
          <w:tcPr>
            <w:tcW w:w="2381" w:type="dxa"/>
            <w:vAlign w:val="center"/>
          </w:tcPr>
          <w:p>
            <w:pPr>
              <w:tabs>
                <w:tab w:val="left" w:pos="540"/>
              </w:tabs>
              <w:spacing w:line="400" w:lineRule="exact"/>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招标控制价</w:t>
            </w:r>
          </w:p>
        </w:tc>
        <w:tc>
          <w:tcPr>
            <w:tcW w:w="6539" w:type="dxa"/>
            <w:vAlign w:val="center"/>
          </w:tcPr>
          <w:p>
            <w:pPr>
              <w:pStyle w:val="14"/>
              <w:snapToGrid w:val="0"/>
              <w:spacing w:line="400" w:lineRule="exact"/>
              <w:rPr>
                <w:rFonts w:ascii="MS Mincho" w:hAnsi="MS Mincho" w:cs="MS Mincho"/>
                <w:color w:val="auto"/>
                <w:sz w:val="24"/>
                <w:szCs w:val="24"/>
                <w:highlight w:val="none"/>
              </w:rPr>
            </w:pPr>
            <w:r>
              <w:rPr>
                <w:rFonts w:hint="eastAsia" w:hAnsi="宋体"/>
                <w:color w:val="auto"/>
                <w:sz w:val="24"/>
                <w:szCs w:val="24"/>
                <w:highlight w:val="none"/>
                <w:lang w:val="en-US" w:eastAsia="zh-CN"/>
              </w:rPr>
              <w:t>招标控制价</w:t>
            </w:r>
            <w:r>
              <w:rPr>
                <w:rFonts w:hint="eastAsia" w:hAnsi="宋体" w:cs="宋体"/>
                <w:color w:val="auto"/>
                <w:sz w:val="24"/>
                <w:highlight w:val="none"/>
                <w:shd w:val="clear" w:color="auto" w:fill="FFFFFF"/>
              </w:rPr>
              <w:t>为人民币</w:t>
            </w:r>
            <w:r>
              <w:rPr>
                <w:rFonts w:hAnsi="宋体" w:cs="宋体"/>
                <w:color w:val="auto"/>
                <w:sz w:val="24"/>
                <w:highlight w:val="none"/>
                <w:shd w:val="clear" w:color="auto" w:fill="FFFFFF"/>
              </w:rPr>
              <w:t xml:space="preserve"> </w:t>
            </w:r>
            <w:r>
              <w:rPr>
                <w:rFonts w:hint="eastAsia" w:asciiTheme="minorEastAsia" w:hAnsiTheme="minorEastAsia" w:eastAsiaTheme="minorEastAsia"/>
                <w:color w:val="auto"/>
                <w:spacing w:val="-6"/>
                <w:sz w:val="24"/>
                <w:szCs w:val="24"/>
                <w:highlight w:val="none"/>
                <w:u w:val="single"/>
                <w:lang w:val="en-US" w:eastAsia="zh-CN"/>
              </w:rPr>
              <w:t>1257</w:t>
            </w:r>
            <w:r>
              <w:rPr>
                <w:rFonts w:hAnsi="宋体" w:cs="宋体"/>
                <w:color w:val="auto"/>
                <w:sz w:val="24"/>
                <w:highlight w:val="none"/>
                <w:shd w:val="clear" w:color="auto" w:fill="FFFFFF"/>
              </w:rPr>
              <w:t xml:space="preserve"> </w:t>
            </w:r>
            <w:r>
              <w:rPr>
                <w:rFonts w:hint="eastAsia" w:hAnsi="宋体" w:cs="宋体"/>
                <w:color w:val="auto"/>
                <w:sz w:val="24"/>
                <w:highlight w:val="none"/>
                <w:shd w:val="clear" w:color="auto" w:fill="FFFFFF"/>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811" w:type="dxa"/>
            <w:vAlign w:val="center"/>
          </w:tcPr>
          <w:p>
            <w:pPr>
              <w:pStyle w:val="33"/>
              <w:widowControl w:val="0"/>
              <w:pBdr>
                <w:bottom w:val="none" w:color="auto" w:sz="0" w:space="0"/>
              </w:pBdr>
              <w:tabs>
                <w:tab w:val="left" w:pos="540"/>
              </w:tabs>
              <w:spacing w:beforeAutospacing="0" w:afterAutospacing="0" w:line="440" w:lineRule="exact"/>
              <w:rPr>
                <w:rFonts w:hint="default" w:ascii="宋体" w:eastAsia="宋体"/>
                <w:color w:val="auto"/>
                <w:spacing w:val="-10"/>
                <w:kern w:val="16"/>
                <w:highlight w:val="none"/>
              </w:rPr>
            </w:pPr>
            <w:r>
              <w:rPr>
                <w:rFonts w:ascii="宋体" w:eastAsia="宋体"/>
                <w:color w:val="auto"/>
                <w:spacing w:val="-10"/>
                <w:kern w:val="16"/>
                <w:highlight w:val="none"/>
              </w:rPr>
              <w:t>9</w:t>
            </w:r>
          </w:p>
        </w:tc>
        <w:tc>
          <w:tcPr>
            <w:tcW w:w="2381" w:type="dxa"/>
            <w:vAlign w:val="center"/>
          </w:tcPr>
          <w:p>
            <w:pPr>
              <w:tabs>
                <w:tab w:val="left" w:pos="540"/>
              </w:tabs>
              <w:spacing w:line="400" w:lineRule="exact"/>
              <w:jc w:val="center"/>
              <w:rPr>
                <w:rFonts w:hAnsi="宋体"/>
                <w:color w:val="auto"/>
                <w:sz w:val="24"/>
                <w:szCs w:val="24"/>
                <w:highlight w:val="none"/>
              </w:rPr>
            </w:pPr>
            <w:r>
              <w:rPr>
                <w:rFonts w:hint="eastAsia" w:hAnsi="宋体"/>
                <w:color w:val="auto"/>
                <w:sz w:val="24"/>
                <w:szCs w:val="24"/>
                <w:highlight w:val="none"/>
              </w:rPr>
              <w:t>报价下浮率区间</w:t>
            </w:r>
          </w:p>
        </w:tc>
        <w:tc>
          <w:tcPr>
            <w:tcW w:w="6539" w:type="dxa"/>
            <w:vAlign w:val="center"/>
          </w:tcPr>
          <w:p>
            <w:pPr>
              <w:pStyle w:val="14"/>
              <w:snapToGrid w:val="0"/>
              <w:spacing w:line="400" w:lineRule="exact"/>
              <w:rPr>
                <w:rFonts w:hAnsi="宋体" w:cs="宋体"/>
                <w:color w:val="auto"/>
                <w:sz w:val="24"/>
                <w:highlight w:val="none"/>
                <w:shd w:val="clear" w:color="auto" w:fill="FFFFFF"/>
              </w:rPr>
            </w:pPr>
            <w:r>
              <w:rPr>
                <w:rFonts w:hint="eastAsia" w:hAnsi="宋体" w:cs="宋体"/>
                <w:color w:val="auto"/>
                <w:sz w:val="24"/>
                <w:highlight w:val="none"/>
                <w:shd w:val="clear" w:color="auto" w:fill="FFFFFF"/>
              </w:rPr>
              <w:t>5%-15%（均含本数）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color w:val="auto"/>
                <w:spacing w:val="-10"/>
                <w:kern w:val="16"/>
                <w:highlight w:val="none"/>
              </w:rPr>
            </w:pPr>
            <w:r>
              <w:rPr>
                <w:rFonts w:ascii="宋体" w:hAnsi="宋体"/>
                <w:color w:val="auto"/>
                <w:kern w:val="16"/>
                <w:sz w:val="24"/>
                <w:highlight w:val="none"/>
              </w:rPr>
              <w:t>10</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服务期限</w:t>
            </w:r>
          </w:p>
        </w:tc>
        <w:tc>
          <w:tcPr>
            <w:tcW w:w="6539" w:type="dxa"/>
            <w:vAlign w:val="center"/>
          </w:tcPr>
          <w:p>
            <w:pPr>
              <w:tabs>
                <w:tab w:val="left" w:pos="540"/>
              </w:tabs>
              <w:spacing w:line="400" w:lineRule="exact"/>
              <w:jc w:val="left"/>
              <w:rPr>
                <w:rFonts w:hAnsi="宋体"/>
                <w:color w:val="auto"/>
                <w:kern w:val="16"/>
                <w:sz w:val="24"/>
                <w:szCs w:val="24"/>
                <w:highlight w:val="none"/>
              </w:rPr>
            </w:pPr>
            <w:r>
              <w:rPr>
                <w:rFonts w:hint="eastAsia" w:ascii="宋体" w:hAnsi="宋体"/>
                <w:color w:val="auto"/>
                <w:kern w:val="16"/>
                <w:sz w:val="24"/>
                <w:highlight w:val="none"/>
                <w:u w:val="single"/>
              </w:rPr>
              <w:t>自咨询合同签订之日起，至本项目竣工验收后缺陷责任期满且结算审计结束，并完成招标范围内所有工作内容、办结相关档案的整体移交之日止。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11" w:type="dxa"/>
            <w:vAlign w:val="center"/>
          </w:tcPr>
          <w:p>
            <w:pPr>
              <w:tabs>
                <w:tab w:val="left" w:pos="360"/>
                <w:tab w:val="left" w:pos="720"/>
                <w:tab w:val="left" w:pos="900"/>
              </w:tabs>
              <w:spacing w:line="440" w:lineRule="exact"/>
              <w:jc w:val="center"/>
              <w:rPr>
                <w:rFonts w:ascii="宋体"/>
                <w:color w:val="auto"/>
                <w:spacing w:val="-10"/>
                <w:kern w:val="16"/>
                <w:highlight w:val="none"/>
              </w:rPr>
            </w:pPr>
            <w:r>
              <w:rPr>
                <w:rFonts w:ascii="宋体" w:hAnsi="宋体"/>
                <w:color w:val="auto"/>
                <w:kern w:val="16"/>
                <w:sz w:val="24"/>
                <w:highlight w:val="none"/>
              </w:rPr>
              <w:t>11</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质量要求</w:t>
            </w:r>
          </w:p>
        </w:tc>
        <w:tc>
          <w:tcPr>
            <w:tcW w:w="6539" w:type="dxa"/>
            <w:vAlign w:val="center"/>
          </w:tcPr>
          <w:p>
            <w:pPr>
              <w:pStyle w:val="14"/>
              <w:spacing w:line="400" w:lineRule="exact"/>
              <w:rPr>
                <w:rFonts w:hAnsi="宋体"/>
                <w:color w:val="auto"/>
                <w:kern w:val="16"/>
                <w:sz w:val="24"/>
                <w:highlight w:val="none"/>
              </w:rPr>
            </w:pPr>
            <w:r>
              <w:rPr>
                <w:rFonts w:hint="eastAsia" w:hAnsi="宋体"/>
                <w:color w:val="auto"/>
                <w:kern w:val="16"/>
                <w:sz w:val="24"/>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12</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ascii="宋体" w:hAnsi="宋体"/>
                <w:color w:val="auto"/>
                <w:kern w:val="16"/>
                <w:sz w:val="24"/>
                <w:highlight w:val="none"/>
              </w:rPr>
              <w:t>投标人</w:t>
            </w:r>
          </w:p>
          <w:p>
            <w:pPr>
              <w:tabs>
                <w:tab w:val="left" w:pos="540"/>
              </w:tabs>
              <w:spacing w:line="400" w:lineRule="exact"/>
              <w:jc w:val="center"/>
              <w:rPr>
                <w:rFonts w:ascii="宋体" w:hAnsi="宋体"/>
                <w:color w:val="auto"/>
                <w:kern w:val="16"/>
                <w:sz w:val="24"/>
                <w:highlight w:val="none"/>
              </w:rPr>
            </w:pPr>
            <w:r>
              <w:rPr>
                <w:rFonts w:ascii="宋体" w:hAnsi="宋体"/>
                <w:color w:val="auto"/>
                <w:kern w:val="16"/>
                <w:sz w:val="24"/>
                <w:highlight w:val="none"/>
              </w:rPr>
              <w:t>资质等级要求</w:t>
            </w:r>
          </w:p>
        </w:tc>
        <w:tc>
          <w:tcPr>
            <w:tcW w:w="6539" w:type="dxa"/>
            <w:vAlign w:val="center"/>
          </w:tcPr>
          <w:p>
            <w:pPr>
              <w:pStyle w:val="14"/>
              <w:spacing w:line="400" w:lineRule="exact"/>
              <w:rPr>
                <w:rFonts w:hAnsi="宋体"/>
                <w:color w:val="auto"/>
                <w:kern w:val="16"/>
                <w:sz w:val="24"/>
                <w:szCs w:val="21"/>
                <w:highlight w:val="none"/>
              </w:rPr>
            </w:pPr>
            <w:r>
              <w:rPr>
                <w:rFonts w:hint="eastAsia" w:hAnsi="宋体"/>
                <w:color w:val="auto"/>
                <w:kern w:val="16"/>
                <w:sz w:val="24"/>
                <w:szCs w:val="21"/>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13</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资格审查方式</w:t>
            </w:r>
          </w:p>
        </w:tc>
        <w:tc>
          <w:tcPr>
            <w:tcW w:w="6539" w:type="dxa"/>
            <w:vAlign w:val="center"/>
          </w:tcPr>
          <w:p>
            <w:pPr>
              <w:tabs>
                <w:tab w:val="left" w:pos="540"/>
              </w:tabs>
              <w:spacing w:line="400" w:lineRule="exact"/>
              <w:rPr>
                <w:rFonts w:ascii="宋体" w:hAnsi="宋体"/>
                <w:color w:val="auto"/>
                <w:kern w:val="16"/>
                <w:sz w:val="24"/>
                <w:highlight w:val="none"/>
              </w:rPr>
            </w:pPr>
            <w:r>
              <w:rPr>
                <w:rFonts w:hint="eastAsia" w:hAnsi="宋体"/>
                <w:color w:val="auto"/>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14</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评标方法</w:t>
            </w:r>
          </w:p>
        </w:tc>
        <w:tc>
          <w:tcPr>
            <w:tcW w:w="6539" w:type="dxa"/>
            <w:vAlign w:val="center"/>
          </w:tcPr>
          <w:p>
            <w:pPr>
              <w:pStyle w:val="14"/>
              <w:spacing w:line="400" w:lineRule="exact"/>
              <w:rPr>
                <w:rFonts w:hint="eastAsia" w:hAnsi="宋体" w:eastAsia="宋体"/>
                <w:color w:val="auto"/>
                <w:kern w:val="16"/>
                <w:sz w:val="24"/>
                <w:highlight w:val="none"/>
                <w:lang w:eastAsia="zh-CN"/>
              </w:rPr>
            </w:pPr>
            <w:r>
              <w:rPr>
                <w:rFonts w:hint="eastAsia" w:hAnsi="宋体"/>
                <w:color w:val="auto"/>
                <w:sz w:val="24"/>
                <w:szCs w:val="24"/>
                <w:highlight w:val="none"/>
              </w:rPr>
              <w:t>综合评估法</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评定分离</w:t>
            </w:r>
            <w:r>
              <w:rPr>
                <w:rFonts w:hint="eastAsia" w:hAnsi="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15</w:t>
            </w:r>
          </w:p>
        </w:tc>
        <w:tc>
          <w:tcPr>
            <w:tcW w:w="2381" w:type="dxa"/>
            <w:vAlign w:val="center"/>
          </w:tcPr>
          <w:p>
            <w:pPr>
              <w:pStyle w:val="37"/>
              <w:kinsoku w:val="0"/>
              <w:jc w:val="center"/>
              <w:rPr>
                <w:rFonts w:ascii="宋体" w:hAnsi="宋体"/>
                <w:color w:val="auto"/>
                <w:kern w:val="2"/>
                <w:sz w:val="24"/>
                <w:szCs w:val="24"/>
                <w:highlight w:val="none"/>
              </w:rPr>
            </w:pPr>
            <w:r>
              <w:rPr>
                <w:rFonts w:hint="eastAsia" w:ascii="宋体" w:hAnsi="宋体" w:eastAsia="宋体" w:cs="Times New Roman"/>
                <w:color w:val="auto"/>
                <w:kern w:val="16"/>
                <w:sz w:val="24"/>
                <w:highlight w:val="none"/>
                <w:lang w:val="en-US" w:eastAsia="zh-CN" w:bidi="ar-SA"/>
              </w:rPr>
              <w:t>评标委员会推荐中标候选人的人数</w:t>
            </w:r>
            <w:r>
              <w:rPr>
                <w:rFonts w:hint="eastAsia" w:ascii="宋体" w:hAnsi="宋体" w:eastAsia="宋体" w:cs="Times New Roman"/>
                <w:color w:val="auto"/>
                <w:kern w:val="2"/>
                <w:sz w:val="24"/>
                <w:szCs w:val="24"/>
                <w:highlight w:val="none"/>
                <w:lang w:val="en-US" w:eastAsia="zh-CN" w:bidi="ar-SA"/>
              </w:rPr>
              <w:t>（排名不分先后）</w:t>
            </w:r>
          </w:p>
        </w:tc>
        <w:tc>
          <w:tcPr>
            <w:tcW w:w="6539" w:type="dxa"/>
            <w:vAlign w:val="center"/>
          </w:tcPr>
          <w:p>
            <w:pPr>
              <w:kinsoku/>
              <w:autoSpaceDE/>
              <w:autoSpaceDN/>
              <w:adjustRightInd/>
              <w:snapToGrid w:val="0"/>
              <w:spacing w:line="300" w:lineRule="auto"/>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推荐</w:t>
            </w:r>
            <w:r>
              <w:rPr>
                <w:rFonts w:hint="eastAsia" w:ascii="宋体" w:hAnsi="宋体" w:cs="Times New Roman"/>
                <w:color w:val="auto"/>
                <w:kern w:val="2"/>
                <w:sz w:val="24"/>
                <w:szCs w:val="24"/>
                <w:highlight w:val="none"/>
                <w:lang w:val="en-US" w:eastAsia="zh-CN" w:bidi="ar-SA"/>
              </w:rPr>
              <w:t>前</w:t>
            </w:r>
            <w:r>
              <w:rPr>
                <w:rFonts w:hint="eastAsia" w:ascii="宋体" w:hAnsi="宋体" w:eastAsia="宋体" w:cs="Times New Roman"/>
                <w:color w:val="auto"/>
                <w:kern w:val="2"/>
                <w:sz w:val="24"/>
                <w:szCs w:val="24"/>
                <w:highlight w:val="none"/>
                <w:lang w:val="en-US" w:eastAsia="zh-CN" w:bidi="ar-SA"/>
              </w:rPr>
              <w:t>3名中标候选人</w:t>
            </w:r>
          </w:p>
          <w:p>
            <w:pPr>
              <w:pStyle w:val="20"/>
              <w:ind w:left="0" w:leftChars="0"/>
              <w:jc w:val="both"/>
              <w:rPr>
                <w:color w:val="auto"/>
                <w:highlight w:val="none"/>
              </w:rPr>
            </w:pPr>
            <w:r>
              <w:rPr>
                <w:rFonts w:hint="eastAsia" w:ascii="宋体" w:hAnsi="宋体" w:eastAsia="宋体" w:cs="Times New Roman"/>
                <w:color w:val="auto"/>
                <w:kern w:val="2"/>
                <w:sz w:val="24"/>
                <w:szCs w:val="24"/>
                <w:highlight w:val="none"/>
                <w:lang w:val="en-US" w:eastAsia="zh-CN" w:bidi="ar-SA"/>
              </w:rPr>
              <w:t>☑ 经评审通过的有效投标人数量大于等于10家时，推荐</w:t>
            </w:r>
            <w:r>
              <w:rPr>
                <w:rFonts w:hint="eastAsia" w:ascii="宋体" w:hAnsi="宋体" w:cs="Times New Roman"/>
                <w:color w:val="auto"/>
                <w:kern w:val="2"/>
                <w:sz w:val="24"/>
                <w:szCs w:val="24"/>
                <w:highlight w:val="none"/>
                <w:lang w:val="en-US" w:eastAsia="zh-CN" w:bidi="ar-SA"/>
              </w:rPr>
              <w:t>前</w:t>
            </w:r>
            <w:r>
              <w:rPr>
                <w:rFonts w:hint="eastAsia" w:ascii="宋体" w:hAnsi="宋体" w:eastAsia="宋体" w:cs="Times New Roman"/>
                <w:color w:val="auto"/>
                <w:kern w:val="2"/>
                <w:sz w:val="24"/>
                <w:szCs w:val="24"/>
                <w:highlight w:val="none"/>
                <w:lang w:val="en-US" w:eastAsia="zh-CN" w:bidi="ar-SA"/>
              </w:rPr>
              <w:t>5名中标候选人，经评审通过的有效投标人数量小于10家时，推荐</w:t>
            </w:r>
            <w:r>
              <w:rPr>
                <w:rFonts w:hint="eastAsia" w:ascii="宋体" w:hAnsi="宋体" w:cs="Times New Roman"/>
                <w:color w:val="auto"/>
                <w:kern w:val="2"/>
                <w:sz w:val="24"/>
                <w:szCs w:val="24"/>
                <w:highlight w:val="none"/>
                <w:lang w:val="en-US" w:eastAsia="zh-CN" w:bidi="ar-SA"/>
              </w:rPr>
              <w:t>前</w:t>
            </w:r>
            <w:r>
              <w:rPr>
                <w:rFonts w:hint="eastAsia" w:ascii="宋体" w:hAnsi="宋体" w:eastAsia="宋体" w:cs="Times New Roman"/>
                <w:color w:val="auto"/>
                <w:kern w:val="2"/>
                <w:sz w:val="24"/>
                <w:szCs w:val="24"/>
                <w:highlight w:val="none"/>
                <w:lang w:val="en-US" w:eastAsia="zh-CN" w:bidi="ar-SA"/>
              </w:rPr>
              <w:t>3名中标候选人。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11" w:type="dxa"/>
            <w:vAlign w:val="center"/>
          </w:tcPr>
          <w:p>
            <w:pPr>
              <w:pStyle w:val="33"/>
              <w:widowControl w:val="0"/>
              <w:pBdr>
                <w:bottom w:val="none" w:color="auto" w:sz="0" w:space="0"/>
              </w:pBdr>
              <w:tabs>
                <w:tab w:val="left" w:pos="540"/>
              </w:tabs>
              <w:spacing w:beforeAutospacing="0" w:afterAutospacing="0" w:line="440" w:lineRule="exact"/>
              <w:rPr>
                <w:rFonts w:hint="default" w:ascii="宋体"/>
                <w:color w:val="auto"/>
                <w:spacing w:val="-10"/>
                <w:kern w:val="16"/>
                <w:highlight w:val="none"/>
              </w:rPr>
            </w:pPr>
            <w:r>
              <w:rPr>
                <w:rFonts w:hint="default" w:ascii="宋体" w:eastAsia="宋体"/>
                <w:color w:val="auto"/>
                <w:spacing w:val="-10"/>
                <w:kern w:val="16"/>
                <w:highlight w:val="none"/>
              </w:rPr>
              <w:t>16</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投标有效期</w:t>
            </w:r>
          </w:p>
        </w:tc>
        <w:tc>
          <w:tcPr>
            <w:tcW w:w="6539" w:type="dxa"/>
            <w:vAlign w:val="center"/>
          </w:tcPr>
          <w:p>
            <w:pPr>
              <w:pStyle w:val="14"/>
              <w:spacing w:line="400" w:lineRule="exact"/>
              <w:rPr>
                <w:rFonts w:hAnsi="宋体"/>
                <w:color w:val="auto"/>
                <w:sz w:val="24"/>
                <w:szCs w:val="24"/>
                <w:highlight w:val="none"/>
              </w:rPr>
            </w:pPr>
            <w:r>
              <w:rPr>
                <w:rFonts w:hAnsi="宋体"/>
                <w:color w:val="auto"/>
                <w:sz w:val="24"/>
                <w:szCs w:val="24"/>
                <w:highlight w:val="none"/>
              </w:rPr>
              <w:t>90日历天（从提交投标文件截止之日起算）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811" w:type="dxa"/>
            <w:vAlign w:val="center"/>
          </w:tcPr>
          <w:p>
            <w:pPr>
              <w:pStyle w:val="33"/>
              <w:widowControl w:val="0"/>
              <w:pBdr>
                <w:bottom w:val="none" w:color="auto" w:sz="0" w:space="0"/>
              </w:pBdr>
              <w:tabs>
                <w:tab w:val="left" w:pos="540"/>
              </w:tabs>
              <w:spacing w:beforeAutospacing="0" w:afterAutospacing="0" w:line="440" w:lineRule="exact"/>
              <w:rPr>
                <w:rFonts w:hint="default" w:ascii="宋体"/>
                <w:color w:val="auto"/>
                <w:kern w:val="16"/>
                <w:highlight w:val="none"/>
              </w:rPr>
            </w:pPr>
            <w:r>
              <w:rPr>
                <w:rFonts w:hint="default" w:ascii="宋体" w:eastAsia="宋体"/>
                <w:color w:val="auto"/>
                <w:spacing w:val="-10"/>
                <w:kern w:val="16"/>
                <w:highlight w:val="none"/>
              </w:rPr>
              <w:t>17</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开标会议参加人员</w:t>
            </w:r>
          </w:p>
        </w:tc>
        <w:tc>
          <w:tcPr>
            <w:tcW w:w="6539" w:type="dxa"/>
            <w:vAlign w:val="center"/>
          </w:tcPr>
          <w:p>
            <w:pPr>
              <w:tabs>
                <w:tab w:val="left" w:pos="540"/>
              </w:tabs>
              <w:spacing w:line="400" w:lineRule="exact"/>
              <w:jc w:val="left"/>
              <w:rPr>
                <w:color w:val="auto"/>
                <w:highlight w:val="none"/>
              </w:rPr>
            </w:pPr>
            <w:r>
              <w:rPr>
                <w:rFonts w:hint="eastAsia" w:ascii="宋体" w:hAnsi="宋体"/>
                <w:color w:val="auto"/>
                <w:kern w:val="16"/>
                <w:sz w:val="24"/>
                <w:szCs w:val="22"/>
                <w:highlight w:val="none"/>
              </w:rPr>
              <w:t>投标人无须派员参加开标会议。若评标委员会需要询标，授权委托书中联系及传真方式作为投标单位未派人员到场的询标联系方式，投标人应在收到询标函后</w:t>
            </w:r>
            <w:r>
              <w:rPr>
                <w:rFonts w:ascii="宋体" w:hAnsi="宋体"/>
                <w:color w:val="auto"/>
                <w:kern w:val="16"/>
                <w:sz w:val="24"/>
                <w:szCs w:val="22"/>
                <w:highlight w:val="none"/>
              </w:rPr>
              <w:t>30分钟内</w:t>
            </w:r>
            <w:r>
              <w:rPr>
                <w:rFonts w:hint="eastAsia" w:ascii="宋体" w:hAnsi="宋体"/>
                <w:color w:val="auto"/>
                <w:kern w:val="16"/>
                <w:sz w:val="24"/>
                <w:szCs w:val="22"/>
                <w:highlight w:val="none"/>
              </w:rPr>
              <w:t>作出书面回复，联系不上或逾期未回复视作自动放弃澄清和说明的权利，评标委员会可以作出不利于投标人的决定。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pPr>
              <w:pStyle w:val="33"/>
              <w:widowControl w:val="0"/>
              <w:pBdr>
                <w:bottom w:val="none" w:color="auto" w:sz="0" w:space="0"/>
              </w:pBdr>
              <w:tabs>
                <w:tab w:val="left" w:pos="540"/>
              </w:tabs>
              <w:spacing w:beforeAutospacing="0" w:afterAutospacing="0" w:line="440" w:lineRule="exact"/>
              <w:rPr>
                <w:rFonts w:hint="default" w:ascii="宋体"/>
                <w:color w:val="auto"/>
                <w:kern w:val="16"/>
                <w:highlight w:val="none"/>
              </w:rPr>
            </w:pPr>
            <w:r>
              <w:rPr>
                <w:rFonts w:hint="default" w:ascii="宋体" w:eastAsia="宋体"/>
                <w:color w:val="auto"/>
                <w:spacing w:val="-10"/>
                <w:kern w:val="16"/>
                <w:highlight w:val="none"/>
              </w:rPr>
              <w:t>18</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投标文件组成</w:t>
            </w:r>
          </w:p>
        </w:tc>
        <w:tc>
          <w:tcPr>
            <w:tcW w:w="6539" w:type="dxa"/>
            <w:vAlign w:val="center"/>
          </w:tcPr>
          <w:p>
            <w:pPr>
              <w:tabs>
                <w:tab w:val="left" w:pos="540"/>
              </w:tabs>
              <w:spacing w:line="400" w:lineRule="exact"/>
              <w:rPr>
                <w:rFonts w:hint="eastAsia" w:eastAsia="宋体"/>
                <w:color w:val="auto"/>
                <w:sz w:val="24"/>
                <w:szCs w:val="24"/>
                <w:highlight w:val="none"/>
                <w:lang w:eastAsia="zh-CN"/>
              </w:rPr>
            </w:pPr>
            <w:r>
              <w:rPr>
                <w:rFonts w:hint="eastAsia" w:ascii="宋体" w:hAnsi="宋体" w:cs="宋体"/>
                <w:color w:val="auto"/>
                <w:sz w:val="24"/>
                <w:szCs w:val="24"/>
                <w:highlight w:val="none"/>
              </w:rPr>
              <w:t>投标文件分</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部分，即资格审查文件、技术标、商务文件</w:t>
            </w:r>
            <w:r>
              <w:rPr>
                <w:rFonts w:hint="eastAsia" w:ascii="宋体" w:hAnsi="宋体" w:cs="宋体"/>
                <w:color w:val="auto"/>
                <w:sz w:val="24"/>
                <w:szCs w:val="24"/>
                <w:highlight w:val="none"/>
                <w:lang w:eastAsia="zh-CN"/>
              </w:rPr>
              <w:t>。</w:t>
            </w:r>
          </w:p>
          <w:p>
            <w:pPr>
              <w:tabs>
                <w:tab w:val="left" w:pos="540"/>
              </w:tabs>
              <w:spacing w:line="400" w:lineRule="exact"/>
              <w:ind w:firstLine="0" w:firstLineChars="0"/>
              <w:rPr>
                <w:rFonts w:ascii="宋体" w:hAnsi="宋体"/>
                <w:b/>
                <w:bCs/>
                <w:color w:val="auto"/>
                <w:kern w:val="16"/>
                <w:sz w:val="24"/>
                <w:szCs w:val="22"/>
                <w:highlight w:val="none"/>
              </w:rPr>
            </w:pPr>
            <w:r>
              <w:rPr>
                <w:rFonts w:ascii="宋体" w:hAnsi="宋体"/>
                <w:b/>
                <w:bCs/>
                <w:color w:val="auto"/>
                <w:kern w:val="16"/>
                <w:sz w:val="24"/>
                <w:szCs w:val="22"/>
                <w:highlight w:val="none"/>
              </w:rPr>
              <w:t>1</w:t>
            </w:r>
            <w:r>
              <w:rPr>
                <w:rFonts w:hint="eastAsia" w:ascii="宋体" w:hAnsi="宋体"/>
                <w:b/>
                <w:bCs/>
                <w:color w:val="auto"/>
                <w:kern w:val="16"/>
                <w:sz w:val="24"/>
                <w:szCs w:val="22"/>
                <w:highlight w:val="none"/>
              </w:rPr>
              <w:t>.</w:t>
            </w:r>
            <w:r>
              <w:rPr>
                <w:rFonts w:ascii="宋体" w:hAnsi="宋体"/>
                <w:b/>
                <w:bCs/>
                <w:color w:val="auto"/>
                <w:kern w:val="16"/>
                <w:sz w:val="24"/>
                <w:szCs w:val="22"/>
                <w:highlight w:val="none"/>
              </w:rPr>
              <w:t>资格审查文件</w:t>
            </w:r>
            <w:r>
              <w:rPr>
                <w:rFonts w:hint="eastAsia" w:ascii="宋体" w:hAnsi="宋体"/>
                <w:b/>
                <w:bCs/>
                <w:color w:val="auto"/>
                <w:kern w:val="16"/>
                <w:sz w:val="24"/>
                <w:highlight w:val="none"/>
              </w:rPr>
              <w:t>：</w:t>
            </w:r>
            <w:r>
              <w:rPr>
                <w:rFonts w:ascii="宋体" w:hAnsi="宋体"/>
                <w:b/>
                <w:bCs/>
                <w:color w:val="auto"/>
                <w:kern w:val="16"/>
                <w:sz w:val="24"/>
                <w:highlight w:val="none"/>
                <w:u w:val="single"/>
              </w:rPr>
              <w:t xml:space="preserve"> 壹 </w:t>
            </w:r>
            <w:r>
              <w:rPr>
                <w:rFonts w:hint="eastAsia" w:ascii="宋体" w:hAnsi="宋体"/>
                <w:b/>
                <w:bCs/>
                <w:color w:val="auto"/>
                <w:kern w:val="16"/>
                <w:sz w:val="24"/>
                <w:highlight w:val="none"/>
              </w:rPr>
              <w:t>套正本，</w:t>
            </w:r>
            <w:r>
              <w:rPr>
                <w:rFonts w:hint="eastAsia" w:ascii="宋体" w:hAnsi="宋体"/>
                <w:b/>
                <w:bCs/>
                <w:color w:val="auto"/>
                <w:kern w:val="16"/>
                <w:sz w:val="24"/>
                <w:highlight w:val="none"/>
                <w:u w:val="single"/>
              </w:rPr>
              <w:t xml:space="preserve"> 柒 </w:t>
            </w:r>
            <w:r>
              <w:rPr>
                <w:rFonts w:hint="eastAsia" w:ascii="宋体" w:hAnsi="宋体"/>
                <w:b/>
                <w:bCs/>
                <w:color w:val="auto"/>
                <w:kern w:val="16"/>
                <w:sz w:val="24"/>
                <w:highlight w:val="none"/>
              </w:rPr>
              <w:t>套副本；</w:t>
            </w:r>
          </w:p>
          <w:p>
            <w:pPr>
              <w:tabs>
                <w:tab w:val="left" w:pos="540"/>
              </w:tabs>
              <w:spacing w:line="400" w:lineRule="exact"/>
              <w:ind w:firstLine="0" w:firstLineChars="0"/>
              <w:rPr>
                <w:rFonts w:hint="eastAsia" w:ascii="宋体" w:hAnsi="宋体" w:eastAsia="宋体"/>
                <w:b/>
                <w:bCs/>
                <w:color w:val="auto"/>
                <w:kern w:val="16"/>
                <w:sz w:val="24"/>
                <w:szCs w:val="22"/>
                <w:highlight w:val="none"/>
                <w:lang w:val="en-US" w:eastAsia="zh-CN"/>
              </w:rPr>
            </w:pPr>
            <w:r>
              <w:rPr>
                <w:rFonts w:hint="eastAsia" w:ascii="宋体" w:hAnsi="宋体"/>
                <w:color w:val="auto"/>
                <w:kern w:val="2"/>
                <w:sz w:val="24"/>
                <w:szCs w:val="24"/>
                <w:highlight w:val="none"/>
              </w:rPr>
              <w:t>注：</w:t>
            </w:r>
            <w:r>
              <w:rPr>
                <w:rFonts w:hint="eastAsia" w:ascii="宋体" w:hAnsi="宋体"/>
                <w:b/>
                <w:bCs/>
                <w:color w:val="auto"/>
                <w:kern w:val="16"/>
                <w:sz w:val="24"/>
                <w:szCs w:val="22"/>
                <w:highlight w:val="none"/>
              </w:rPr>
              <w:t>资格审查文件</w:t>
            </w:r>
            <w:r>
              <w:rPr>
                <w:rFonts w:hint="eastAsia" w:ascii="宋体" w:hAnsi="宋体"/>
                <w:color w:val="auto"/>
                <w:kern w:val="2"/>
                <w:sz w:val="24"/>
                <w:szCs w:val="24"/>
                <w:highlight w:val="none"/>
              </w:rPr>
              <w:t>正本和副本的封面均需标明投标人全称，须清楚地注明“正本”和“副本”，并由投标人的法定代表人签字或盖章并盖单位章。</w:t>
            </w:r>
          </w:p>
          <w:p>
            <w:pPr>
              <w:tabs>
                <w:tab w:val="left" w:pos="540"/>
              </w:tabs>
              <w:spacing w:line="400" w:lineRule="exact"/>
              <w:ind w:firstLine="0" w:firstLineChars="0"/>
              <w:rPr>
                <w:rFonts w:ascii="宋体" w:hAnsi="宋体"/>
                <w:b/>
                <w:bCs/>
                <w:color w:val="auto"/>
                <w:kern w:val="16"/>
                <w:sz w:val="24"/>
                <w:szCs w:val="22"/>
                <w:highlight w:val="none"/>
              </w:rPr>
            </w:pPr>
            <w:r>
              <w:rPr>
                <w:rFonts w:ascii="宋体" w:hAnsi="宋体"/>
                <w:b/>
                <w:bCs/>
                <w:color w:val="auto"/>
                <w:kern w:val="16"/>
                <w:sz w:val="24"/>
                <w:szCs w:val="22"/>
                <w:highlight w:val="none"/>
              </w:rPr>
              <w:t>2</w:t>
            </w:r>
            <w:r>
              <w:rPr>
                <w:rFonts w:hint="eastAsia" w:ascii="宋体" w:hAnsi="宋体"/>
                <w:b/>
                <w:bCs/>
                <w:color w:val="auto"/>
                <w:kern w:val="16"/>
                <w:sz w:val="24"/>
                <w:szCs w:val="22"/>
                <w:highlight w:val="none"/>
              </w:rPr>
              <w:t>.技术标：</w:t>
            </w:r>
            <w:r>
              <w:rPr>
                <w:rFonts w:ascii="宋体" w:hAnsi="宋体"/>
                <w:b/>
                <w:bCs/>
                <w:color w:val="auto"/>
                <w:kern w:val="16"/>
                <w:sz w:val="24"/>
                <w:highlight w:val="none"/>
                <w:u w:val="single"/>
              </w:rPr>
              <w:t xml:space="preserve">壹 </w:t>
            </w:r>
            <w:r>
              <w:rPr>
                <w:rFonts w:hint="eastAsia" w:ascii="宋体" w:hAnsi="宋体"/>
                <w:b/>
                <w:bCs/>
                <w:color w:val="auto"/>
                <w:kern w:val="16"/>
                <w:sz w:val="24"/>
                <w:szCs w:val="22"/>
                <w:highlight w:val="none"/>
              </w:rPr>
              <w:t>套正本，</w:t>
            </w:r>
            <w:r>
              <w:rPr>
                <w:rFonts w:hint="eastAsia" w:ascii="宋体" w:hAnsi="宋体"/>
                <w:b/>
                <w:bCs/>
                <w:color w:val="auto"/>
                <w:kern w:val="16"/>
                <w:sz w:val="24"/>
                <w:highlight w:val="none"/>
                <w:u w:val="single"/>
              </w:rPr>
              <w:t xml:space="preserve"> 柒 </w:t>
            </w:r>
            <w:r>
              <w:rPr>
                <w:rFonts w:ascii="宋体" w:hAnsi="宋体"/>
                <w:b/>
                <w:bCs/>
                <w:color w:val="auto"/>
                <w:kern w:val="16"/>
                <w:sz w:val="24"/>
                <w:szCs w:val="22"/>
                <w:highlight w:val="none"/>
              </w:rPr>
              <w:t>套</w:t>
            </w:r>
            <w:r>
              <w:rPr>
                <w:rFonts w:hint="eastAsia" w:ascii="宋体" w:hAnsi="宋体"/>
                <w:b/>
                <w:bCs/>
                <w:color w:val="auto"/>
                <w:kern w:val="16"/>
                <w:sz w:val="24"/>
                <w:szCs w:val="22"/>
                <w:highlight w:val="none"/>
              </w:rPr>
              <w:t>副本；</w:t>
            </w:r>
          </w:p>
          <w:p>
            <w:pPr>
              <w:tabs>
                <w:tab w:val="left" w:pos="540"/>
              </w:tabs>
              <w:spacing w:line="400" w:lineRule="exact"/>
              <w:ind w:firstLine="0" w:firstLineChars="0"/>
              <w:rPr>
                <w:rFonts w:ascii="宋体" w:hAnsi="宋体"/>
                <w:color w:val="auto"/>
                <w:kern w:val="2"/>
                <w:sz w:val="24"/>
                <w:szCs w:val="24"/>
                <w:highlight w:val="none"/>
              </w:rPr>
            </w:pPr>
            <w:r>
              <w:rPr>
                <w:rFonts w:hint="eastAsia" w:ascii="宋体" w:hAnsi="宋体"/>
                <w:color w:val="auto"/>
                <w:kern w:val="2"/>
                <w:sz w:val="24"/>
                <w:szCs w:val="24"/>
                <w:highlight w:val="none"/>
              </w:rPr>
              <w:t>注：</w:t>
            </w:r>
            <w:r>
              <w:rPr>
                <w:rFonts w:hint="eastAsia" w:ascii="宋体" w:hAnsi="宋体"/>
                <w:b/>
                <w:color w:val="auto"/>
                <w:kern w:val="2"/>
                <w:sz w:val="24"/>
                <w:szCs w:val="24"/>
                <w:highlight w:val="none"/>
              </w:rPr>
              <w:t>技术标</w:t>
            </w:r>
            <w:r>
              <w:rPr>
                <w:rFonts w:hint="eastAsia" w:ascii="宋体" w:hAnsi="宋体"/>
                <w:color w:val="auto"/>
                <w:kern w:val="2"/>
                <w:sz w:val="24"/>
                <w:szCs w:val="24"/>
                <w:highlight w:val="none"/>
              </w:rPr>
              <w:t>的封面须清楚地注明“正本”和“副本”，正本的封面应标明投标人全称，并由投标人的法定代表人签字或盖章并盖单位章。</w:t>
            </w:r>
          </w:p>
          <w:p>
            <w:pPr>
              <w:tabs>
                <w:tab w:val="left" w:pos="540"/>
              </w:tabs>
              <w:spacing w:line="400" w:lineRule="exact"/>
              <w:ind w:firstLine="0" w:firstLineChars="0"/>
              <w:rPr>
                <w:rFonts w:ascii="宋体" w:hAnsi="宋体"/>
                <w:b/>
                <w:bCs/>
                <w:color w:val="auto"/>
                <w:kern w:val="16"/>
                <w:sz w:val="24"/>
                <w:highlight w:val="none"/>
              </w:rPr>
            </w:pPr>
            <w:r>
              <w:rPr>
                <w:rFonts w:hint="eastAsia" w:ascii="宋体" w:hAnsi="宋体"/>
                <w:b/>
                <w:bCs/>
                <w:color w:val="auto"/>
                <w:kern w:val="16"/>
                <w:sz w:val="24"/>
                <w:highlight w:val="none"/>
                <w:lang w:val="en-US" w:eastAsia="zh-CN"/>
              </w:rPr>
              <w:t>3</w:t>
            </w:r>
            <w:r>
              <w:rPr>
                <w:rFonts w:hint="eastAsia" w:ascii="宋体" w:hAnsi="宋体"/>
                <w:b/>
                <w:bCs/>
                <w:color w:val="auto"/>
                <w:kern w:val="16"/>
                <w:sz w:val="24"/>
                <w:highlight w:val="none"/>
              </w:rPr>
              <w:t>.商务文件：</w:t>
            </w:r>
            <w:r>
              <w:rPr>
                <w:rFonts w:ascii="宋体" w:hAnsi="宋体"/>
                <w:b/>
                <w:bCs/>
                <w:color w:val="auto"/>
                <w:kern w:val="16"/>
                <w:sz w:val="24"/>
                <w:highlight w:val="none"/>
                <w:u w:val="single"/>
              </w:rPr>
              <w:t xml:space="preserve"> 壹 </w:t>
            </w:r>
            <w:r>
              <w:rPr>
                <w:rFonts w:hint="eastAsia" w:ascii="宋体" w:hAnsi="宋体"/>
                <w:b/>
                <w:bCs/>
                <w:color w:val="auto"/>
                <w:kern w:val="16"/>
                <w:sz w:val="24"/>
                <w:highlight w:val="none"/>
              </w:rPr>
              <w:t>套正本，</w:t>
            </w:r>
            <w:r>
              <w:rPr>
                <w:rFonts w:hint="eastAsia" w:ascii="宋体" w:hAnsi="宋体"/>
                <w:b/>
                <w:bCs/>
                <w:color w:val="auto"/>
                <w:kern w:val="16"/>
                <w:sz w:val="24"/>
                <w:highlight w:val="none"/>
                <w:u w:val="single"/>
              </w:rPr>
              <w:t xml:space="preserve"> 柒 </w:t>
            </w:r>
            <w:r>
              <w:rPr>
                <w:rFonts w:hint="eastAsia" w:ascii="宋体" w:hAnsi="宋体"/>
                <w:b/>
                <w:bCs/>
                <w:color w:val="auto"/>
                <w:kern w:val="16"/>
                <w:sz w:val="24"/>
                <w:highlight w:val="none"/>
              </w:rPr>
              <w:t>套副本；</w:t>
            </w:r>
          </w:p>
          <w:p>
            <w:pPr>
              <w:tabs>
                <w:tab w:val="left" w:pos="540"/>
              </w:tabs>
              <w:spacing w:line="400" w:lineRule="exact"/>
              <w:ind w:firstLine="0" w:firstLineChars="0"/>
              <w:rPr>
                <w:rFonts w:hint="eastAsia" w:ascii="宋体" w:hAnsi="宋体"/>
                <w:color w:val="auto"/>
                <w:kern w:val="2"/>
                <w:sz w:val="24"/>
                <w:szCs w:val="24"/>
                <w:highlight w:val="none"/>
              </w:rPr>
            </w:pPr>
            <w:r>
              <w:rPr>
                <w:rFonts w:hint="eastAsia" w:ascii="宋体" w:hAnsi="宋体"/>
                <w:color w:val="auto"/>
                <w:kern w:val="2"/>
                <w:sz w:val="24"/>
                <w:szCs w:val="24"/>
                <w:highlight w:val="none"/>
              </w:rPr>
              <w:t>注：</w:t>
            </w:r>
            <w:r>
              <w:rPr>
                <w:rFonts w:hint="eastAsia" w:ascii="宋体" w:hAnsi="宋体"/>
                <w:b/>
                <w:bCs/>
                <w:color w:val="auto"/>
                <w:kern w:val="16"/>
                <w:sz w:val="24"/>
                <w:highlight w:val="none"/>
              </w:rPr>
              <w:t>商务文件</w:t>
            </w:r>
            <w:r>
              <w:rPr>
                <w:rFonts w:hint="eastAsia" w:ascii="宋体" w:hAnsi="宋体"/>
                <w:color w:val="auto"/>
                <w:kern w:val="2"/>
                <w:sz w:val="24"/>
                <w:szCs w:val="24"/>
                <w:highlight w:val="none"/>
              </w:rPr>
              <w:t>正本和副本的封面均需标明投标人全称，须清楚地注明“正本”和“副本”，并由投标人的法定代表人签字或盖章并盖单位章。</w:t>
            </w:r>
          </w:p>
          <w:p>
            <w:pPr>
              <w:tabs>
                <w:tab w:val="left" w:pos="540"/>
              </w:tabs>
              <w:spacing w:line="400" w:lineRule="exact"/>
              <w:ind w:firstLine="0" w:firstLineChars="0"/>
              <w:rPr>
                <w:rFonts w:hint="eastAsia" w:ascii="宋体" w:hAnsi="宋体" w:eastAsia="宋体"/>
                <w:color w:val="auto"/>
                <w:kern w:val="2"/>
                <w:sz w:val="24"/>
                <w:szCs w:val="24"/>
                <w:highlight w:val="none"/>
                <w:lang w:eastAsia="zh-CN"/>
              </w:rPr>
            </w:pPr>
            <w:r>
              <w:rPr>
                <w:rFonts w:hint="eastAsia" w:ascii="宋体" w:hAnsi="宋体" w:eastAsia="宋体" w:cs="宋体"/>
                <w:b/>
                <w:bCs/>
                <w:color w:val="auto"/>
                <w:sz w:val="24"/>
                <w:szCs w:val="24"/>
                <w:highlight w:val="none"/>
              </w:rPr>
              <w:t>联合体投标的，投标文件中除联合体协议书需各方盖单位公章、法定代表人签字或盖章</w:t>
            </w:r>
            <w:r>
              <w:rPr>
                <w:rFonts w:hint="eastAsia" w:ascii="宋体" w:hAnsi="宋体" w:eastAsia="宋体" w:cs="宋体"/>
                <w:b/>
                <w:bCs/>
                <w:color w:val="auto"/>
                <w:sz w:val="24"/>
                <w:szCs w:val="24"/>
                <w:highlight w:val="none"/>
                <w:lang w:val="en-US" w:eastAsia="zh-CN"/>
              </w:rPr>
              <w:t>外，</w:t>
            </w:r>
            <w:r>
              <w:rPr>
                <w:rFonts w:hint="eastAsia" w:ascii="宋体" w:hAnsi="宋体" w:eastAsia="宋体" w:cs="宋体"/>
                <w:b/>
                <w:bCs/>
                <w:color w:val="auto"/>
                <w:sz w:val="24"/>
                <w:szCs w:val="24"/>
                <w:highlight w:val="none"/>
              </w:rPr>
              <w:t>其余地方要求的盖单位章、法定代表人签字（或盖法定代表人章）的均指盖牵头人单位公章和法定代表人签字（或盖法定代表人章）</w:t>
            </w:r>
            <w:r>
              <w:rPr>
                <w:rFonts w:hint="eastAsia" w:ascii="宋体" w:hAnsi="宋体" w:eastAsia="宋体" w:cs="宋体"/>
                <w:b/>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19</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项目投标保证金</w:t>
            </w:r>
          </w:p>
        </w:tc>
        <w:tc>
          <w:tcPr>
            <w:tcW w:w="6539" w:type="dxa"/>
            <w:vAlign w:val="center"/>
          </w:tcPr>
          <w:p>
            <w:pPr>
              <w:tabs>
                <w:tab w:val="left" w:pos="540"/>
              </w:tabs>
              <w:spacing w:line="400" w:lineRule="exact"/>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项目投标保证金金额：</w:t>
            </w:r>
            <w:r>
              <w:rPr>
                <w:rFonts w:hint="eastAsia"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u w:val="single"/>
                <w:lang w:val="en-US" w:eastAsia="zh-CN"/>
              </w:rPr>
              <w:t>10</w:t>
            </w:r>
            <w:r>
              <w:rPr>
                <w:rFonts w:hint="eastAsia"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rPr>
              <w:t>万元，到账截止时间：</w:t>
            </w:r>
            <w:r>
              <w:rPr>
                <w:rFonts w:cs="仿宋" w:asciiTheme="minorEastAsia" w:hAnsiTheme="minorEastAsia" w:eastAsiaTheme="minorEastAsia"/>
                <w:color w:val="auto"/>
                <w:kern w:val="16"/>
                <w:sz w:val="24"/>
                <w:szCs w:val="22"/>
                <w:highlight w:val="none"/>
              </w:rPr>
              <w:t xml:space="preserve">2023年 </w:t>
            </w:r>
            <w:r>
              <w:rPr>
                <w:rFonts w:hint="eastAsia" w:cs="仿宋" w:asciiTheme="minorEastAsia" w:hAnsiTheme="minorEastAsia" w:eastAsiaTheme="minorEastAsia"/>
                <w:color w:val="auto"/>
                <w:kern w:val="16"/>
                <w:sz w:val="24"/>
                <w:szCs w:val="22"/>
                <w:highlight w:val="none"/>
                <w:lang w:val="en-US" w:eastAsia="zh-CN"/>
              </w:rPr>
              <w:t>12</w:t>
            </w:r>
            <w:r>
              <w:rPr>
                <w:rFonts w:cs="仿宋" w:asciiTheme="minorEastAsia" w:hAnsiTheme="minorEastAsia" w:eastAsiaTheme="minorEastAsia"/>
                <w:color w:val="auto"/>
                <w:kern w:val="16"/>
                <w:sz w:val="24"/>
                <w:szCs w:val="22"/>
                <w:highlight w:val="none"/>
              </w:rPr>
              <w:t xml:space="preserve"> </w:t>
            </w:r>
            <w:r>
              <w:rPr>
                <w:rFonts w:hint="eastAsia" w:cs="仿宋" w:asciiTheme="minorEastAsia" w:hAnsiTheme="minorEastAsia" w:eastAsiaTheme="minorEastAsia"/>
                <w:color w:val="auto"/>
                <w:kern w:val="16"/>
                <w:sz w:val="24"/>
                <w:szCs w:val="22"/>
                <w:highlight w:val="none"/>
              </w:rPr>
              <w:t>月</w:t>
            </w:r>
            <w:r>
              <w:rPr>
                <w:rFonts w:cs="仿宋" w:asciiTheme="minorEastAsia" w:hAnsiTheme="minorEastAsia" w:eastAsiaTheme="minorEastAsia"/>
                <w:color w:val="auto"/>
                <w:kern w:val="16"/>
                <w:sz w:val="24"/>
                <w:szCs w:val="22"/>
                <w:highlight w:val="none"/>
              </w:rPr>
              <w:t xml:space="preserve"> </w:t>
            </w:r>
            <w:r>
              <w:rPr>
                <w:rFonts w:hint="eastAsia" w:cs="仿宋" w:asciiTheme="minorEastAsia" w:hAnsiTheme="minorEastAsia" w:eastAsiaTheme="minorEastAsia"/>
                <w:color w:val="auto"/>
                <w:kern w:val="16"/>
                <w:sz w:val="24"/>
                <w:szCs w:val="22"/>
                <w:highlight w:val="none"/>
                <w:lang w:val="en-US" w:eastAsia="zh-CN"/>
              </w:rPr>
              <w:t>14</w:t>
            </w:r>
            <w:r>
              <w:rPr>
                <w:rFonts w:cs="仿宋" w:asciiTheme="minorEastAsia" w:hAnsiTheme="minorEastAsia" w:eastAsiaTheme="minorEastAsia"/>
                <w:color w:val="auto"/>
                <w:kern w:val="16"/>
                <w:sz w:val="24"/>
                <w:szCs w:val="22"/>
                <w:highlight w:val="none"/>
              </w:rPr>
              <w:t xml:space="preserve"> </w:t>
            </w:r>
            <w:r>
              <w:rPr>
                <w:rFonts w:hint="eastAsia" w:cs="仿宋" w:asciiTheme="minorEastAsia" w:hAnsiTheme="minorEastAsia" w:eastAsiaTheme="minorEastAsia"/>
                <w:color w:val="auto"/>
                <w:kern w:val="16"/>
                <w:sz w:val="24"/>
                <w:szCs w:val="22"/>
                <w:highlight w:val="none"/>
              </w:rPr>
              <w:t>日</w:t>
            </w:r>
            <w:r>
              <w:rPr>
                <w:rFonts w:hint="eastAsia" w:ascii="宋体" w:hAnsi="宋体" w:eastAsiaTheme="minorEastAsia"/>
                <w:color w:val="auto"/>
                <w:kern w:val="2"/>
                <w:sz w:val="24"/>
                <w:szCs w:val="24"/>
                <w:highlight w:val="none"/>
                <w:u w:val="single"/>
              </w:rPr>
              <w:t>9:30</w:t>
            </w:r>
            <w:r>
              <w:rPr>
                <w:rFonts w:hint="eastAsia" w:cs="仿宋" w:asciiTheme="minorEastAsia" w:hAnsiTheme="minorEastAsia" w:eastAsiaTheme="minorEastAsia"/>
                <w:color w:val="auto"/>
                <w:kern w:val="16"/>
                <w:sz w:val="24"/>
                <w:szCs w:val="22"/>
                <w:highlight w:val="none"/>
              </w:rPr>
              <w:t>时止</w:t>
            </w:r>
          </w:p>
          <w:p>
            <w:pPr>
              <w:tabs>
                <w:tab w:val="left" w:pos="540"/>
              </w:tabs>
              <w:spacing w:line="400" w:lineRule="exact"/>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①从投标人（牵头单位）基本账户电汇：</w:t>
            </w:r>
          </w:p>
          <w:p>
            <w:pPr>
              <w:tabs>
                <w:tab w:val="left" w:pos="540"/>
              </w:tabs>
              <w:spacing w:line="400" w:lineRule="exact"/>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账户名称：</w:t>
            </w:r>
            <w:r>
              <w:rPr>
                <w:rFonts w:hint="eastAsia" w:cs="仿宋" w:asciiTheme="minorEastAsia" w:hAnsiTheme="minorEastAsia" w:eastAsiaTheme="minorEastAsia"/>
                <w:color w:val="auto"/>
                <w:kern w:val="16"/>
                <w:sz w:val="24"/>
                <w:szCs w:val="22"/>
                <w:highlight w:val="none"/>
                <w:u w:val="single"/>
              </w:rPr>
              <w:t xml:space="preserve">诸暨市公共资源交易中心 </w:t>
            </w:r>
            <w:r>
              <w:rPr>
                <w:rFonts w:hint="eastAsia" w:cs="仿宋" w:asciiTheme="minorEastAsia" w:hAnsiTheme="minorEastAsia" w:eastAsiaTheme="minorEastAsia"/>
                <w:color w:val="auto"/>
                <w:kern w:val="16"/>
                <w:sz w:val="24"/>
                <w:szCs w:val="22"/>
                <w:highlight w:val="none"/>
              </w:rPr>
              <w:t xml:space="preserve">  </w:t>
            </w:r>
          </w:p>
          <w:p>
            <w:pPr>
              <w:tabs>
                <w:tab w:val="left" w:pos="540"/>
              </w:tabs>
              <w:spacing w:line="400" w:lineRule="exact"/>
              <w:rPr>
                <w:rFonts w:hint="default" w:cs="仿宋" w:asciiTheme="minorEastAsia" w:hAnsiTheme="minorEastAsia" w:eastAsiaTheme="minorEastAsia"/>
                <w:color w:val="auto"/>
                <w:kern w:val="16"/>
                <w:sz w:val="24"/>
                <w:szCs w:val="22"/>
                <w:highlight w:val="none"/>
                <w:u w:val="single"/>
                <w:lang w:val="en-US" w:eastAsia="zh-CN"/>
              </w:rPr>
            </w:pPr>
            <w:r>
              <w:rPr>
                <w:rFonts w:hint="eastAsia" w:cs="仿宋" w:asciiTheme="minorEastAsia" w:hAnsiTheme="minorEastAsia" w:eastAsiaTheme="minorEastAsia"/>
                <w:color w:val="auto"/>
                <w:kern w:val="16"/>
                <w:sz w:val="24"/>
                <w:szCs w:val="22"/>
                <w:highlight w:val="none"/>
              </w:rPr>
              <w:t>开户银行：</w:t>
            </w:r>
            <w:r>
              <w:rPr>
                <w:rFonts w:hint="eastAsia" w:cs="仿宋" w:asciiTheme="minorEastAsia" w:hAnsiTheme="minorEastAsia" w:eastAsiaTheme="minorEastAsia"/>
                <w:color w:val="auto"/>
                <w:kern w:val="16"/>
                <w:sz w:val="24"/>
                <w:szCs w:val="22"/>
                <w:highlight w:val="none"/>
                <w:u w:val="single"/>
                <w:lang w:val="en-US" w:eastAsia="zh-CN"/>
              </w:rPr>
              <w:t>交通银行股份有限公司绍兴诸暨支行</w:t>
            </w:r>
          </w:p>
          <w:p>
            <w:pPr>
              <w:tabs>
                <w:tab w:val="left" w:pos="540"/>
              </w:tabs>
              <w:spacing w:line="400" w:lineRule="exact"/>
              <w:rPr>
                <w:rFonts w:hint="default" w:cs="仿宋" w:asciiTheme="minorEastAsia" w:hAnsiTheme="minorEastAsia" w:eastAsiaTheme="minorEastAsia"/>
                <w:color w:val="auto"/>
                <w:kern w:val="16"/>
                <w:sz w:val="24"/>
                <w:szCs w:val="22"/>
                <w:highlight w:val="none"/>
                <w:u w:val="single"/>
                <w:lang w:val="en-US" w:eastAsia="zh-CN"/>
              </w:rPr>
            </w:pPr>
            <w:r>
              <w:rPr>
                <w:rFonts w:hint="eastAsia" w:cs="仿宋" w:asciiTheme="minorEastAsia" w:hAnsiTheme="minorEastAsia" w:eastAsiaTheme="minorEastAsia"/>
                <w:color w:val="auto"/>
                <w:kern w:val="16"/>
                <w:sz w:val="24"/>
                <w:szCs w:val="22"/>
                <w:highlight w:val="none"/>
              </w:rPr>
              <w:t xml:space="preserve">账    号: </w:t>
            </w:r>
            <w:r>
              <w:rPr>
                <w:rFonts w:hint="eastAsia" w:cs="仿宋" w:asciiTheme="minorEastAsia" w:hAnsiTheme="minorEastAsia" w:eastAsiaTheme="minorEastAsia"/>
                <w:color w:val="auto"/>
                <w:kern w:val="16"/>
                <w:sz w:val="24"/>
                <w:szCs w:val="22"/>
                <w:highlight w:val="none"/>
                <w:u w:val="single"/>
                <w:lang w:val="en-US" w:eastAsia="zh-CN"/>
              </w:rPr>
              <w:t>82920361020180100000050</w:t>
            </w:r>
            <w:r>
              <w:rPr>
                <w:rFonts w:hint="eastAsia" w:cs="仿宋" w:asciiTheme="minorEastAsia" w:hAnsiTheme="minorEastAsia" w:eastAsiaTheme="minorEastAsia"/>
                <w:color w:val="auto"/>
                <w:kern w:val="16"/>
                <w:sz w:val="24"/>
                <w:szCs w:val="22"/>
                <w:highlight w:val="none"/>
                <w:lang w:val="en-US" w:eastAsia="zh-CN"/>
              </w:rPr>
              <w:t xml:space="preserve">   </w:t>
            </w:r>
          </w:p>
          <w:p>
            <w:pPr>
              <w:tabs>
                <w:tab w:val="left" w:pos="540"/>
              </w:tabs>
              <w:spacing w:line="400" w:lineRule="exact"/>
              <w:rPr>
                <w:rFonts w:hint="eastAsia" w:asciiTheme="minorEastAsia" w:hAnsiTheme="minorEastAsia" w:eastAsiaTheme="minorEastAsia"/>
                <w:color w:val="auto"/>
                <w:sz w:val="24"/>
                <w:highlight w:val="none"/>
              </w:rPr>
            </w:pPr>
            <w:r>
              <w:rPr>
                <w:rFonts w:hint="eastAsia" w:cs="仿宋" w:asciiTheme="minorEastAsia" w:hAnsiTheme="minorEastAsia" w:eastAsiaTheme="minorEastAsia"/>
                <w:color w:val="auto"/>
                <w:kern w:val="16"/>
                <w:sz w:val="24"/>
                <w:szCs w:val="22"/>
                <w:highlight w:val="none"/>
              </w:rPr>
              <w:t>②</w:t>
            </w:r>
            <w:r>
              <w:rPr>
                <w:rFonts w:hint="eastAsia" w:asciiTheme="minorEastAsia" w:hAnsiTheme="minorEastAsia" w:eastAsiaTheme="minorEastAsia"/>
                <w:color w:val="auto"/>
                <w:sz w:val="24"/>
                <w:highlight w:val="none"/>
              </w:rPr>
              <w:t>招标人接受投标保证金的电子工程保函，投标人</w:t>
            </w:r>
            <w:r>
              <w:rPr>
                <w:rFonts w:hint="eastAsia" w:cs="仿宋" w:asciiTheme="minorEastAsia" w:hAnsiTheme="minorEastAsia" w:eastAsiaTheme="minorEastAsia"/>
                <w:color w:val="auto"/>
                <w:kern w:val="16"/>
                <w:sz w:val="24"/>
                <w:szCs w:val="22"/>
                <w:highlight w:val="none"/>
              </w:rPr>
              <w:t>（牵头单位）</w:t>
            </w:r>
            <w:r>
              <w:rPr>
                <w:rFonts w:hint="eastAsia" w:asciiTheme="minorEastAsia" w:hAnsiTheme="minorEastAsia" w:eastAsiaTheme="minorEastAsia"/>
                <w:color w:val="auto"/>
                <w:sz w:val="24"/>
                <w:highlight w:val="none"/>
              </w:rPr>
              <w:t>自行在投标系统中自助选择办理，工程保函费用必须从投标人</w:t>
            </w:r>
            <w:r>
              <w:rPr>
                <w:rFonts w:hint="eastAsia" w:cs="仿宋" w:asciiTheme="minorEastAsia" w:hAnsiTheme="minorEastAsia" w:eastAsiaTheme="minorEastAsia"/>
                <w:color w:val="auto"/>
                <w:kern w:val="16"/>
                <w:sz w:val="24"/>
                <w:szCs w:val="22"/>
                <w:highlight w:val="none"/>
              </w:rPr>
              <w:t>（牵头单位）</w:t>
            </w:r>
            <w:r>
              <w:rPr>
                <w:rFonts w:hint="eastAsia" w:asciiTheme="minorEastAsia" w:hAnsiTheme="minorEastAsia" w:eastAsiaTheme="minorEastAsia"/>
                <w:color w:val="auto"/>
                <w:sz w:val="24"/>
                <w:highlight w:val="none"/>
              </w:rPr>
              <w:t>基本账户转出，并在投标保证金缴纳截止时间前办妥工程保函手续。</w:t>
            </w:r>
          </w:p>
          <w:p>
            <w:pPr>
              <w:tabs>
                <w:tab w:val="left" w:pos="540"/>
              </w:tabs>
              <w:spacing w:line="400" w:lineRule="exact"/>
              <w:rPr>
                <w:rFonts w:hint="eastAsia" w:eastAsiaTheme="minorEastAsia"/>
                <w:color w:val="auto"/>
                <w:highlight w:val="none"/>
                <w:lang w:eastAsia="zh-CN"/>
              </w:rPr>
            </w:pPr>
            <w:r>
              <w:rPr>
                <w:rFonts w:hint="eastAsia" w:ascii="宋体" w:hAnsi="宋体" w:eastAsia="宋体" w:cs="Times New Roman"/>
                <w:b w:val="0"/>
                <w:color w:val="auto"/>
                <w:kern w:val="16"/>
                <w:sz w:val="24"/>
                <w:szCs w:val="22"/>
                <w:highlight w:val="none"/>
                <w:lang w:val="en-US" w:eastAsia="zh-CN" w:bidi="ar-SA"/>
              </w:rPr>
              <w:t>③重新招标项目，参与投标的投标人仍需按上述规定要求重新递交投标保证金。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20</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履约保证金</w:t>
            </w:r>
          </w:p>
        </w:tc>
        <w:tc>
          <w:tcPr>
            <w:tcW w:w="6539" w:type="dxa"/>
            <w:vAlign w:val="center"/>
          </w:tcPr>
          <w:p>
            <w:pPr>
              <w:tabs>
                <w:tab w:val="left" w:pos="540"/>
              </w:tabs>
              <w:spacing w:line="400" w:lineRule="exact"/>
              <w:rPr>
                <w:rFonts w:ascii="宋体" w:hAnsi="宋体"/>
                <w:color w:val="auto"/>
                <w:kern w:val="16"/>
                <w:sz w:val="24"/>
                <w:szCs w:val="22"/>
                <w:highlight w:val="none"/>
              </w:rPr>
            </w:pPr>
            <w:r>
              <w:rPr>
                <w:rFonts w:ascii="宋体" w:hAnsi="宋体"/>
                <w:color w:val="auto"/>
                <w:kern w:val="16"/>
                <w:sz w:val="24"/>
                <w:szCs w:val="22"/>
                <w:highlight w:val="none"/>
              </w:rPr>
              <w:t>中标人提供的履约保证金为</w:t>
            </w:r>
            <w:r>
              <w:rPr>
                <w:rFonts w:hint="eastAsia" w:ascii="宋体" w:hAnsi="宋体"/>
                <w:color w:val="auto"/>
                <w:kern w:val="16"/>
                <w:sz w:val="24"/>
                <w:szCs w:val="22"/>
                <w:highlight w:val="none"/>
              </w:rPr>
              <w:t>中标</w:t>
            </w:r>
            <w:r>
              <w:rPr>
                <w:rFonts w:ascii="宋体" w:hAnsi="宋体"/>
                <w:color w:val="auto"/>
                <w:kern w:val="16"/>
                <w:sz w:val="24"/>
                <w:szCs w:val="22"/>
                <w:highlight w:val="none"/>
              </w:rPr>
              <w:t>合同</w:t>
            </w:r>
            <w:r>
              <w:rPr>
                <w:rFonts w:hint="eastAsia" w:ascii="宋体" w:hAnsi="宋体"/>
                <w:color w:val="auto"/>
                <w:kern w:val="16"/>
                <w:sz w:val="24"/>
                <w:szCs w:val="22"/>
                <w:highlight w:val="none"/>
              </w:rPr>
              <w:t>金额</w:t>
            </w:r>
            <w:r>
              <w:rPr>
                <w:rFonts w:ascii="宋体" w:hAnsi="宋体"/>
                <w:color w:val="auto"/>
                <w:kern w:val="16"/>
                <w:sz w:val="24"/>
                <w:szCs w:val="22"/>
                <w:highlight w:val="none"/>
              </w:rPr>
              <w:t>的2%</w:t>
            </w:r>
            <w:r>
              <w:rPr>
                <w:rFonts w:hint="eastAsia" w:ascii="宋体" w:hAnsi="宋体"/>
                <w:color w:val="auto"/>
                <w:kern w:val="16"/>
                <w:sz w:val="24"/>
                <w:szCs w:val="22"/>
                <w:highlight w:val="none"/>
              </w:rPr>
              <w:t>，履约保证金必须在合同签订前缴纳。</w:t>
            </w:r>
          </w:p>
          <w:p>
            <w:pPr>
              <w:tabs>
                <w:tab w:val="left" w:pos="540"/>
              </w:tabs>
              <w:spacing w:line="400" w:lineRule="exact"/>
              <w:rPr>
                <w:rFonts w:ascii="宋体" w:hAnsi="宋体"/>
                <w:color w:val="auto"/>
                <w:kern w:val="16"/>
                <w:sz w:val="24"/>
                <w:szCs w:val="22"/>
                <w:highlight w:val="none"/>
              </w:rPr>
            </w:pPr>
            <w:r>
              <w:rPr>
                <w:rFonts w:hint="eastAsia" w:ascii="宋体" w:hAnsi="宋体"/>
                <w:color w:val="auto"/>
                <w:kern w:val="16"/>
                <w:sz w:val="24"/>
                <w:szCs w:val="22"/>
                <w:highlight w:val="none"/>
              </w:rPr>
              <w:t>①电汇方式：</w:t>
            </w:r>
          </w:p>
          <w:p>
            <w:pPr>
              <w:tabs>
                <w:tab w:val="left" w:pos="540"/>
              </w:tabs>
              <w:spacing w:line="440" w:lineRule="exact"/>
              <w:rPr>
                <w:rFonts w:ascii="宋体" w:hAnsi="宋体"/>
                <w:color w:val="auto"/>
                <w:kern w:val="16"/>
                <w:sz w:val="24"/>
                <w:szCs w:val="22"/>
                <w:highlight w:val="none"/>
                <w:u w:val="single"/>
              </w:rPr>
            </w:pPr>
            <w:r>
              <w:rPr>
                <w:rFonts w:hint="eastAsia" w:ascii="宋体" w:hAnsi="宋体"/>
                <w:color w:val="auto"/>
                <w:kern w:val="16"/>
                <w:sz w:val="24"/>
                <w:szCs w:val="22"/>
                <w:highlight w:val="none"/>
              </w:rPr>
              <w:t>收款单位：</w:t>
            </w:r>
            <w:r>
              <w:rPr>
                <w:rFonts w:hint="eastAsia" w:ascii="宋体" w:hAnsi="宋体"/>
                <w:color w:val="auto"/>
                <w:kern w:val="16"/>
                <w:sz w:val="24"/>
                <w:szCs w:val="22"/>
                <w:highlight w:val="none"/>
                <w:u w:val="single"/>
              </w:rPr>
              <w:t xml:space="preserve">诸暨市城乡投资集团有限公司  </w:t>
            </w:r>
          </w:p>
          <w:p>
            <w:pPr>
              <w:tabs>
                <w:tab w:val="left" w:pos="540"/>
              </w:tabs>
              <w:spacing w:line="440" w:lineRule="exact"/>
              <w:rPr>
                <w:rFonts w:ascii="宋体" w:hAnsi="宋体"/>
                <w:color w:val="auto"/>
                <w:kern w:val="16"/>
                <w:sz w:val="24"/>
                <w:szCs w:val="22"/>
                <w:highlight w:val="none"/>
                <w:u w:val="single"/>
              </w:rPr>
            </w:pPr>
            <w:r>
              <w:rPr>
                <w:rFonts w:hint="eastAsia" w:ascii="宋体" w:hAnsi="宋体"/>
                <w:color w:val="auto"/>
                <w:kern w:val="16"/>
                <w:sz w:val="24"/>
                <w:szCs w:val="22"/>
                <w:highlight w:val="none"/>
              </w:rPr>
              <w:t>开户银行：</w:t>
            </w:r>
            <w:r>
              <w:rPr>
                <w:rFonts w:hint="eastAsia" w:ascii="宋体" w:hAnsi="宋体"/>
                <w:color w:val="auto"/>
                <w:kern w:val="16"/>
                <w:sz w:val="24"/>
                <w:szCs w:val="22"/>
                <w:highlight w:val="none"/>
                <w:u w:val="single"/>
              </w:rPr>
              <w:t>杭州银行股份有限公司诸暨支行</w:t>
            </w:r>
          </w:p>
          <w:p>
            <w:pPr>
              <w:tabs>
                <w:tab w:val="left" w:pos="540"/>
              </w:tabs>
              <w:spacing w:line="440" w:lineRule="exact"/>
              <w:rPr>
                <w:rFonts w:ascii="宋体" w:hAnsi="宋体"/>
                <w:color w:val="auto"/>
                <w:kern w:val="16"/>
                <w:sz w:val="24"/>
                <w:szCs w:val="22"/>
                <w:highlight w:val="none"/>
              </w:rPr>
            </w:pPr>
            <w:r>
              <w:rPr>
                <w:rFonts w:hint="eastAsia" w:ascii="宋体" w:hAnsi="宋体"/>
                <w:color w:val="auto"/>
                <w:kern w:val="16"/>
                <w:sz w:val="24"/>
                <w:szCs w:val="22"/>
                <w:highlight w:val="none"/>
              </w:rPr>
              <w:t>银行账号：</w:t>
            </w:r>
            <w:r>
              <w:rPr>
                <w:rFonts w:ascii="宋体" w:hAnsi="宋体"/>
                <w:color w:val="auto"/>
                <w:kern w:val="16"/>
                <w:sz w:val="24"/>
                <w:szCs w:val="22"/>
                <w:highlight w:val="none"/>
                <w:u w:val="single"/>
              </w:rPr>
              <w:t>3306040160000449720</w:t>
            </w:r>
          </w:p>
          <w:p>
            <w:pPr>
              <w:tabs>
                <w:tab w:val="left" w:pos="540"/>
              </w:tabs>
              <w:spacing w:line="400" w:lineRule="exact"/>
              <w:rPr>
                <w:rFonts w:ascii="宋体" w:hAnsi="宋体"/>
                <w:b/>
                <w:color w:val="auto"/>
                <w:kern w:val="16"/>
                <w:sz w:val="24"/>
                <w:szCs w:val="22"/>
                <w:highlight w:val="none"/>
              </w:rPr>
            </w:pPr>
            <w:r>
              <w:rPr>
                <w:rFonts w:hint="eastAsia" w:ascii="宋体" w:hAnsi="宋体"/>
                <w:color w:val="auto"/>
                <w:kern w:val="16"/>
                <w:sz w:val="24"/>
                <w:szCs w:val="22"/>
                <w:highlight w:val="none"/>
              </w:rPr>
              <w:t>②发包人接受履约保证金的工程保函。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21</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方案补偿</w:t>
            </w:r>
          </w:p>
        </w:tc>
        <w:tc>
          <w:tcPr>
            <w:tcW w:w="6539" w:type="dxa"/>
            <w:vAlign w:val="center"/>
          </w:tcPr>
          <w:p>
            <w:pPr>
              <w:tabs>
                <w:tab w:val="left" w:pos="540"/>
              </w:tabs>
              <w:spacing w:line="400" w:lineRule="exact"/>
              <w:rPr>
                <w:rFonts w:ascii="宋体" w:hAnsi="宋体"/>
                <w:color w:val="auto"/>
                <w:kern w:val="16"/>
                <w:sz w:val="24"/>
                <w:highlight w:val="none"/>
              </w:rPr>
            </w:pPr>
            <w:r>
              <w:rPr>
                <w:rFonts w:hint="eastAsia" w:ascii="宋体" w:hAnsi="宋体"/>
                <w:color w:val="auto"/>
                <w:kern w:val="16"/>
                <w:sz w:val="24"/>
                <w:szCs w:val="22"/>
                <w:highlight w:val="none"/>
              </w:rPr>
              <w:t>无补偿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22</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中标候选人公示</w:t>
            </w:r>
          </w:p>
        </w:tc>
        <w:tc>
          <w:tcPr>
            <w:tcW w:w="6539" w:type="dxa"/>
            <w:vAlign w:val="center"/>
          </w:tcPr>
          <w:p>
            <w:pPr>
              <w:tabs>
                <w:tab w:val="left" w:pos="540"/>
              </w:tabs>
              <w:spacing w:line="400" w:lineRule="exact"/>
              <w:rPr>
                <w:rFonts w:hint="eastAsia" w:ascii="宋体" w:hAnsi="宋体" w:eastAsia="宋体"/>
                <w:color w:val="auto"/>
                <w:sz w:val="24"/>
                <w:highlight w:val="none"/>
                <w:lang w:eastAsia="zh-CN"/>
              </w:rPr>
            </w:pPr>
            <w:r>
              <w:rPr>
                <w:rFonts w:hint="eastAsia" w:ascii="宋体" w:hAnsi="宋体" w:eastAsia="宋体" w:cs="Times New Roman"/>
                <w:color w:val="auto"/>
                <w:sz w:val="24"/>
                <w:highlight w:val="none"/>
              </w:rPr>
              <w:t>招标人将中标候选人的情况（有业绩要求的，包括业绩）在诸暨市公共资源交易中心网站予以公示，公示期为不少于3日。公示期间招标人可对中标候选人的人员证书、业绩及信用诚信信息等进行核查</w:t>
            </w:r>
            <w:r>
              <w:rPr>
                <w:rFonts w:hint="eastAsia" w:ascii="宋体" w:hAnsi="宋体" w:cs="Times New Roman"/>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23</w:t>
            </w:r>
          </w:p>
        </w:tc>
        <w:tc>
          <w:tcPr>
            <w:tcW w:w="2381" w:type="dxa"/>
            <w:vAlign w:val="center"/>
          </w:tcPr>
          <w:p>
            <w:pPr>
              <w:tabs>
                <w:tab w:val="left" w:pos="540"/>
              </w:tabs>
              <w:spacing w:line="400" w:lineRule="exact"/>
              <w:jc w:val="center"/>
              <w:rPr>
                <w:rFonts w:ascii="宋体" w:hAnsi="宋体"/>
                <w:color w:val="auto"/>
                <w:kern w:val="16"/>
                <w:sz w:val="24"/>
                <w:szCs w:val="22"/>
                <w:highlight w:val="none"/>
              </w:rPr>
            </w:pPr>
            <w:r>
              <w:rPr>
                <w:rFonts w:hint="eastAsia" w:ascii="宋体" w:hAnsi="宋体"/>
                <w:color w:val="auto"/>
                <w:kern w:val="16"/>
                <w:sz w:val="24"/>
                <w:szCs w:val="22"/>
                <w:highlight w:val="none"/>
              </w:rPr>
              <w:t>签订合同期限</w:t>
            </w:r>
          </w:p>
        </w:tc>
        <w:tc>
          <w:tcPr>
            <w:tcW w:w="6539" w:type="dxa"/>
            <w:vAlign w:val="center"/>
          </w:tcPr>
          <w:p>
            <w:pPr>
              <w:tabs>
                <w:tab w:val="left" w:pos="540"/>
              </w:tabs>
              <w:spacing w:line="400" w:lineRule="exact"/>
              <w:rPr>
                <w:rFonts w:ascii="宋体" w:hAnsi="宋体"/>
                <w:color w:val="auto"/>
                <w:kern w:val="16"/>
                <w:sz w:val="24"/>
                <w:szCs w:val="22"/>
                <w:highlight w:val="none"/>
              </w:rPr>
            </w:pPr>
            <w:r>
              <w:rPr>
                <w:rFonts w:hint="eastAsia" w:ascii="宋体" w:hAnsi="宋体"/>
                <w:color w:val="auto"/>
                <w:kern w:val="16"/>
                <w:sz w:val="24"/>
                <w:szCs w:val="22"/>
                <w:highlight w:val="none"/>
              </w:rPr>
              <w:t>中标通知书发出后</w:t>
            </w:r>
            <w:r>
              <w:rPr>
                <w:rFonts w:ascii="宋体" w:hAnsi="宋体"/>
                <w:color w:val="auto"/>
                <w:kern w:val="16"/>
                <w:sz w:val="24"/>
                <w:szCs w:val="22"/>
                <w:highlight w:val="none"/>
              </w:rPr>
              <w:t>30日内签订合同</w:t>
            </w:r>
            <w:r>
              <w:rPr>
                <w:rFonts w:hint="eastAsia" w:ascii="宋体" w:hAnsi="宋体"/>
                <w:color w:val="auto"/>
                <w:kern w:val="16"/>
                <w:sz w:val="24"/>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24</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其他要求</w:t>
            </w:r>
          </w:p>
        </w:tc>
        <w:tc>
          <w:tcPr>
            <w:tcW w:w="6539" w:type="dxa"/>
            <w:vAlign w:val="center"/>
          </w:tcPr>
          <w:p>
            <w:pPr>
              <w:tabs>
                <w:tab w:val="left" w:pos="540"/>
              </w:tabs>
              <w:spacing w:line="400" w:lineRule="exact"/>
              <w:rPr>
                <w:rFonts w:ascii="宋体" w:hAnsi="宋体"/>
                <w:color w:val="auto"/>
                <w:sz w:val="24"/>
                <w:highlight w:val="none"/>
              </w:rPr>
            </w:pPr>
            <w:r>
              <w:rPr>
                <w:rFonts w:hint="eastAsia" w:ascii="宋体" w:hAnsi="宋体"/>
                <w:color w:val="auto"/>
                <w:sz w:val="24"/>
                <w:highlight w:val="none"/>
              </w:rPr>
              <w:t>1.中标人未在规定时间缴纳履约保证金的，招标人有权取消其中标资格，并不予退还投标保证金。</w:t>
            </w:r>
          </w:p>
          <w:p>
            <w:pPr>
              <w:tabs>
                <w:tab w:val="left" w:pos="540"/>
              </w:tabs>
              <w:spacing w:line="400" w:lineRule="exact"/>
              <w:rPr>
                <w:rFonts w:ascii="宋体" w:hAnsi="宋体"/>
                <w:color w:val="auto"/>
                <w:sz w:val="24"/>
                <w:highlight w:val="none"/>
              </w:rPr>
            </w:pPr>
            <w:r>
              <w:rPr>
                <w:rFonts w:hint="eastAsia" w:ascii="宋体" w:hAnsi="宋体"/>
                <w:color w:val="auto"/>
                <w:sz w:val="24"/>
                <w:highlight w:val="none"/>
              </w:rPr>
              <w:t>2.投标人对所递交的投标文件以及与投标有关证明资料的真实性、合法性负责。</w:t>
            </w:r>
          </w:p>
          <w:p>
            <w:pPr>
              <w:tabs>
                <w:tab w:val="left" w:pos="540"/>
              </w:tabs>
              <w:spacing w:line="400" w:lineRule="exact"/>
              <w:rPr>
                <w:rFonts w:hint="eastAsia" w:ascii="宋体" w:hAnsi="宋体"/>
                <w:color w:val="auto"/>
                <w:sz w:val="24"/>
                <w:highlight w:val="none"/>
              </w:rPr>
            </w:pPr>
            <w:r>
              <w:rPr>
                <w:rFonts w:hint="eastAsia" w:ascii="宋体" w:hAnsi="宋体"/>
                <w:color w:val="auto"/>
                <w:sz w:val="24"/>
                <w:highlight w:val="none"/>
              </w:rPr>
              <w:t>3.踏勘现场：不组织。投标人应视需要自行前往踏勘。</w:t>
            </w:r>
          </w:p>
          <w:p>
            <w:pPr>
              <w:tabs>
                <w:tab w:val="left" w:pos="540"/>
              </w:tabs>
              <w:spacing w:line="400" w:lineRule="exact"/>
              <w:ind w:left="0" w:leftChars="0" w:firstLine="0" w:firstLineChars="0"/>
              <w:rPr>
                <w:rFonts w:hint="default" w:eastAsia="宋体"/>
                <w:color w:val="auto"/>
                <w:highlight w:val="none"/>
                <w:lang w:val="en-US" w:eastAsia="zh-CN"/>
              </w:rPr>
            </w:pPr>
            <w:r>
              <w:rPr>
                <w:rFonts w:hint="eastAsia" w:ascii="宋体" w:hAnsi="宋体"/>
                <w:color w:val="auto"/>
                <w:sz w:val="24"/>
                <w:highlight w:val="none"/>
                <w:lang w:val="en-US" w:eastAsia="zh-CN"/>
              </w:rPr>
              <w:t>4.</w:t>
            </w:r>
            <w:r>
              <w:rPr>
                <w:rFonts w:hint="eastAsia" w:ascii="宋体" w:hAnsi="宋体" w:eastAsia="宋体" w:cs="Times New Roman"/>
                <w:color w:val="auto"/>
                <w:sz w:val="24"/>
                <w:szCs w:val="24"/>
                <w:highlight w:val="none"/>
                <w:lang w:val="en-US" w:eastAsia="zh-CN"/>
              </w:rPr>
              <w:t>拟</w:t>
            </w:r>
            <w:r>
              <w:rPr>
                <w:rFonts w:hint="eastAsia" w:ascii="宋体" w:hAnsi="宋体" w:cs="Times New Roman"/>
                <w:color w:val="auto"/>
                <w:sz w:val="24"/>
                <w:szCs w:val="24"/>
                <w:highlight w:val="none"/>
                <w:lang w:val="en-US" w:eastAsia="zh-CN"/>
              </w:rPr>
              <w:t>派</w:t>
            </w:r>
            <w:r>
              <w:rPr>
                <w:rFonts w:hint="eastAsia" w:ascii="宋体" w:hAnsi="宋体" w:eastAsia="宋体" w:cs="Times New Roman"/>
                <w:color w:val="auto"/>
                <w:sz w:val="24"/>
                <w:szCs w:val="24"/>
                <w:highlight w:val="none"/>
                <w:lang w:val="en-US" w:eastAsia="zh-CN"/>
              </w:rPr>
              <w:t>的项目负责人未在其他在建合同工程中担任项目负责人【指全过程工程咨询服务项目负责人或项目总监理工程师或施工项目经理或设计施工总承包项目的项目经理或施工负责人】；</w:t>
            </w:r>
            <w:r>
              <w:rPr>
                <w:rFonts w:hint="eastAsia" w:ascii="宋体" w:hAnsi="宋体" w:cs="Times New Roman"/>
                <w:color w:val="auto"/>
                <w:sz w:val="24"/>
                <w:szCs w:val="24"/>
                <w:highlight w:val="none"/>
                <w:lang w:val="en-US" w:eastAsia="zh-CN"/>
              </w:rPr>
              <w:t>在建项目的项目负责人办理更换后，投标时需提供更换的相关证明。</w:t>
            </w:r>
          </w:p>
          <w:p>
            <w:pPr>
              <w:tabs>
                <w:tab w:val="left" w:pos="540"/>
              </w:tabs>
              <w:spacing w:line="400" w:lineRule="exact"/>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.拟派</w:t>
            </w:r>
            <w:r>
              <w:rPr>
                <w:rFonts w:hint="eastAsia" w:ascii="宋体" w:hAnsi="宋体"/>
                <w:color w:val="auto"/>
                <w:sz w:val="24"/>
                <w:highlight w:val="none"/>
                <w:lang w:val="en-US" w:eastAsia="zh-CN"/>
              </w:rPr>
              <w:t>监理负责人（总监）</w:t>
            </w:r>
            <w:r>
              <w:rPr>
                <w:rFonts w:hint="eastAsia" w:ascii="宋体" w:hAnsi="宋体"/>
                <w:color w:val="auto"/>
                <w:sz w:val="24"/>
                <w:highlight w:val="none"/>
              </w:rPr>
              <w:t>应无在监项目，如拟派</w:t>
            </w:r>
            <w:r>
              <w:rPr>
                <w:rFonts w:hint="eastAsia" w:ascii="宋体" w:hAnsi="宋体"/>
                <w:color w:val="auto"/>
                <w:sz w:val="24"/>
                <w:highlight w:val="none"/>
                <w:lang w:val="en-US" w:eastAsia="zh-CN"/>
              </w:rPr>
              <w:t>监理负责人（总监）</w:t>
            </w:r>
            <w:r>
              <w:rPr>
                <w:rFonts w:hint="eastAsia" w:ascii="宋体" w:hAnsi="宋体"/>
                <w:color w:val="auto"/>
                <w:sz w:val="24"/>
                <w:highlight w:val="none"/>
              </w:rPr>
              <w:t>有在监项目但已被更换的，应在投标文件中提供原建设单位同意，并经有关行业主管部门备案的更换资料（相关书面材料原件扫描件上传至投标文件“企业变更及总监在监工程相关内容扫描件”中），否则招标人有权拒绝投标人的投标或取消其（预）中标资格，并按有关规定处理。</w:t>
            </w:r>
          </w:p>
          <w:p>
            <w:pPr>
              <w:tabs>
                <w:tab w:val="left" w:pos="540"/>
              </w:tabs>
              <w:spacing w:line="400" w:lineRule="exact"/>
              <w:rPr>
                <w:rFonts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.镇乡（街道）、部门（国企）年度监理项目视作“在监项目”。预中标项目（包含年度监理项目）视作“在监项目”。</w:t>
            </w:r>
          </w:p>
          <w:p>
            <w:pPr>
              <w:tabs>
                <w:tab w:val="left" w:pos="540"/>
              </w:tabs>
              <w:spacing w:line="400" w:lineRule="exact"/>
              <w:rPr>
                <w:color w:val="auto"/>
                <w:highlight w:val="none"/>
              </w:rPr>
            </w:pPr>
            <w:bookmarkStart w:id="93" w:name="_Toc28472"/>
            <w:bookmarkStart w:id="94" w:name="_Toc17757"/>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w:t>
            </w:r>
            <w:bookmarkEnd w:id="93"/>
            <w:bookmarkEnd w:id="94"/>
            <w:r>
              <w:rPr>
                <w:rFonts w:hint="eastAsia" w:ascii="宋体" w:hAnsi="宋体" w:eastAsia="宋体" w:cs="Times New Roman"/>
                <w:color w:val="auto"/>
                <w:sz w:val="24"/>
                <w:highlight w:val="none"/>
              </w:rPr>
              <w:t>涉及项目</w:t>
            </w:r>
            <w:r>
              <w:rPr>
                <w:rFonts w:hint="eastAsia" w:ascii="宋体" w:hAnsi="宋体" w:cs="Times New Roman"/>
                <w:color w:val="auto"/>
                <w:sz w:val="24"/>
                <w:highlight w:val="none"/>
                <w:lang w:val="en-US" w:eastAsia="zh-CN"/>
              </w:rPr>
              <w:t>负责人、造价咨询负责人、</w:t>
            </w:r>
            <w:r>
              <w:rPr>
                <w:rFonts w:hint="eastAsia" w:ascii="宋体" w:hAnsi="宋体"/>
                <w:color w:val="auto"/>
                <w:sz w:val="24"/>
                <w:highlight w:val="none"/>
                <w:lang w:val="en-US" w:eastAsia="zh-CN"/>
              </w:rPr>
              <w:t>监理负责人（总监）</w:t>
            </w:r>
            <w:r>
              <w:rPr>
                <w:rFonts w:hint="eastAsia" w:ascii="宋体" w:hAnsi="宋体" w:eastAsia="宋体" w:cs="Times New Roman"/>
                <w:color w:val="auto"/>
                <w:sz w:val="24"/>
                <w:highlight w:val="none"/>
              </w:rPr>
              <w:t>变更的，建设单位需在完成审批手续后2个工作日内在诸暨市公共资源交易网公开。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hint="eastAsia" w:ascii="宋体" w:hAnsi="宋体"/>
                <w:color w:val="auto"/>
                <w:kern w:val="16"/>
                <w:sz w:val="24"/>
                <w:highlight w:val="none"/>
              </w:rPr>
              <w:t>2</w:t>
            </w:r>
            <w:r>
              <w:rPr>
                <w:rFonts w:ascii="宋体" w:hAnsi="宋体"/>
                <w:color w:val="auto"/>
                <w:kern w:val="16"/>
                <w:sz w:val="24"/>
                <w:highlight w:val="none"/>
              </w:rPr>
              <w:t>5</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定标</w:t>
            </w:r>
          </w:p>
        </w:tc>
        <w:tc>
          <w:tcPr>
            <w:tcW w:w="6539" w:type="dxa"/>
            <w:vAlign w:val="center"/>
          </w:tcPr>
          <w:p>
            <w:pPr>
              <w:tabs>
                <w:tab w:val="left" w:pos="540"/>
              </w:tabs>
              <w:spacing w:line="400" w:lineRule="exact"/>
              <w:rPr>
                <w:rFonts w:hint="eastAsia" w:eastAsia="宋体"/>
                <w:color w:val="auto"/>
                <w:highlight w:val="none"/>
                <w:lang w:eastAsia="zh-CN"/>
              </w:rPr>
            </w:pPr>
            <w:r>
              <w:rPr>
                <w:rFonts w:hint="eastAsia" w:ascii="宋体" w:hAnsi="宋体"/>
                <w:color w:val="auto"/>
                <w:sz w:val="24"/>
                <w:highlight w:val="none"/>
              </w:rPr>
              <w:t>定标办法: 详见</w:t>
            </w:r>
            <w:r>
              <w:rPr>
                <w:rFonts w:hint="eastAsia" w:ascii="宋体" w:hAnsi="宋体"/>
                <w:color w:val="auto"/>
                <w:sz w:val="24"/>
                <w:highlight w:val="none"/>
                <w:lang w:val="en-US" w:eastAsia="zh-CN"/>
              </w:rPr>
              <w:t>第二章</w:t>
            </w:r>
            <w:r>
              <w:rPr>
                <w:rFonts w:hint="eastAsia" w:ascii="宋体" w:hAnsi="宋体"/>
                <w:color w:val="auto"/>
                <w:sz w:val="24"/>
                <w:highlight w:val="none"/>
              </w:rPr>
              <w:t>“</w:t>
            </w:r>
            <w:r>
              <w:rPr>
                <w:rFonts w:hint="eastAsia" w:ascii="宋体" w:hAnsi="宋体"/>
                <w:color w:val="auto"/>
                <w:sz w:val="24"/>
                <w:highlight w:val="none"/>
                <w:lang w:val="en-US" w:eastAsia="zh-CN"/>
              </w:rPr>
              <w:t>21.确定中标人</w:t>
            </w:r>
            <w:r>
              <w:rPr>
                <w:rFonts w:hint="eastAsia" w:ascii="宋体" w:hAnsi="宋体"/>
                <w:color w:val="auto"/>
                <w:sz w:val="24"/>
                <w:highlight w:val="none"/>
              </w:rPr>
              <w:t>”</w:t>
            </w:r>
            <w:r>
              <w:rPr>
                <w:rFonts w:hint="eastAsia" w:ascii="宋体" w:hAnsi="宋体"/>
                <w:color w:val="auto"/>
                <w:sz w:val="24"/>
                <w:highlight w:val="none"/>
                <w:lang w:val="en-US" w:eastAsia="zh-CN"/>
              </w:rPr>
              <w:t>的相关规定</w:t>
            </w:r>
            <w:r>
              <w:rPr>
                <w:rFonts w:hint="eastAsia" w:ascii="宋体" w:hAnsi="宋体"/>
                <w:color w:val="auto"/>
                <w:sz w:val="24"/>
                <w:highlight w:val="none"/>
                <w:lang w:eastAsia="zh-CN"/>
              </w:rPr>
              <w:t>。</w:t>
            </w:r>
          </w:p>
        </w:tc>
      </w:tr>
    </w:tbl>
    <w:p>
      <w:pPr>
        <w:spacing w:line="360" w:lineRule="auto"/>
        <w:jc w:val="left"/>
        <w:rPr>
          <w:rFonts w:ascii="宋体" w:hAnsi="宋体"/>
          <w:b/>
          <w:bCs/>
          <w:color w:val="auto"/>
          <w:sz w:val="32"/>
          <w:highlight w:val="none"/>
        </w:rPr>
      </w:pPr>
      <w:r>
        <w:rPr>
          <w:rFonts w:ascii="宋体" w:hAnsi="宋体"/>
          <w:b/>
          <w:bCs/>
          <w:color w:val="auto"/>
          <w:sz w:val="32"/>
          <w:highlight w:val="none"/>
        </w:rPr>
        <w:br w:type="page"/>
      </w:r>
      <w:r>
        <w:rPr>
          <w:rFonts w:hint="eastAsia" w:ascii="宋体" w:hAnsi="宋体"/>
          <w:b/>
          <w:bCs/>
          <w:color w:val="auto"/>
          <w:sz w:val="32"/>
          <w:highlight w:val="none"/>
        </w:rPr>
        <w:t>前附表（二）日程安排表</w:t>
      </w:r>
    </w:p>
    <w:tbl>
      <w:tblPr>
        <w:tblStyle w:val="26"/>
        <w:tblpPr w:leftFromText="180" w:rightFromText="180" w:vertAnchor="text" w:horzAnchor="margin" w:tblpX="-116" w:tblpY="114"/>
        <w:tblW w:w="102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3537"/>
        <w:gridCol w:w="3000"/>
        <w:gridCol w:w="16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071" w:type="dxa"/>
            <w:tcBorders>
              <w:top w:val="single" w:color="auto" w:sz="4" w:space="0"/>
              <w:left w:val="single" w:color="auto" w:sz="4" w:space="0"/>
              <w:bottom w:val="single" w:color="auto" w:sz="4" w:space="0"/>
              <w:right w:val="single" w:color="auto" w:sz="4" w:space="0"/>
              <w:tl2br w:val="single" w:color="auto" w:sz="4" w:space="0"/>
            </w:tcBorders>
          </w:tcPr>
          <w:p>
            <w:pPr>
              <w:spacing w:line="360" w:lineRule="auto"/>
              <w:rPr>
                <w:rFonts w:ascii="宋体" w:hAnsi="宋体" w:cs="仿宋"/>
                <w:color w:val="auto"/>
                <w:sz w:val="24"/>
                <w:highlight w:val="none"/>
              </w:rPr>
            </w:pPr>
            <w:r>
              <w:rPr>
                <w:rFonts w:ascii="宋体" w:hAnsi="宋体" w:cs="仿宋"/>
                <w:color w:val="auto"/>
                <w:sz w:val="24"/>
                <w:highlight w:val="none"/>
              </w:rPr>
              <w:t xml:space="preserve">        安排</w:t>
            </w:r>
          </w:p>
          <w:p>
            <w:pPr>
              <w:spacing w:line="360" w:lineRule="auto"/>
              <w:ind w:firstLine="240" w:firstLineChars="100"/>
              <w:rPr>
                <w:rFonts w:ascii="宋体" w:hAnsi="宋体" w:cs="仿宋"/>
                <w:color w:val="auto"/>
                <w:sz w:val="24"/>
                <w:highlight w:val="none"/>
              </w:rPr>
            </w:pPr>
          </w:p>
          <w:p>
            <w:pPr>
              <w:spacing w:line="360" w:lineRule="auto"/>
              <w:ind w:firstLine="240" w:firstLineChars="100"/>
              <w:rPr>
                <w:rFonts w:ascii="宋体" w:hAnsi="宋体" w:cs="仿宋"/>
                <w:color w:val="auto"/>
                <w:sz w:val="24"/>
                <w:highlight w:val="none"/>
              </w:rPr>
            </w:pPr>
            <w:r>
              <w:rPr>
                <w:rFonts w:hint="eastAsia" w:ascii="宋体" w:hAnsi="宋体" w:cs="仿宋"/>
                <w:color w:val="auto"/>
                <w:sz w:val="24"/>
                <w:highlight w:val="none"/>
              </w:rPr>
              <w:t>程序</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时间</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地点</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获取招标文件</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firstLineChars="200"/>
              <w:jc w:val="both"/>
              <w:rPr>
                <w:rFonts w:ascii="宋体" w:hAnsi="宋体" w:cs="仿宋"/>
                <w:color w:val="auto"/>
                <w:sz w:val="24"/>
                <w:highlight w:val="none"/>
              </w:rPr>
            </w:pPr>
            <w:r>
              <w:rPr>
                <w:rFonts w:ascii="宋体" w:hAnsi="宋体" w:cs="仿宋"/>
                <w:color w:val="auto"/>
                <w:sz w:val="24"/>
                <w:highlight w:val="none"/>
              </w:rPr>
              <w:t xml:space="preserve">2023年 </w:t>
            </w:r>
            <w:r>
              <w:rPr>
                <w:rFonts w:hint="eastAsia" w:ascii="宋体" w:hAnsi="宋体" w:cs="仿宋"/>
                <w:color w:val="auto"/>
                <w:sz w:val="24"/>
                <w:highlight w:val="none"/>
                <w:lang w:val="en-US" w:eastAsia="zh-CN"/>
              </w:rPr>
              <w:t>11</w:t>
            </w:r>
            <w:r>
              <w:rPr>
                <w:rFonts w:ascii="宋体" w:hAnsi="宋体" w:cs="仿宋"/>
                <w:color w:val="auto"/>
                <w:sz w:val="24"/>
                <w:highlight w:val="none"/>
              </w:rPr>
              <w:t xml:space="preserve"> </w:t>
            </w:r>
            <w:r>
              <w:rPr>
                <w:rFonts w:hint="eastAsia" w:ascii="宋体" w:hAnsi="宋体" w:cs="仿宋"/>
                <w:color w:val="auto"/>
                <w:sz w:val="24"/>
                <w:highlight w:val="none"/>
              </w:rPr>
              <w:t>月</w:t>
            </w:r>
            <w:r>
              <w:rPr>
                <w:rFonts w:ascii="宋体" w:hAnsi="宋体" w:cs="仿宋"/>
                <w:color w:val="auto"/>
                <w:sz w:val="24"/>
                <w:highlight w:val="none"/>
              </w:rPr>
              <w:t xml:space="preserve"> </w:t>
            </w:r>
            <w:r>
              <w:rPr>
                <w:rFonts w:hint="eastAsia" w:ascii="宋体" w:hAnsi="宋体" w:cs="仿宋"/>
                <w:color w:val="auto"/>
                <w:sz w:val="24"/>
                <w:highlight w:val="none"/>
                <w:lang w:val="en-US" w:eastAsia="zh-CN"/>
              </w:rPr>
              <w:t>21</w:t>
            </w:r>
            <w:r>
              <w:rPr>
                <w:rFonts w:hint="eastAsia" w:ascii="宋体" w:hAnsi="宋体" w:cs="仿宋"/>
                <w:color w:val="auto"/>
                <w:sz w:val="24"/>
                <w:highlight w:val="none"/>
              </w:rPr>
              <w:t>日</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r>
              <w:rPr>
                <w:rFonts w:hint="eastAsia" w:ascii="宋体" w:hAnsi="宋体"/>
                <w:color w:val="auto"/>
                <w:sz w:val="24"/>
                <w:highlight w:val="none"/>
              </w:rPr>
              <w:t>诸暨市公共资源交易网</w:t>
            </w:r>
          </w:p>
          <w:p>
            <w:pPr>
              <w:spacing w:line="360" w:lineRule="auto"/>
              <w:jc w:val="center"/>
              <w:rPr>
                <w:rFonts w:ascii="宋体" w:hAnsi="宋体" w:cs="仿宋"/>
                <w:color w:val="auto"/>
                <w:sz w:val="24"/>
                <w:highlight w:val="none"/>
              </w:rPr>
            </w:pPr>
            <w:r>
              <w:rPr>
                <w:rFonts w:hint="eastAsia" w:ascii="宋体" w:hAnsi="宋体"/>
                <w:color w:val="auto"/>
                <w:sz w:val="24"/>
                <w:highlight w:val="none"/>
              </w:rPr>
              <w:t>自行下载</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仿宋"/>
                <w:color w:val="auto"/>
                <w:sz w:val="24"/>
                <w:highlight w:val="none"/>
              </w:rPr>
            </w:pPr>
            <w:r>
              <w:rPr>
                <w:rFonts w:hint="eastAsia" w:ascii="宋体" w:hAnsi="宋体"/>
                <w:color w:val="auto"/>
                <w:sz w:val="24"/>
                <w:highlight w:val="none"/>
              </w:rPr>
              <w:t>踏勘现场</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仿宋"/>
                <w:color w:val="auto"/>
                <w:sz w:val="24"/>
                <w:highlight w:val="none"/>
              </w:rPr>
            </w:pPr>
            <w:r>
              <w:rPr>
                <w:rFonts w:ascii="宋体" w:hAnsi="宋体" w:cs="仿宋"/>
                <w:color w:val="auto"/>
                <w:sz w:val="24"/>
                <w:highlight w:val="none"/>
              </w:rPr>
              <w:t>/</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r>
              <w:rPr>
                <w:rFonts w:ascii="宋体" w:hAnsi="宋体"/>
                <w:color w:val="auto"/>
                <w:sz w:val="24"/>
                <w:highlight w:val="none"/>
              </w:rPr>
              <w:t>/</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不集中组织，自行踏勘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9"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招标文件澄清</w:t>
            </w:r>
          </w:p>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截止时间</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2023年</w:t>
            </w:r>
            <w:r>
              <w:rPr>
                <w:rFonts w:hint="eastAsia" w:ascii="宋体" w:hAnsi="宋体" w:cs="仿宋"/>
                <w:color w:val="auto"/>
                <w:sz w:val="24"/>
                <w:highlight w:val="none"/>
                <w:lang w:val="en-US" w:eastAsia="zh-CN"/>
              </w:rPr>
              <w:t>11</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28</w:t>
            </w:r>
            <w:r>
              <w:rPr>
                <w:rFonts w:hint="eastAsia" w:ascii="宋体" w:hAnsi="宋体" w:cs="仿宋"/>
                <w:color w:val="auto"/>
                <w:sz w:val="24"/>
                <w:highlight w:val="none"/>
              </w:rPr>
              <w:t>日</w:t>
            </w:r>
            <w:r>
              <w:rPr>
                <w:rFonts w:hint="eastAsia" w:ascii="宋体" w:hAnsi="宋体" w:cs="仿宋"/>
                <w:color w:val="auto"/>
                <w:sz w:val="24"/>
                <w:highlight w:val="none"/>
                <w:lang w:val="en-US" w:eastAsia="zh-CN"/>
              </w:rPr>
              <w:t>17</w:t>
            </w:r>
            <w:r>
              <w:rPr>
                <w:rFonts w:ascii="宋体" w:hAnsi="宋体" w:cs="仿宋"/>
                <w:color w:val="auto"/>
                <w:sz w:val="24"/>
                <w:highlight w:val="none"/>
              </w:rPr>
              <w:t>:00时止</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olor w:val="auto"/>
                <w:sz w:val="24"/>
                <w:highlight w:val="none"/>
              </w:rPr>
              <w:t>如有疑问请以书面形式并加盖单位公章，送达到招标人或招标代理机构</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项目投标保证金到账截止时间</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2023年</w:t>
            </w:r>
            <w:r>
              <w:rPr>
                <w:rFonts w:hint="eastAsia" w:ascii="宋体" w:hAnsi="宋体" w:cs="仿宋"/>
                <w:color w:val="auto"/>
                <w:sz w:val="24"/>
                <w:highlight w:val="none"/>
                <w:lang w:val="en-US" w:eastAsia="zh-CN"/>
              </w:rPr>
              <w:t>12</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14</w:t>
            </w:r>
            <w:r>
              <w:rPr>
                <w:rFonts w:hint="eastAsia" w:ascii="宋体" w:hAnsi="宋体" w:cs="仿宋"/>
                <w:color w:val="auto"/>
                <w:sz w:val="24"/>
                <w:highlight w:val="none"/>
              </w:rPr>
              <w:t>日</w:t>
            </w:r>
            <w:r>
              <w:rPr>
                <w:rFonts w:hint="eastAsia" w:ascii="宋体" w:hAnsi="宋体" w:eastAsiaTheme="minorEastAsia"/>
                <w:color w:val="auto"/>
                <w:kern w:val="2"/>
                <w:sz w:val="24"/>
                <w:szCs w:val="24"/>
                <w:highlight w:val="none"/>
                <w:u w:val="none"/>
              </w:rPr>
              <w:t>9:30</w:t>
            </w:r>
            <w:r>
              <w:rPr>
                <w:rFonts w:ascii="宋体" w:hAnsi="宋体" w:cs="仿宋"/>
                <w:color w:val="auto"/>
                <w:sz w:val="24"/>
                <w:highlight w:val="none"/>
              </w:rPr>
              <w:t xml:space="preserve"> </w:t>
            </w:r>
            <w:r>
              <w:rPr>
                <w:rFonts w:hint="eastAsia" w:ascii="宋体" w:hAnsi="宋体" w:cs="仿宋"/>
                <w:color w:val="auto"/>
                <w:sz w:val="24"/>
                <w:highlight w:val="none"/>
              </w:rPr>
              <w:t>时止</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4"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Cs w:val="21"/>
                <w:highlight w:val="none"/>
              </w:rPr>
            </w:pPr>
            <w:r>
              <w:rPr>
                <w:rFonts w:hint="eastAsia" w:ascii="宋体" w:hAnsi="宋体" w:cs="仿宋"/>
                <w:color w:val="auto"/>
                <w:spacing w:val="-11"/>
                <w:sz w:val="24"/>
                <w:highlight w:val="none"/>
              </w:rPr>
              <w:t>投标文件现场提交</w:t>
            </w:r>
            <w:r>
              <w:rPr>
                <w:rFonts w:hint="eastAsia" w:ascii="宋体" w:hAnsi="宋体" w:cs="仿宋"/>
                <w:color w:val="auto"/>
                <w:sz w:val="24"/>
                <w:highlight w:val="none"/>
              </w:rPr>
              <w:t>（投标截止时间）</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2023年</w:t>
            </w:r>
            <w:r>
              <w:rPr>
                <w:rFonts w:hint="eastAsia" w:ascii="宋体" w:hAnsi="宋体" w:cs="仿宋"/>
                <w:color w:val="auto"/>
                <w:sz w:val="24"/>
                <w:highlight w:val="none"/>
                <w:lang w:val="en-US" w:eastAsia="zh-CN"/>
              </w:rPr>
              <w:t>12</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14</w:t>
            </w:r>
            <w:r>
              <w:rPr>
                <w:rFonts w:hint="eastAsia" w:ascii="宋体" w:hAnsi="宋体" w:cs="仿宋"/>
                <w:color w:val="auto"/>
                <w:sz w:val="24"/>
                <w:highlight w:val="none"/>
              </w:rPr>
              <w:t>日</w:t>
            </w:r>
            <w:r>
              <w:rPr>
                <w:rFonts w:ascii="宋体" w:hAnsi="宋体" w:cs="仿宋"/>
                <w:color w:val="auto"/>
                <w:sz w:val="24"/>
                <w:highlight w:val="none"/>
              </w:rPr>
              <w:t>9:30时止</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诸暨市公共资源交易中心</w:t>
            </w:r>
          </w:p>
          <w:p>
            <w:pPr>
              <w:spacing w:line="360" w:lineRule="auto"/>
              <w:jc w:val="center"/>
              <w:rPr>
                <w:rFonts w:ascii="宋体" w:hAnsi="宋体" w:cs="仿宋"/>
                <w:color w:val="auto"/>
                <w:highlight w:val="none"/>
              </w:rPr>
            </w:pPr>
            <w:r>
              <w:rPr>
                <w:rFonts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1</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号开标室</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逾时视为</w:t>
            </w:r>
          </w:p>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弃权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4"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开标</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2023年</w:t>
            </w:r>
            <w:r>
              <w:rPr>
                <w:rFonts w:hint="eastAsia" w:ascii="宋体" w:hAnsi="宋体" w:cs="仿宋"/>
                <w:color w:val="auto"/>
                <w:sz w:val="24"/>
                <w:highlight w:val="none"/>
                <w:lang w:val="en-US" w:eastAsia="zh-CN"/>
              </w:rPr>
              <w:t>12</w:t>
            </w:r>
            <w:r>
              <w:rPr>
                <w:rFonts w:ascii="宋体" w:hAnsi="宋体" w:cs="仿宋"/>
                <w:color w:val="auto"/>
                <w:sz w:val="24"/>
                <w:highlight w:val="none"/>
              </w:rPr>
              <w:t xml:space="preserve"> </w:t>
            </w:r>
            <w:r>
              <w:rPr>
                <w:rFonts w:hint="eastAsia" w:ascii="宋体" w:hAnsi="宋体" w:cs="仿宋"/>
                <w:color w:val="auto"/>
                <w:sz w:val="24"/>
                <w:highlight w:val="none"/>
              </w:rPr>
              <w:t>月</w:t>
            </w:r>
            <w:r>
              <w:rPr>
                <w:rFonts w:ascii="宋体" w:hAnsi="宋体" w:cs="仿宋"/>
                <w:color w:val="auto"/>
                <w:sz w:val="24"/>
                <w:highlight w:val="none"/>
              </w:rPr>
              <w:t xml:space="preserve"> </w:t>
            </w:r>
            <w:r>
              <w:rPr>
                <w:rFonts w:hint="eastAsia" w:ascii="宋体" w:hAnsi="宋体" w:cs="仿宋"/>
                <w:color w:val="auto"/>
                <w:sz w:val="24"/>
                <w:highlight w:val="none"/>
                <w:lang w:val="en-US" w:eastAsia="zh-CN"/>
              </w:rPr>
              <w:t>14</w:t>
            </w:r>
            <w:r>
              <w:rPr>
                <w:rFonts w:ascii="宋体" w:hAnsi="宋体" w:cs="仿宋"/>
                <w:color w:val="auto"/>
                <w:sz w:val="24"/>
                <w:highlight w:val="none"/>
              </w:rPr>
              <w:t xml:space="preserve"> </w:t>
            </w:r>
            <w:r>
              <w:rPr>
                <w:rFonts w:hint="eastAsia" w:ascii="宋体" w:hAnsi="宋体" w:cs="仿宋"/>
                <w:color w:val="auto"/>
                <w:sz w:val="24"/>
                <w:highlight w:val="none"/>
              </w:rPr>
              <w:t>日</w:t>
            </w:r>
            <w:r>
              <w:rPr>
                <w:rFonts w:ascii="宋体" w:hAnsi="宋体" w:cs="仿宋"/>
                <w:color w:val="auto"/>
                <w:sz w:val="24"/>
                <w:highlight w:val="none"/>
              </w:rPr>
              <w:t>9:30时</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诸暨市公共资源交易中心</w:t>
            </w:r>
          </w:p>
          <w:p>
            <w:pPr>
              <w:spacing w:line="360" w:lineRule="auto"/>
              <w:jc w:val="center"/>
              <w:rPr>
                <w:rFonts w:ascii="宋体" w:hAnsi="宋体" w:cs="仿宋"/>
                <w:color w:val="auto"/>
                <w:sz w:val="24"/>
                <w:highlight w:val="none"/>
                <w:u w:val="single"/>
              </w:rPr>
            </w:pPr>
            <w:r>
              <w:rPr>
                <w:rFonts w:ascii="宋体" w:hAnsi="宋体" w:cs="仿宋"/>
                <w:color w:val="auto"/>
                <w:sz w:val="24"/>
                <w:highlight w:val="none"/>
                <w:u w:val="singl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1</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t xml:space="preserve"> </w:t>
            </w:r>
            <w:r>
              <w:rPr>
                <w:rFonts w:hint="eastAsia" w:ascii="宋体" w:hAnsi="宋体" w:cs="仿宋"/>
                <w:color w:val="auto"/>
                <w:sz w:val="24"/>
                <w:highlight w:val="none"/>
              </w:rPr>
              <w:t>号开标室</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p>
        </w:tc>
      </w:tr>
    </w:tbl>
    <w:p>
      <w:pPr>
        <w:spacing w:line="360" w:lineRule="auto"/>
        <w:rPr>
          <w:rFonts w:ascii="宋体" w:hAnsi="宋体"/>
          <w:color w:val="auto"/>
          <w:sz w:val="21"/>
          <w:szCs w:val="21"/>
          <w:highlight w:val="none"/>
        </w:rPr>
      </w:pPr>
      <w:r>
        <w:rPr>
          <w:rFonts w:hint="eastAsia" w:ascii="宋体" w:hAnsi="宋体"/>
          <w:color w:val="auto"/>
          <w:sz w:val="21"/>
          <w:szCs w:val="21"/>
          <w:highlight w:val="none"/>
        </w:rPr>
        <w:t>注：</w:t>
      </w:r>
      <w:r>
        <w:rPr>
          <w:rFonts w:ascii="宋体" w:hAnsi="宋体"/>
          <w:color w:val="auto"/>
          <w:sz w:val="21"/>
          <w:szCs w:val="21"/>
          <w:highlight w:val="none"/>
        </w:rPr>
        <w:t>1</w:t>
      </w:r>
      <w:r>
        <w:rPr>
          <w:rFonts w:hint="eastAsia" w:ascii="宋体" w:hAnsi="宋体"/>
          <w:color w:val="auto"/>
          <w:sz w:val="21"/>
          <w:szCs w:val="21"/>
          <w:highlight w:val="none"/>
          <w:lang w:val="en-US" w:eastAsia="zh-CN"/>
        </w:rPr>
        <w:t>.</w:t>
      </w:r>
      <w:r>
        <w:rPr>
          <w:rFonts w:ascii="宋体" w:hAnsi="宋体"/>
          <w:color w:val="auto"/>
          <w:sz w:val="21"/>
          <w:szCs w:val="21"/>
          <w:highlight w:val="none"/>
        </w:rPr>
        <w:t>本表日程如有变动，以补充通知或修改文件通知时间为准；</w:t>
      </w:r>
    </w:p>
    <w:p>
      <w:pPr>
        <w:spacing w:line="360" w:lineRule="auto"/>
        <w:ind w:firstLine="40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w:t>
      </w:r>
      <w:r>
        <w:rPr>
          <w:rFonts w:ascii="宋体" w:hAnsi="宋体"/>
          <w:color w:val="auto"/>
          <w:sz w:val="21"/>
          <w:szCs w:val="21"/>
          <w:highlight w:val="none"/>
        </w:rPr>
        <w:t xml:space="preserve">以上所有时间以诸暨市公共资源电子交易平台时间为准。 </w:t>
      </w:r>
    </w:p>
    <w:p>
      <w:pPr>
        <w:spacing w:line="360" w:lineRule="auto"/>
        <w:jc w:val="left"/>
        <w:rPr>
          <w:rFonts w:ascii="宋体" w:hAnsi="宋体"/>
          <w:b/>
          <w:bCs/>
          <w:color w:val="auto"/>
          <w:sz w:val="32"/>
          <w:highlight w:val="none"/>
        </w:rPr>
      </w:pPr>
    </w:p>
    <w:p>
      <w:pPr>
        <w:pStyle w:val="3"/>
        <w:tabs>
          <w:tab w:val="clear" w:pos="720"/>
        </w:tabs>
        <w:spacing w:line="360" w:lineRule="auto"/>
        <w:ind w:left="540" w:hanging="540" w:hangingChars="168"/>
        <w:jc w:val="center"/>
        <w:rPr>
          <w:color w:val="auto"/>
          <w:highlight w:val="none"/>
        </w:rPr>
      </w:pPr>
      <w:bookmarkStart w:id="95" w:name="_Toc24064"/>
      <w:bookmarkStart w:id="96" w:name="_Toc14602"/>
      <w:bookmarkStart w:id="97" w:name="_Toc1092"/>
      <w:bookmarkStart w:id="98" w:name="_Toc30226"/>
      <w:bookmarkStart w:id="99" w:name="_Toc32151"/>
      <w:bookmarkStart w:id="100" w:name="_Toc13578"/>
      <w:bookmarkStart w:id="101" w:name="_Toc27494"/>
      <w:bookmarkStart w:id="102" w:name="_Toc22110"/>
      <w:bookmarkStart w:id="103" w:name="_Toc24797"/>
      <w:bookmarkStart w:id="104" w:name="_Toc30932"/>
      <w:bookmarkStart w:id="105" w:name="_Toc18446"/>
      <w:bookmarkStart w:id="106" w:name="_Toc2488"/>
      <w:bookmarkStart w:id="107" w:name="_Toc15931"/>
      <w:bookmarkStart w:id="108" w:name="_Toc15292"/>
      <w:bookmarkStart w:id="109" w:name="_Toc27228"/>
      <w:bookmarkStart w:id="110" w:name="_Toc15321"/>
      <w:bookmarkStart w:id="111" w:name="_Toc30017"/>
      <w:bookmarkStart w:id="112" w:name="_Toc3576"/>
      <w:bookmarkStart w:id="113" w:name="_Toc31461"/>
      <w:bookmarkStart w:id="114" w:name="_Toc17522"/>
      <w:bookmarkStart w:id="115" w:name="_Toc2964"/>
      <w:bookmarkStart w:id="116" w:name="_Toc7172"/>
      <w:bookmarkStart w:id="117" w:name="_Toc30080"/>
      <w:bookmarkStart w:id="118" w:name="_Toc14981"/>
      <w:bookmarkStart w:id="119" w:name="_Toc300038921"/>
      <w:bookmarkStart w:id="120" w:name="_Toc31164"/>
      <w:bookmarkStart w:id="121" w:name="_Toc14814"/>
      <w:bookmarkStart w:id="122" w:name="_Toc10650"/>
      <w:r>
        <w:rPr>
          <w:rFonts w:hint="eastAsia"/>
          <w:color w:val="auto"/>
          <w:highlight w:val="none"/>
        </w:rPr>
        <w:t>投标须知</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pStyle w:val="4"/>
        <w:numPr>
          <w:ilvl w:val="3"/>
          <w:numId w:val="1"/>
        </w:numPr>
        <w:spacing w:line="360" w:lineRule="auto"/>
        <w:jc w:val="center"/>
        <w:rPr>
          <w:color w:val="auto"/>
          <w:highlight w:val="none"/>
        </w:rPr>
      </w:pPr>
      <w:bookmarkStart w:id="123" w:name="_Toc20509"/>
      <w:bookmarkStart w:id="124" w:name="_Toc4125"/>
      <w:bookmarkStart w:id="125" w:name="_Toc29732"/>
      <w:bookmarkStart w:id="126" w:name="_Toc14970"/>
      <w:bookmarkStart w:id="127" w:name="_Toc17986"/>
      <w:bookmarkStart w:id="128" w:name="_Toc31122"/>
      <w:bookmarkStart w:id="129" w:name="_Toc18881"/>
      <w:bookmarkStart w:id="130" w:name="_Toc12066"/>
      <w:bookmarkStart w:id="131" w:name="_Toc20856"/>
      <w:bookmarkStart w:id="132" w:name="_Toc18103"/>
      <w:bookmarkStart w:id="133" w:name="_Toc4003"/>
      <w:bookmarkStart w:id="134" w:name="_Toc20183"/>
      <w:bookmarkStart w:id="135" w:name="_Toc11333"/>
      <w:bookmarkStart w:id="136" w:name="_Toc6662"/>
      <w:bookmarkStart w:id="137" w:name="_Toc300038923"/>
      <w:bookmarkStart w:id="138" w:name="_Toc4277"/>
      <w:bookmarkStart w:id="139" w:name="_Toc29838"/>
      <w:bookmarkStart w:id="140" w:name="_Toc26770"/>
      <w:bookmarkStart w:id="141" w:name="_Toc10904"/>
      <w:bookmarkStart w:id="142" w:name="_Toc26611"/>
      <w:bookmarkStart w:id="143" w:name="_Toc1519"/>
      <w:bookmarkStart w:id="144" w:name="_Toc23683"/>
      <w:bookmarkStart w:id="145" w:name="_Toc30954"/>
      <w:bookmarkStart w:id="146" w:name="_Toc7437"/>
      <w:bookmarkStart w:id="147" w:name="_Toc16093"/>
      <w:bookmarkStart w:id="148" w:name="_Toc18733"/>
      <w:bookmarkStart w:id="149" w:name="_Toc29168"/>
      <w:bookmarkStart w:id="150" w:name="_Toc18710"/>
      <w:bookmarkStart w:id="151" w:name="_Toc4153"/>
      <w:bookmarkStart w:id="152" w:name="_Toc30642"/>
      <w:bookmarkStart w:id="153" w:name="_Toc27128"/>
      <w:r>
        <w:rPr>
          <w:rFonts w:hint="eastAsia"/>
          <w:color w:val="auto"/>
          <w:highlight w:val="none"/>
        </w:rPr>
        <w:t>总则</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Start w:id="154" w:name="_Toc300038924"/>
    </w:p>
    <w:bookmarkEnd w:id="154"/>
    <w:p>
      <w:pPr>
        <w:pStyle w:val="6"/>
        <w:numPr>
          <w:ilvl w:val="0"/>
          <w:numId w:val="0"/>
        </w:numPr>
        <w:tabs>
          <w:tab w:val="clear" w:pos="510"/>
        </w:tabs>
        <w:spacing w:line="360" w:lineRule="auto"/>
        <w:ind w:left="0" w:leftChars="0" w:firstLine="510" w:firstLineChars="0"/>
        <w:rPr>
          <w:color w:val="auto"/>
          <w:highlight w:val="none"/>
        </w:rPr>
      </w:pPr>
      <w:r>
        <w:rPr>
          <w:rFonts w:hint="eastAsia" w:ascii="Times New Roman" w:hAnsi="Times New Roman" w:eastAsia="宋体" w:cs="Times New Roman"/>
          <w:b/>
          <w:bCs/>
          <w:color w:val="auto"/>
          <w:sz w:val="28"/>
          <w:szCs w:val="28"/>
          <w:highlight w:val="none"/>
          <w:lang w:val="en-US" w:eastAsia="zh-CN" w:bidi="ar-SA"/>
        </w:rPr>
        <w:t>1.</w:t>
      </w:r>
      <w:r>
        <w:rPr>
          <w:rFonts w:hint="eastAsia"/>
          <w:color w:val="auto"/>
          <w:highlight w:val="none"/>
        </w:rPr>
        <w:t>项目概况</w:t>
      </w:r>
    </w:p>
    <w:p>
      <w:pPr>
        <w:pStyle w:val="8"/>
        <w:tabs>
          <w:tab w:val="left" w:pos="1000"/>
        </w:tabs>
        <w:snapToGrid w:val="0"/>
        <w:spacing w:line="360" w:lineRule="auto"/>
        <w:ind w:firstLine="480" w:firstLineChars="200"/>
        <w:jc w:val="left"/>
        <w:rPr>
          <w:color w:val="auto"/>
          <w:sz w:val="24"/>
          <w:szCs w:val="24"/>
          <w:highlight w:val="none"/>
        </w:rPr>
      </w:pPr>
      <w:r>
        <w:rPr>
          <w:rFonts w:hint="eastAsia"/>
          <w:color w:val="auto"/>
          <w:sz w:val="24"/>
          <w:szCs w:val="24"/>
          <w:highlight w:val="none"/>
        </w:rPr>
        <w:t>根据《中华人民共和国招标投标法》、《中华人民共和国招标投标法实施条例》等有关法律、法规和规章规定，本招标项目已办理招标申请，并经诸暨市公共资源交易管理委员会办公室（以下简称市公管办）备案，同意采用公开招标的方式进行招标。</w:t>
      </w:r>
    </w:p>
    <w:p>
      <w:pPr>
        <w:pStyle w:val="8"/>
        <w:tabs>
          <w:tab w:val="left" w:pos="1000"/>
        </w:tabs>
        <w:snapToGrid w:val="0"/>
        <w:spacing w:line="360" w:lineRule="auto"/>
        <w:ind w:firstLine="480" w:firstLineChars="200"/>
        <w:jc w:val="left"/>
        <w:rPr>
          <w:color w:val="auto"/>
          <w:sz w:val="24"/>
          <w:szCs w:val="24"/>
          <w:highlight w:val="none"/>
        </w:rPr>
      </w:pPr>
      <w:r>
        <w:rPr>
          <w:rFonts w:hint="eastAsia"/>
          <w:color w:val="auto"/>
          <w:sz w:val="24"/>
          <w:szCs w:val="24"/>
          <w:highlight w:val="none"/>
        </w:rPr>
        <w:t>招标项目名称、建设地点、建设规模、资金来源、招标范围及主要内容、资格审查方式、投标人的资质等级要求等详见投标人须知前附表。</w:t>
      </w:r>
    </w:p>
    <w:p>
      <w:pPr>
        <w:pStyle w:val="6"/>
        <w:numPr>
          <w:ilvl w:val="0"/>
          <w:numId w:val="0"/>
        </w:numPr>
        <w:tabs>
          <w:tab w:val="clear" w:pos="510"/>
        </w:tabs>
        <w:spacing w:line="360" w:lineRule="auto"/>
        <w:ind w:left="0" w:leftChars="0" w:firstLine="510" w:firstLineChars="0"/>
        <w:rPr>
          <w:color w:val="auto"/>
          <w:highlight w:val="none"/>
        </w:rPr>
      </w:pPr>
      <w:bookmarkStart w:id="155" w:name="_Toc300038927"/>
      <w:r>
        <w:rPr>
          <w:rFonts w:hint="eastAsia" w:ascii="Times New Roman" w:hAnsi="Times New Roman" w:eastAsia="宋体" w:cs="Times New Roman"/>
          <w:b/>
          <w:bCs/>
          <w:color w:val="auto"/>
          <w:sz w:val="28"/>
          <w:szCs w:val="28"/>
          <w:highlight w:val="none"/>
          <w:lang w:val="en-US" w:eastAsia="zh-CN" w:bidi="ar-SA"/>
        </w:rPr>
        <w:t>2.</w:t>
      </w:r>
      <w:r>
        <w:rPr>
          <w:rFonts w:hint="eastAsia"/>
          <w:color w:val="auto"/>
          <w:highlight w:val="none"/>
        </w:rPr>
        <w:t>投标费用</w:t>
      </w:r>
      <w:bookmarkEnd w:id="155"/>
    </w:p>
    <w:p>
      <w:pPr>
        <w:pStyle w:val="8"/>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投标人应承担投标文件编制与递交等参加本项目招标活动所涉及的一切费用。</w:t>
      </w:r>
    </w:p>
    <w:p>
      <w:pPr>
        <w:pStyle w:val="6"/>
        <w:numPr>
          <w:ilvl w:val="0"/>
          <w:numId w:val="0"/>
        </w:numPr>
        <w:tabs>
          <w:tab w:val="clear" w:pos="510"/>
        </w:tabs>
        <w:spacing w:line="360" w:lineRule="auto"/>
        <w:ind w:left="0" w:leftChars="0" w:firstLine="510" w:firstLineChars="0"/>
        <w:rPr>
          <w:color w:val="auto"/>
          <w:highlight w:val="none"/>
        </w:rPr>
      </w:pPr>
      <w:bookmarkStart w:id="156" w:name="_Toc300038928"/>
      <w:r>
        <w:rPr>
          <w:rFonts w:hint="eastAsia" w:ascii="Times New Roman" w:hAnsi="Times New Roman" w:eastAsia="宋体" w:cs="Times New Roman"/>
          <w:b/>
          <w:bCs/>
          <w:color w:val="auto"/>
          <w:sz w:val="28"/>
          <w:szCs w:val="28"/>
          <w:highlight w:val="none"/>
          <w:lang w:val="en-US" w:eastAsia="zh-CN" w:bidi="ar-SA"/>
        </w:rPr>
        <w:t>3.</w:t>
      </w:r>
      <w:r>
        <w:rPr>
          <w:rFonts w:hint="eastAsia"/>
          <w:color w:val="auto"/>
          <w:highlight w:val="none"/>
        </w:rPr>
        <w:t>踏勘现场</w:t>
      </w:r>
      <w:bookmarkEnd w:id="156"/>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3.1.</w:t>
      </w:r>
      <w:r>
        <w:rPr>
          <w:rFonts w:hint="eastAsia" w:ascii="宋体" w:hAnsi="宋体"/>
          <w:color w:val="auto"/>
          <w:sz w:val="24"/>
          <w:szCs w:val="24"/>
          <w:highlight w:val="none"/>
        </w:rPr>
        <w:t>投标人应自行对工程现场和其周围环境进行现场踏勘，以便在投标前获取有关编制投标文件和签署合同所需的各项资料。投标人应承担现场踏勘的责任、风险和费用。</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3.2.</w:t>
      </w:r>
      <w:r>
        <w:rPr>
          <w:rFonts w:hint="eastAsia" w:ascii="宋体" w:hAnsi="宋体"/>
          <w:color w:val="auto"/>
          <w:sz w:val="24"/>
          <w:szCs w:val="24"/>
          <w:highlight w:val="none"/>
        </w:rPr>
        <w:t>招标人向投标人提供有关现场的资料和数据，是招标人现有的能使投标人利用的资料，但招标人对投标人由此而做出的推论、理解和结论概不负责。</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3.3.</w:t>
      </w:r>
      <w:r>
        <w:rPr>
          <w:rFonts w:hint="eastAsia" w:ascii="宋体" w:hAnsi="宋体"/>
          <w:color w:val="auto"/>
          <w:sz w:val="24"/>
          <w:szCs w:val="24"/>
          <w:highlight w:val="none"/>
        </w:rPr>
        <w:t>投标人在查阅招标文件和踏勘现场后，可以提出要求澄清问题。但所有问题都应以书面形式提交给招标人，招标人视情况做出澄清和解答，并将此澄清和解答在投标截止日前以补充通知或修改文件形式在诸暨市公共资源交易网站上进行公布。</w:t>
      </w:r>
    </w:p>
    <w:p>
      <w:pPr>
        <w:pStyle w:val="6"/>
        <w:numPr>
          <w:ilvl w:val="0"/>
          <w:numId w:val="0"/>
        </w:numPr>
        <w:tabs>
          <w:tab w:val="clear" w:pos="510"/>
        </w:tabs>
        <w:spacing w:line="360" w:lineRule="auto"/>
        <w:ind w:left="0" w:leftChars="0" w:firstLine="510" w:firstLineChars="0"/>
        <w:rPr>
          <w:color w:val="auto"/>
          <w:highlight w:val="none"/>
        </w:rPr>
      </w:pPr>
      <w:bookmarkStart w:id="157" w:name="_Toc300038929"/>
      <w:r>
        <w:rPr>
          <w:rFonts w:hint="eastAsia" w:ascii="Times New Roman" w:hAnsi="Times New Roman" w:eastAsia="宋体" w:cs="Times New Roman"/>
          <w:b/>
          <w:bCs/>
          <w:color w:val="auto"/>
          <w:sz w:val="28"/>
          <w:szCs w:val="28"/>
          <w:highlight w:val="none"/>
          <w:lang w:val="en-US" w:eastAsia="zh-CN" w:bidi="ar-SA"/>
        </w:rPr>
        <w:t>4.</w:t>
      </w:r>
      <w:r>
        <w:rPr>
          <w:rFonts w:hint="eastAsia"/>
          <w:color w:val="auto"/>
          <w:highlight w:val="none"/>
        </w:rPr>
        <w:t>知识产权</w:t>
      </w:r>
      <w:bookmarkEnd w:id="157"/>
    </w:p>
    <w:p>
      <w:pPr>
        <w:pStyle w:val="8"/>
        <w:tabs>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4.1.投标人在编制技术方案过程中，如果因其采用的技术方案等方面发生侵犯知识产权的行为而引起索赔或诉讼，则投标人应承担全部责任，并保障招标人免于承担由此造成的一切损害和损失。</w:t>
      </w:r>
    </w:p>
    <w:p>
      <w:pPr>
        <w:pStyle w:val="4"/>
        <w:numPr>
          <w:ilvl w:val="3"/>
          <w:numId w:val="1"/>
        </w:numPr>
        <w:spacing w:line="360" w:lineRule="auto"/>
        <w:jc w:val="center"/>
        <w:rPr>
          <w:color w:val="auto"/>
          <w:highlight w:val="none"/>
        </w:rPr>
      </w:pPr>
      <w:bookmarkStart w:id="158" w:name="_Toc14942"/>
      <w:bookmarkStart w:id="159" w:name="_Toc6459"/>
      <w:bookmarkStart w:id="160" w:name="_Toc13311"/>
      <w:bookmarkStart w:id="161" w:name="_Toc12147"/>
      <w:bookmarkStart w:id="162" w:name="_Toc23708"/>
      <w:bookmarkStart w:id="163" w:name="_Toc26547"/>
      <w:bookmarkStart w:id="164" w:name="_Toc2527"/>
      <w:bookmarkStart w:id="165" w:name="_Toc32566"/>
      <w:bookmarkStart w:id="166" w:name="_Toc12480"/>
      <w:bookmarkStart w:id="167" w:name="_Toc15178"/>
      <w:bookmarkStart w:id="168" w:name="_Toc4149"/>
      <w:bookmarkStart w:id="169" w:name="_Toc12963"/>
      <w:bookmarkStart w:id="170" w:name="_Toc4094"/>
      <w:bookmarkStart w:id="171" w:name="_Toc3481"/>
      <w:bookmarkStart w:id="172" w:name="_Toc17792"/>
      <w:bookmarkStart w:id="173" w:name="_Toc3088"/>
      <w:bookmarkStart w:id="174" w:name="_Toc5833"/>
      <w:bookmarkStart w:id="175" w:name="_Toc28170"/>
      <w:bookmarkStart w:id="176" w:name="_Toc31338"/>
      <w:bookmarkStart w:id="177" w:name="_Toc5463"/>
      <w:bookmarkStart w:id="178" w:name="_Toc27285"/>
      <w:bookmarkStart w:id="179" w:name="_Toc12826"/>
      <w:bookmarkStart w:id="180" w:name="_Toc20639"/>
      <w:bookmarkStart w:id="181" w:name="_Toc6212"/>
      <w:bookmarkStart w:id="182" w:name="_Toc7245"/>
      <w:bookmarkStart w:id="183" w:name="_Toc11740"/>
      <w:bookmarkStart w:id="184" w:name="_Toc300038930"/>
      <w:bookmarkStart w:id="185" w:name="_Toc26458"/>
      <w:bookmarkStart w:id="186" w:name="_Toc30217"/>
      <w:bookmarkStart w:id="187" w:name="_Toc8004"/>
      <w:bookmarkStart w:id="188" w:name="_Toc22894"/>
      <w:r>
        <w:rPr>
          <w:rFonts w:hint="eastAsia"/>
          <w:color w:val="auto"/>
          <w:highlight w:val="none"/>
        </w:rPr>
        <w:t>招标文件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pPr>
        <w:pStyle w:val="6"/>
        <w:numPr>
          <w:ilvl w:val="0"/>
          <w:numId w:val="0"/>
        </w:numPr>
        <w:tabs>
          <w:tab w:val="clear" w:pos="510"/>
        </w:tabs>
        <w:spacing w:line="360" w:lineRule="auto"/>
        <w:ind w:left="0" w:leftChars="0" w:firstLine="510" w:firstLineChars="0"/>
        <w:rPr>
          <w:color w:val="auto"/>
          <w:highlight w:val="none"/>
        </w:rPr>
      </w:pPr>
      <w:bookmarkStart w:id="189" w:name="_Toc300038931"/>
      <w:r>
        <w:rPr>
          <w:rFonts w:hint="eastAsia" w:ascii="Times New Roman" w:hAnsi="Times New Roman" w:eastAsia="宋体" w:cs="Times New Roman"/>
          <w:b/>
          <w:bCs/>
          <w:color w:val="auto"/>
          <w:sz w:val="28"/>
          <w:szCs w:val="28"/>
          <w:highlight w:val="none"/>
          <w:lang w:val="en-US" w:eastAsia="zh-CN" w:bidi="ar-SA"/>
        </w:rPr>
        <w:t>5.</w:t>
      </w:r>
      <w:r>
        <w:rPr>
          <w:rFonts w:hint="eastAsia"/>
          <w:color w:val="auto"/>
          <w:highlight w:val="none"/>
        </w:rPr>
        <w:t>招标文件的组成</w:t>
      </w:r>
      <w:bookmarkEnd w:id="189"/>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5.1.</w:t>
      </w:r>
      <w:r>
        <w:rPr>
          <w:rFonts w:hint="eastAsia" w:ascii="宋体" w:hAnsi="宋体"/>
          <w:color w:val="auto"/>
          <w:sz w:val="24"/>
          <w:szCs w:val="24"/>
          <w:highlight w:val="none"/>
        </w:rPr>
        <w:t>招标文件包括下列内容：</w:t>
      </w:r>
    </w:p>
    <w:p>
      <w:pPr>
        <w:pStyle w:val="8"/>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第一章 招标公告</w:t>
      </w:r>
    </w:p>
    <w:p>
      <w:pPr>
        <w:pStyle w:val="8"/>
        <w:spacing w:line="360" w:lineRule="auto"/>
        <w:ind w:firstLine="0"/>
        <w:rPr>
          <w:rFonts w:ascii="宋体" w:hAnsi="宋体"/>
          <w:color w:val="auto"/>
          <w:sz w:val="24"/>
          <w:szCs w:val="24"/>
          <w:highlight w:val="none"/>
        </w:rPr>
      </w:pPr>
      <w:r>
        <w:rPr>
          <w:rFonts w:ascii="宋体" w:hAnsi="宋体"/>
          <w:color w:val="auto"/>
          <w:sz w:val="24"/>
          <w:szCs w:val="24"/>
          <w:highlight w:val="none"/>
        </w:rPr>
        <w:t xml:space="preserve">    第二章 投标人须知</w:t>
      </w:r>
    </w:p>
    <w:p>
      <w:pPr>
        <w:pStyle w:val="8"/>
        <w:spacing w:line="360" w:lineRule="auto"/>
        <w:ind w:firstLine="0"/>
        <w:rPr>
          <w:rFonts w:ascii="宋体" w:hAnsi="宋体"/>
          <w:color w:val="auto"/>
          <w:sz w:val="24"/>
          <w:szCs w:val="24"/>
          <w:highlight w:val="none"/>
        </w:rPr>
      </w:pPr>
      <w:r>
        <w:rPr>
          <w:rFonts w:ascii="宋体" w:hAnsi="宋体"/>
          <w:color w:val="auto"/>
          <w:sz w:val="24"/>
          <w:szCs w:val="24"/>
          <w:highlight w:val="none"/>
        </w:rPr>
        <w:t xml:space="preserve">    第三章 评标办法和标准</w:t>
      </w:r>
    </w:p>
    <w:p>
      <w:pPr>
        <w:pStyle w:val="8"/>
        <w:spacing w:line="360" w:lineRule="auto"/>
        <w:ind w:firstLine="481"/>
        <w:rPr>
          <w:rFonts w:ascii="宋体" w:hAnsi="宋体"/>
          <w:color w:val="auto"/>
          <w:sz w:val="24"/>
          <w:szCs w:val="24"/>
          <w:highlight w:val="none"/>
        </w:rPr>
      </w:pPr>
      <w:r>
        <w:rPr>
          <w:rFonts w:hint="eastAsia" w:ascii="宋体" w:hAnsi="宋体"/>
          <w:color w:val="auto"/>
          <w:sz w:val="24"/>
          <w:szCs w:val="24"/>
          <w:highlight w:val="none"/>
        </w:rPr>
        <w:t>第四章 服务技术要求及标准</w:t>
      </w:r>
    </w:p>
    <w:p>
      <w:pPr>
        <w:pStyle w:val="8"/>
        <w:spacing w:line="360" w:lineRule="auto"/>
        <w:ind w:firstLine="481"/>
        <w:rPr>
          <w:rFonts w:ascii="宋体" w:hAnsi="宋体"/>
          <w:color w:val="auto"/>
          <w:sz w:val="24"/>
          <w:szCs w:val="24"/>
          <w:highlight w:val="none"/>
        </w:rPr>
      </w:pPr>
      <w:r>
        <w:rPr>
          <w:rFonts w:hint="eastAsia" w:ascii="宋体" w:hAnsi="宋体"/>
          <w:color w:val="auto"/>
          <w:sz w:val="24"/>
          <w:szCs w:val="24"/>
          <w:highlight w:val="none"/>
        </w:rPr>
        <w:t>第五章 合同条款及格式</w:t>
      </w:r>
    </w:p>
    <w:p>
      <w:pPr>
        <w:pStyle w:val="8"/>
        <w:spacing w:line="360" w:lineRule="auto"/>
        <w:ind w:firstLine="481"/>
        <w:rPr>
          <w:rFonts w:ascii="宋体" w:hAnsi="宋体"/>
          <w:color w:val="auto"/>
          <w:sz w:val="24"/>
          <w:szCs w:val="24"/>
          <w:highlight w:val="none"/>
        </w:rPr>
      </w:pPr>
      <w:r>
        <w:rPr>
          <w:rFonts w:hint="eastAsia" w:ascii="宋体" w:hAnsi="宋体"/>
          <w:color w:val="auto"/>
          <w:sz w:val="24"/>
          <w:szCs w:val="24"/>
          <w:highlight w:val="none"/>
        </w:rPr>
        <w:t>第六章 投标文件格式</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5.2.</w:t>
      </w:r>
      <w:r>
        <w:rPr>
          <w:rFonts w:hint="eastAsia" w:ascii="宋体" w:hAnsi="宋体"/>
          <w:color w:val="auto"/>
          <w:sz w:val="24"/>
          <w:szCs w:val="24"/>
          <w:highlight w:val="none"/>
        </w:rPr>
        <w:t>除本投标须知第</w:t>
      </w:r>
      <w:r>
        <w:rPr>
          <w:rFonts w:ascii="宋体" w:hAnsi="宋体"/>
          <w:color w:val="auto"/>
          <w:sz w:val="24"/>
          <w:szCs w:val="24"/>
          <w:highlight w:val="none"/>
        </w:rPr>
        <w:t>5.1款所述的招标文件内容外，招标人在招标期间发出的答疑、澄清、修改或补充内容均是招标文件的组成部分，对招标人和投标人起约束作用。</w:t>
      </w:r>
    </w:p>
    <w:p>
      <w:pPr>
        <w:pStyle w:val="6"/>
        <w:numPr>
          <w:ilvl w:val="0"/>
          <w:numId w:val="0"/>
        </w:numPr>
        <w:tabs>
          <w:tab w:val="clear" w:pos="510"/>
        </w:tabs>
        <w:spacing w:line="360" w:lineRule="auto"/>
        <w:ind w:left="0" w:leftChars="0" w:firstLine="510" w:firstLineChars="0"/>
        <w:rPr>
          <w:color w:val="auto"/>
          <w:highlight w:val="none"/>
        </w:rPr>
      </w:pPr>
      <w:bookmarkStart w:id="190" w:name="_Toc300038932"/>
      <w:r>
        <w:rPr>
          <w:rFonts w:hint="eastAsia" w:ascii="Times New Roman" w:hAnsi="Times New Roman" w:eastAsia="宋体" w:cs="Times New Roman"/>
          <w:b/>
          <w:bCs/>
          <w:color w:val="auto"/>
          <w:sz w:val="28"/>
          <w:szCs w:val="28"/>
          <w:highlight w:val="none"/>
          <w:lang w:val="en-US" w:eastAsia="zh-CN" w:bidi="ar-SA"/>
        </w:rPr>
        <w:t>6.</w:t>
      </w:r>
      <w:r>
        <w:rPr>
          <w:rFonts w:hint="eastAsia"/>
          <w:color w:val="auto"/>
          <w:highlight w:val="none"/>
        </w:rPr>
        <w:t>招标文件的澄清</w:t>
      </w:r>
      <w:bookmarkEnd w:id="190"/>
    </w:p>
    <w:p>
      <w:pPr>
        <w:pStyle w:val="8"/>
        <w:tabs>
          <w:tab w:val="left" w:pos="10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获取招标文件后，应仔细阅读招标文件的所有内容，如对招标文件有任何疑问的应在招标文件规定的时间前以书面形式并加盖单位公章向招标人提出澄清申请。招标人将根据投标人的要求对招标文件做出必要的澄清，但不指明澄清问题的来源。招标人都将在投标截止日前以补充通知或修改文件形式在诸暨市公共资源交易网站上进行公布。潜在投标人应自行关注网站公告，招标人不再一一通知。投标人因自身贻误行为导致投标失败的，责任自负。</w:t>
      </w:r>
    </w:p>
    <w:p>
      <w:pPr>
        <w:pStyle w:val="6"/>
        <w:numPr>
          <w:ilvl w:val="0"/>
          <w:numId w:val="0"/>
        </w:numPr>
        <w:tabs>
          <w:tab w:val="clear" w:pos="510"/>
        </w:tabs>
        <w:spacing w:line="360" w:lineRule="auto"/>
        <w:ind w:left="0" w:leftChars="0" w:firstLine="510" w:firstLineChars="0"/>
        <w:rPr>
          <w:color w:val="auto"/>
          <w:highlight w:val="none"/>
        </w:rPr>
      </w:pPr>
      <w:bookmarkStart w:id="191" w:name="_Toc300038933"/>
      <w:r>
        <w:rPr>
          <w:rFonts w:hint="eastAsia" w:ascii="Times New Roman" w:hAnsi="Times New Roman" w:eastAsia="宋体" w:cs="Times New Roman"/>
          <w:b/>
          <w:bCs/>
          <w:color w:val="auto"/>
          <w:sz w:val="28"/>
          <w:szCs w:val="28"/>
          <w:highlight w:val="none"/>
          <w:lang w:val="en-US" w:eastAsia="zh-CN" w:bidi="ar-SA"/>
        </w:rPr>
        <w:t>7.</w:t>
      </w:r>
      <w:r>
        <w:rPr>
          <w:rFonts w:hint="eastAsia"/>
          <w:color w:val="auto"/>
          <w:highlight w:val="none"/>
        </w:rPr>
        <w:t>招标文件的修改、补充</w:t>
      </w:r>
      <w:bookmarkEnd w:id="191"/>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7.1.</w:t>
      </w:r>
      <w:r>
        <w:rPr>
          <w:rFonts w:hint="eastAsia" w:ascii="宋体" w:hAnsi="宋体" w:cs="Arial"/>
          <w:bCs/>
          <w:color w:val="auto"/>
          <w:kern w:val="0"/>
          <w:sz w:val="24"/>
          <w:highlight w:val="none"/>
        </w:rPr>
        <w:t>投标人收到招标文件后，对招标文件若有疑问要求澄清，或者对前附表（二）日程安排有异议，均应在招标文件澄清截止时间前以书面形式并加盖单位公章送达招标人，否则视为认可。不论是</w:t>
      </w:r>
      <w:r>
        <w:rPr>
          <w:rFonts w:hint="eastAsia" w:ascii="宋体"/>
          <w:color w:val="auto"/>
          <w:sz w:val="24"/>
          <w:szCs w:val="24"/>
          <w:highlight w:val="none"/>
        </w:rPr>
        <w:t>招标人</w:t>
      </w:r>
      <w:r>
        <w:rPr>
          <w:rFonts w:hint="eastAsia" w:ascii="宋体" w:hAnsi="宋体" w:cs="Arial"/>
          <w:bCs/>
          <w:color w:val="auto"/>
          <w:kern w:val="0"/>
          <w:sz w:val="24"/>
          <w:highlight w:val="none"/>
        </w:rPr>
        <w:t>根据投标人的要求对招标文件作出的澄清或是根据需要主动对招标文件进行必要的修改，招标人都</w:t>
      </w:r>
      <w:r>
        <w:rPr>
          <w:rFonts w:hint="eastAsia" w:ascii="宋体" w:hAnsi="宋体"/>
          <w:color w:val="auto"/>
          <w:sz w:val="24"/>
          <w:szCs w:val="24"/>
          <w:highlight w:val="none"/>
        </w:rPr>
        <w:t>将在投标截止日前以补充通知或修改文件形式在诸暨市公共资源交易网站上进行公布</w:t>
      </w:r>
      <w:r>
        <w:rPr>
          <w:rFonts w:hint="eastAsia" w:ascii="宋体" w:hAnsi="宋体" w:cs="Arial"/>
          <w:bCs/>
          <w:color w:val="auto"/>
          <w:kern w:val="0"/>
          <w:sz w:val="24"/>
          <w:highlight w:val="none"/>
        </w:rPr>
        <w:t>，投标人应及时查看并根据需要修改投标文件。补充通知、修改文件对所有投标人都具有与招标文件同等的约束力。</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7.2.</w:t>
      </w:r>
      <w:r>
        <w:rPr>
          <w:rFonts w:hint="eastAsia"/>
          <w:color w:val="auto"/>
          <w:sz w:val="24"/>
          <w:szCs w:val="24"/>
          <w:highlight w:val="none"/>
        </w:rPr>
        <w:t>为使投标人在编制投标文件时有充分时间对招标文件的澄清、修改、补充等内容进行研究，招标人可按规定自行决定是否延长投标截止时间</w:t>
      </w:r>
      <w:r>
        <w:rPr>
          <w:rFonts w:hint="eastAsia" w:ascii="宋体" w:hAnsi="宋体"/>
          <w:color w:val="auto"/>
          <w:sz w:val="24"/>
          <w:szCs w:val="24"/>
          <w:highlight w:val="none"/>
        </w:rPr>
        <w:t>。</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7.3.</w:t>
      </w:r>
      <w:r>
        <w:rPr>
          <w:rFonts w:hint="eastAsia" w:ascii="宋体" w:hAnsi="宋体"/>
          <w:color w:val="auto"/>
          <w:sz w:val="24"/>
          <w:szCs w:val="24"/>
          <w:highlight w:val="none"/>
        </w:rPr>
        <w:t>当招标文件与补充通知、修改文件的内容不一致时，以最后的补充通知或修改文件为准。</w:t>
      </w:r>
    </w:p>
    <w:p>
      <w:pPr>
        <w:pStyle w:val="4"/>
        <w:numPr>
          <w:ilvl w:val="3"/>
          <w:numId w:val="1"/>
        </w:numPr>
        <w:spacing w:line="360" w:lineRule="auto"/>
        <w:jc w:val="center"/>
        <w:rPr>
          <w:color w:val="auto"/>
          <w:highlight w:val="none"/>
        </w:rPr>
      </w:pPr>
      <w:bookmarkStart w:id="192" w:name="_Toc27504"/>
      <w:bookmarkStart w:id="193" w:name="_Toc23397"/>
      <w:bookmarkStart w:id="194" w:name="_Toc22530"/>
      <w:bookmarkStart w:id="195" w:name="_Toc5077"/>
      <w:bookmarkStart w:id="196" w:name="_Toc944"/>
      <w:bookmarkStart w:id="197" w:name="_Toc13422"/>
      <w:bookmarkStart w:id="198" w:name="_Toc20277"/>
      <w:bookmarkStart w:id="199" w:name="_Toc27205"/>
      <w:bookmarkStart w:id="200" w:name="_Toc30628"/>
      <w:bookmarkStart w:id="201" w:name="_Toc23131"/>
      <w:bookmarkStart w:id="202" w:name="_Toc20125"/>
      <w:bookmarkStart w:id="203" w:name="_Toc26929"/>
      <w:bookmarkStart w:id="204" w:name="_Toc17863"/>
      <w:bookmarkStart w:id="205" w:name="_Toc21544"/>
      <w:bookmarkStart w:id="206" w:name="_Toc31203"/>
      <w:bookmarkStart w:id="207" w:name="_Toc7660"/>
      <w:bookmarkStart w:id="208" w:name="_Toc11380"/>
      <w:bookmarkStart w:id="209" w:name="_Toc31697"/>
      <w:bookmarkStart w:id="210" w:name="_Toc8346"/>
      <w:bookmarkStart w:id="211" w:name="_Toc9365"/>
      <w:bookmarkStart w:id="212" w:name="_Toc300038934"/>
      <w:bookmarkStart w:id="213" w:name="_Toc14919"/>
      <w:bookmarkStart w:id="214" w:name="_Toc13371"/>
      <w:bookmarkStart w:id="215" w:name="_Toc14588"/>
      <w:bookmarkStart w:id="216" w:name="_Toc9279"/>
      <w:bookmarkStart w:id="217" w:name="_Toc7534"/>
      <w:bookmarkStart w:id="218" w:name="_Toc3218"/>
      <w:bookmarkStart w:id="219" w:name="_Toc28316"/>
      <w:bookmarkStart w:id="220" w:name="_Toc10168"/>
      <w:bookmarkStart w:id="221" w:name="_Toc29210"/>
      <w:bookmarkStart w:id="222" w:name="_Toc18531"/>
      <w:r>
        <w:rPr>
          <w:rFonts w:hint="eastAsia"/>
          <w:color w:val="auto"/>
          <w:highlight w:val="none"/>
        </w:rPr>
        <w:t>投标文件的编制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6"/>
        <w:numPr>
          <w:ilvl w:val="0"/>
          <w:numId w:val="0"/>
        </w:numPr>
        <w:tabs>
          <w:tab w:val="clear" w:pos="510"/>
        </w:tabs>
        <w:spacing w:line="360" w:lineRule="auto"/>
        <w:ind w:left="0" w:leftChars="0" w:firstLine="510" w:firstLineChars="0"/>
        <w:rPr>
          <w:color w:val="auto"/>
          <w:highlight w:val="none"/>
        </w:rPr>
      </w:pPr>
      <w:bookmarkStart w:id="223" w:name="_Toc300038935"/>
      <w:r>
        <w:rPr>
          <w:rFonts w:hint="eastAsia" w:ascii="Times New Roman" w:hAnsi="Times New Roman" w:eastAsia="宋体" w:cs="Times New Roman"/>
          <w:b/>
          <w:bCs/>
          <w:color w:val="auto"/>
          <w:sz w:val="28"/>
          <w:szCs w:val="28"/>
          <w:highlight w:val="none"/>
          <w:lang w:val="en-US" w:eastAsia="zh-CN" w:bidi="ar-SA"/>
        </w:rPr>
        <w:t>8.</w:t>
      </w:r>
      <w:r>
        <w:rPr>
          <w:rFonts w:hint="eastAsia"/>
          <w:color w:val="auto"/>
          <w:highlight w:val="none"/>
        </w:rPr>
        <w:t>投标文件的语言及度量衡单位</w:t>
      </w:r>
      <w:bookmarkEnd w:id="223"/>
    </w:p>
    <w:p>
      <w:pPr>
        <w:pStyle w:val="8"/>
        <w:numPr>
          <w:ilvl w:val="1"/>
          <w:numId w:val="0"/>
        </w:numPr>
        <w:tabs>
          <w:tab w:val="left" w:pos="1000"/>
        </w:tabs>
        <w:spacing w:line="360" w:lineRule="auto"/>
        <w:ind w:left="0" w:leftChars="0" w:firstLine="510" w:firstLineChars="0"/>
        <w:rPr>
          <w:rFonts w:ascii="宋体" w:hAnsi="宋体"/>
          <w:b/>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8.1.</w:t>
      </w:r>
      <w:r>
        <w:rPr>
          <w:rFonts w:hint="eastAsia" w:ascii="宋体" w:hAnsi="宋体"/>
          <w:color w:val="auto"/>
          <w:sz w:val="24"/>
          <w:szCs w:val="24"/>
          <w:highlight w:val="none"/>
        </w:rPr>
        <w:t>投标人和</w:t>
      </w:r>
      <w:r>
        <w:rPr>
          <w:rFonts w:hint="eastAsia" w:ascii="宋体"/>
          <w:color w:val="auto"/>
          <w:sz w:val="24"/>
          <w:szCs w:val="24"/>
          <w:highlight w:val="none"/>
        </w:rPr>
        <w:t>招标人</w:t>
      </w:r>
      <w:r>
        <w:rPr>
          <w:rFonts w:hint="eastAsia" w:ascii="宋体" w:hAnsi="宋体"/>
          <w:color w:val="auto"/>
          <w:sz w:val="24"/>
          <w:szCs w:val="24"/>
          <w:highlight w:val="none"/>
        </w:rPr>
        <w:t>之间对投标有关的所有往来通知、函件和投标文件均使用中文。投标人随投标文件提供的证明文件和资料为其他语言的，必须附中文译文，解释这些文件，应以中文为准。</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8.2.</w:t>
      </w:r>
      <w:r>
        <w:rPr>
          <w:rFonts w:hint="eastAsia" w:ascii="宋体" w:hAnsi="宋体"/>
          <w:color w:val="auto"/>
          <w:sz w:val="24"/>
          <w:szCs w:val="24"/>
          <w:highlight w:val="none"/>
        </w:rPr>
        <w:t>除技术规范另有规定外，投标文件使用的度量衡单位均应采用中华人民共和国法定计量单位。</w:t>
      </w:r>
    </w:p>
    <w:p>
      <w:pPr>
        <w:pStyle w:val="6"/>
        <w:numPr>
          <w:ilvl w:val="0"/>
          <w:numId w:val="0"/>
        </w:numPr>
        <w:tabs>
          <w:tab w:val="clear" w:pos="510"/>
        </w:tabs>
        <w:spacing w:line="360" w:lineRule="auto"/>
        <w:ind w:left="0" w:leftChars="0" w:firstLine="510" w:firstLineChars="0"/>
        <w:rPr>
          <w:color w:val="auto"/>
          <w:highlight w:val="none"/>
        </w:rPr>
      </w:pPr>
      <w:r>
        <w:rPr>
          <w:rFonts w:hint="eastAsia" w:ascii="Times New Roman" w:hAnsi="Times New Roman" w:eastAsia="宋体" w:cs="Times New Roman"/>
          <w:b/>
          <w:bCs/>
          <w:color w:val="auto"/>
          <w:sz w:val="28"/>
          <w:szCs w:val="28"/>
          <w:highlight w:val="none"/>
          <w:lang w:val="en-US" w:eastAsia="zh-CN" w:bidi="ar-SA"/>
        </w:rPr>
        <w:t>9.</w:t>
      </w:r>
      <w:r>
        <w:rPr>
          <w:rFonts w:hint="eastAsia"/>
          <w:color w:val="auto"/>
          <w:highlight w:val="none"/>
        </w:rPr>
        <w:t>投标文件的内容及编制要求</w:t>
      </w:r>
    </w:p>
    <w:p>
      <w:pPr>
        <w:spacing w:line="360" w:lineRule="auto"/>
        <w:ind w:firstLine="480" w:firstLineChars="200"/>
        <w:rPr>
          <w:rFonts w:ascii="宋体" w:hAnsi="宋体"/>
          <w:color w:val="auto"/>
          <w:kern w:val="2"/>
          <w:sz w:val="24"/>
          <w:szCs w:val="24"/>
          <w:highlight w:val="none"/>
        </w:rPr>
      </w:pPr>
      <w:r>
        <w:rPr>
          <w:rFonts w:ascii="宋体" w:hAnsi="宋体"/>
          <w:color w:val="auto"/>
          <w:sz w:val="24"/>
          <w:highlight w:val="none"/>
        </w:rPr>
        <w:t>9.1</w:t>
      </w:r>
      <w:r>
        <w:rPr>
          <w:rFonts w:hint="eastAsia" w:ascii="宋体"/>
          <w:color w:val="auto"/>
          <w:sz w:val="24"/>
          <w:szCs w:val="24"/>
          <w:highlight w:val="none"/>
        </w:rPr>
        <w:t>招标人</w:t>
      </w:r>
      <w:r>
        <w:rPr>
          <w:rFonts w:hint="eastAsia" w:ascii="宋体" w:hAnsi="宋体"/>
          <w:color w:val="auto"/>
          <w:kern w:val="2"/>
          <w:sz w:val="24"/>
          <w:szCs w:val="24"/>
          <w:highlight w:val="none"/>
        </w:rPr>
        <w:t>只允许每个投标人报送一个方案，投标人所提交的投标文件应符合招标文件的要求，满足评标需要的全部资料。</w:t>
      </w:r>
    </w:p>
    <w:p>
      <w:pPr>
        <w:spacing w:line="360" w:lineRule="auto"/>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9.2投标人应当严格按照招标文件的要求编制投标文件。</w:t>
      </w:r>
    </w:p>
    <w:p>
      <w:pPr>
        <w:pStyle w:val="8"/>
        <w:tabs>
          <w:tab w:val="left" w:pos="1000"/>
        </w:tabs>
        <w:spacing w:line="360" w:lineRule="auto"/>
        <w:ind w:firstLine="480" w:firstLineChars="200"/>
        <w:rPr>
          <w:rFonts w:ascii="宋体"/>
          <w:color w:val="auto"/>
          <w:sz w:val="24"/>
          <w:szCs w:val="24"/>
          <w:highlight w:val="none"/>
        </w:rPr>
      </w:pPr>
      <w:r>
        <w:rPr>
          <w:rFonts w:ascii="宋体" w:hAnsi="宋体"/>
          <w:color w:val="auto"/>
          <w:sz w:val="24"/>
          <w:szCs w:val="24"/>
          <w:highlight w:val="none"/>
        </w:rPr>
        <w:t>9.3投标文件由</w:t>
      </w:r>
      <w:r>
        <w:rPr>
          <w:rFonts w:hint="eastAsia" w:ascii="宋体" w:hAnsi="宋体"/>
          <w:color w:val="auto"/>
          <w:sz w:val="24"/>
          <w:szCs w:val="24"/>
          <w:highlight w:val="none"/>
        </w:rPr>
        <w:t>资格审查文件、</w:t>
      </w:r>
      <w:r>
        <w:rPr>
          <w:rFonts w:hint="eastAsia" w:ascii="宋体"/>
          <w:color w:val="auto"/>
          <w:sz w:val="24"/>
          <w:szCs w:val="24"/>
          <w:highlight w:val="none"/>
        </w:rPr>
        <w:t>技术标、商务文件</w:t>
      </w:r>
      <w:r>
        <w:rPr>
          <w:rFonts w:hint="eastAsia" w:ascii="宋体"/>
          <w:color w:val="auto"/>
          <w:sz w:val="24"/>
          <w:szCs w:val="24"/>
          <w:highlight w:val="none"/>
          <w:lang w:val="en-US" w:eastAsia="zh-CN"/>
        </w:rPr>
        <w:t>三</w:t>
      </w:r>
      <w:r>
        <w:rPr>
          <w:rFonts w:hint="eastAsia" w:ascii="宋体"/>
          <w:color w:val="auto"/>
          <w:sz w:val="24"/>
          <w:szCs w:val="24"/>
          <w:highlight w:val="none"/>
        </w:rPr>
        <w:t>部分组成，每部分须单独装订。</w:t>
      </w:r>
    </w:p>
    <w:p>
      <w:pPr>
        <w:pStyle w:val="8"/>
        <w:tabs>
          <w:tab w:val="left" w:pos="1000"/>
        </w:tabs>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9.3.1资格审查文件</w:t>
      </w:r>
    </w:p>
    <w:p>
      <w:pPr>
        <w:spacing w:line="360" w:lineRule="auto"/>
        <w:ind w:firstLine="480" w:firstLineChars="200"/>
        <w:rPr>
          <w:rFonts w:hint="eastAsia" w:ascii="宋体"/>
          <w:color w:val="auto"/>
          <w:sz w:val="24"/>
          <w:szCs w:val="24"/>
          <w:highlight w:val="none"/>
        </w:rPr>
      </w:pPr>
      <w:r>
        <w:rPr>
          <w:rFonts w:ascii="宋体" w:hAnsi="宋体"/>
          <w:color w:val="auto"/>
          <w:sz w:val="24"/>
          <w:szCs w:val="24"/>
          <w:highlight w:val="none"/>
        </w:rPr>
        <w:t>9.3.1.1资格审查文件</w:t>
      </w:r>
      <w:r>
        <w:rPr>
          <w:rFonts w:hint="eastAsia" w:ascii="宋体"/>
          <w:color w:val="auto"/>
          <w:sz w:val="24"/>
          <w:szCs w:val="24"/>
          <w:highlight w:val="none"/>
        </w:rPr>
        <w:t>主要包括下列内容：</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①投标人基本情况表（联合体投标的，指联合体各方）；</w:t>
      </w:r>
    </w:p>
    <w:p>
      <w:pPr>
        <w:spacing w:line="360" w:lineRule="auto"/>
        <w:ind w:firstLine="480" w:firstLineChars="200"/>
        <w:rPr>
          <w:rFonts w:hint="eastAsia" w:ascii="宋体" w:hAnsi="宋体" w:cs="Arial"/>
          <w:bCs/>
          <w:color w:val="auto"/>
          <w:sz w:val="24"/>
          <w:highlight w:val="none"/>
          <w:lang w:val="en-US" w:eastAsia="zh-CN"/>
        </w:rPr>
      </w:pPr>
      <w:r>
        <w:rPr>
          <w:rFonts w:hint="eastAsia" w:ascii="宋体" w:hAnsi="宋体" w:cs="Arial"/>
          <w:bCs/>
          <w:color w:val="auto"/>
          <w:sz w:val="24"/>
          <w:highlight w:val="none"/>
          <w:lang w:eastAsia="zh-CN"/>
        </w:rPr>
        <w:t>②</w:t>
      </w:r>
      <w:r>
        <w:rPr>
          <w:rFonts w:hint="eastAsia" w:ascii="宋体" w:hAnsi="宋体" w:cs="Arial"/>
          <w:bCs/>
          <w:color w:val="auto"/>
          <w:sz w:val="24"/>
          <w:highlight w:val="none"/>
          <w:lang w:val="en-US" w:eastAsia="zh-CN"/>
        </w:rPr>
        <w:t>投标承诺书</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③</w:t>
      </w:r>
      <w:r>
        <w:rPr>
          <w:rFonts w:hint="eastAsia" w:ascii="宋体" w:hAnsi="宋体" w:cs="Arial"/>
          <w:bCs/>
          <w:color w:val="auto"/>
          <w:sz w:val="24"/>
          <w:highlight w:val="none"/>
          <w:lang w:val="en-US" w:eastAsia="zh-CN"/>
        </w:rPr>
        <w:t>法定代表人身份证明及</w:t>
      </w:r>
      <w:r>
        <w:rPr>
          <w:rFonts w:hint="eastAsia" w:ascii="宋体" w:hAnsi="宋体" w:cs="Arial"/>
          <w:bCs/>
          <w:color w:val="auto"/>
          <w:sz w:val="24"/>
          <w:highlight w:val="none"/>
        </w:rPr>
        <w:t>授权委托书</w:t>
      </w:r>
      <w:r>
        <w:rPr>
          <w:rFonts w:hint="eastAsia" w:ascii="宋体" w:hAnsi="宋体" w:cs="Arial"/>
          <w:bCs/>
          <w:color w:val="auto"/>
          <w:sz w:val="24"/>
          <w:highlight w:val="none"/>
          <w:lang w:eastAsia="zh-CN"/>
        </w:rPr>
        <w:t>（</w:t>
      </w:r>
      <w:r>
        <w:rPr>
          <w:rFonts w:hint="eastAsia" w:ascii="宋体" w:hAnsi="宋体" w:cs="Arial"/>
          <w:bCs/>
          <w:color w:val="auto"/>
          <w:sz w:val="24"/>
          <w:highlight w:val="none"/>
          <w:lang w:val="en-US" w:eastAsia="zh-CN"/>
        </w:rPr>
        <w:t>如有</w:t>
      </w:r>
      <w:r>
        <w:rPr>
          <w:rFonts w:hint="eastAsia" w:ascii="宋体" w:hAnsi="宋体" w:cs="Arial"/>
          <w:bCs/>
          <w:color w:val="auto"/>
          <w:sz w:val="24"/>
          <w:highlight w:val="none"/>
          <w:lang w:eastAsia="zh-CN"/>
        </w:rPr>
        <w:t>）</w:t>
      </w:r>
      <w:r>
        <w:rPr>
          <w:rFonts w:hint="eastAsia" w:ascii="宋体" w:hAnsi="宋体" w:cs="Arial"/>
          <w:bCs/>
          <w:color w:val="auto"/>
          <w:sz w:val="24"/>
          <w:highlight w:val="none"/>
        </w:rPr>
        <w:t>；</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lang w:eastAsia="zh-CN"/>
        </w:rPr>
        <w:t>④</w:t>
      </w:r>
      <w:r>
        <w:rPr>
          <w:rFonts w:hint="eastAsia" w:ascii="宋体" w:hAnsi="宋体" w:cs="Arial"/>
          <w:bCs/>
          <w:color w:val="auto"/>
          <w:sz w:val="24"/>
          <w:highlight w:val="none"/>
        </w:rPr>
        <w:t>项目负责人简历表</w:t>
      </w:r>
      <w:r>
        <w:rPr>
          <w:rFonts w:hint="eastAsia" w:ascii="宋体" w:hAnsi="宋体" w:cs="Arial"/>
          <w:bCs/>
          <w:color w:val="auto"/>
          <w:sz w:val="24"/>
          <w:highlight w:val="none"/>
          <w:lang w:val="en-US" w:eastAsia="zh-CN"/>
        </w:rPr>
        <w:t>及</w:t>
      </w:r>
      <w:r>
        <w:rPr>
          <w:rFonts w:hint="eastAsia" w:ascii="宋体" w:hAnsi="宋体" w:cs="Arial"/>
          <w:bCs/>
          <w:color w:val="auto"/>
          <w:sz w:val="24"/>
          <w:highlight w:val="none"/>
        </w:rPr>
        <w:t>项目负责人相关证书</w:t>
      </w:r>
      <w:r>
        <w:rPr>
          <w:rFonts w:hint="eastAsia" w:ascii="宋体" w:hAnsi="宋体" w:cs="Arial"/>
          <w:bCs/>
          <w:color w:val="auto"/>
          <w:sz w:val="24"/>
          <w:highlight w:val="none"/>
          <w:lang w:val="en-US" w:eastAsia="zh-CN"/>
        </w:rPr>
        <w:t>复制件</w:t>
      </w:r>
      <w:r>
        <w:rPr>
          <w:rFonts w:hint="eastAsia" w:ascii="宋体" w:hAnsi="宋体" w:cs="Arial"/>
          <w:bCs/>
          <w:color w:val="auto"/>
          <w:sz w:val="24"/>
          <w:highlight w:val="none"/>
        </w:rPr>
        <w:t>及个人养老保险缴纳证明；</w:t>
      </w:r>
    </w:p>
    <w:p>
      <w:pPr>
        <w:spacing w:line="360" w:lineRule="auto"/>
        <w:ind w:firstLine="480" w:firstLineChars="200"/>
        <w:rPr>
          <w:rFonts w:hint="eastAsia" w:ascii="宋体" w:hAnsi="宋体" w:cs="Arial"/>
          <w:bCs/>
          <w:color w:val="auto"/>
          <w:sz w:val="24"/>
          <w:highlight w:val="none"/>
          <w:lang w:eastAsia="zh-CN"/>
        </w:rPr>
      </w:pPr>
      <w:r>
        <w:rPr>
          <w:rFonts w:hint="eastAsia" w:ascii="宋体" w:hAnsi="宋体" w:cs="Arial"/>
          <w:bCs/>
          <w:color w:val="auto"/>
          <w:sz w:val="24"/>
          <w:highlight w:val="none"/>
        </w:rPr>
        <w:t>⑤</w:t>
      </w:r>
      <w:r>
        <w:rPr>
          <w:rFonts w:hint="eastAsia" w:ascii="宋体" w:hAnsi="宋体" w:cs="Arial"/>
          <w:bCs/>
          <w:color w:val="auto"/>
          <w:sz w:val="24"/>
          <w:highlight w:val="none"/>
          <w:lang w:val="en-US" w:eastAsia="zh-CN"/>
        </w:rPr>
        <w:t>项目负责人的类似项目业绩（</w:t>
      </w:r>
      <w:r>
        <w:rPr>
          <w:rFonts w:hint="eastAsia" w:ascii="宋体" w:hAnsi="宋体" w:cs="Arial"/>
          <w:bCs/>
          <w:color w:val="auto"/>
          <w:sz w:val="24"/>
          <w:highlight w:val="none"/>
        </w:rPr>
        <w:t>有效证明材料</w:t>
      </w:r>
      <w:r>
        <w:rPr>
          <w:rFonts w:hint="eastAsia" w:ascii="宋体" w:hAnsi="宋体" w:cs="Arial"/>
          <w:bCs/>
          <w:color w:val="auto"/>
          <w:sz w:val="24"/>
          <w:highlight w:val="none"/>
          <w:lang w:val="en-US" w:eastAsia="zh-CN"/>
        </w:rPr>
        <w:t>同招标公告中资格审查要求业绩证明材料</w:t>
      </w:r>
      <w:r>
        <w:rPr>
          <w:rFonts w:hint="eastAsia" w:ascii="宋体" w:hAnsi="宋体" w:cs="Arial"/>
          <w:bCs/>
          <w:color w:val="auto"/>
          <w:sz w:val="24"/>
          <w:highlight w:val="none"/>
        </w:rPr>
        <w:t>】</w:t>
      </w:r>
      <w:r>
        <w:rPr>
          <w:rFonts w:hint="eastAsia" w:ascii="宋体" w:hAnsi="宋体" w:cs="Arial"/>
          <w:bCs/>
          <w:color w:val="auto"/>
          <w:sz w:val="24"/>
          <w:highlight w:val="none"/>
          <w:lang w:eastAsia="zh-CN"/>
        </w:rPr>
        <w:t>。</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⑥拟派驻本项目人员一览表；</w:t>
      </w:r>
    </w:p>
    <w:p>
      <w:pPr>
        <w:spacing w:line="360" w:lineRule="auto"/>
        <w:ind w:firstLine="480" w:firstLineChars="200"/>
        <w:rPr>
          <w:rFonts w:hint="default" w:ascii="宋体" w:hAnsi="宋体" w:eastAsia="宋体" w:cs="Arial"/>
          <w:bCs/>
          <w:color w:val="auto"/>
          <w:sz w:val="24"/>
          <w:highlight w:val="none"/>
          <w:lang w:val="en-US" w:eastAsia="zh-CN"/>
        </w:rPr>
      </w:pPr>
      <w:r>
        <w:rPr>
          <w:rFonts w:hint="eastAsia" w:ascii="宋体" w:hAnsi="宋体" w:cs="Arial"/>
          <w:bCs/>
          <w:color w:val="auto"/>
          <w:sz w:val="24"/>
          <w:highlight w:val="none"/>
        </w:rPr>
        <w:t>⑦其他基本配备人员相关证明材料</w:t>
      </w:r>
      <w:r>
        <w:rPr>
          <w:rFonts w:hint="eastAsia" w:ascii="宋体" w:hAnsi="宋体" w:cs="Arial"/>
          <w:bCs/>
          <w:color w:val="auto"/>
          <w:sz w:val="24"/>
          <w:highlight w:val="none"/>
          <w:lang w:eastAsia="zh-CN"/>
        </w:rPr>
        <w:t>（</w:t>
      </w:r>
      <w:r>
        <w:rPr>
          <w:rFonts w:hint="eastAsia" w:ascii="宋体" w:hAnsi="宋体" w:eastAsia="宋体" w:cs="Arial"/>
          <w:bCs/>
          <w:color w:val="auto"/>
          <w:kern w:val="0"/>
          <w:sz w:val="24"/>
          <w:szCs w:val="20"/>
          <w:highlight w:val="none"/>
        </w:rPr>
        <w:t>如注册证书、职称证书、聘用合同、个人养老保险缴纳证明等）</w:t>
      </w:r>
      <w:r>
        <w:rPr>
          <w:rFonts w:hint="eastAsia" w:ascii="宋体" w:hAnsi="宋体" w:cs="Arial"/>
          <w:bCs/>
          <w:color w:val="auto"/>
          <w:sz w:val="24"/>
          <w:highlight w:val="none"/>
          <w:lang w:eastAsia="zh-CN"/>
        </w:rPr>
        <w:t>，</w:t>
      </w:r>
      <w:r>
        <w:rPr>
          <w:rFonts w:hint="eastAsia" w:ascii="宋体" w:hAnsi="宋体" w:cs="Arial"/>
          <w:bCs/>
          <w:color w:val="auto"/>
          <w:sz w:val="24"/>
          <w:highlight w:val="none"/>
        </w:rPr>
        <w:t>其他基本配备人员须为投标企业在职职工（在职职工不包括离、退休返聘人员），</w:t>
      </w:r>
      <w:r>
        <w:rPr>
          <w:rFonts w:hint="eastAsia" w:ascii="宋体" w:hAnsi="宋体" w:cs="Arial"/>
          <w:bCs/>
          <w:color w:val="auto"/>
          <w:sz w:val="24"/>
          <w:highlight w:val="none"/>
          <w:lang w:val="en-US" w:eastAsia="zh-CN"/>
        </w:rPr>
        <w:t>并</w:t>
      </w:r>
      <w:r>
        <w:rPr>
          <w:rFonts w:hint="eastAsia" w:ascii="宋体" w:hAnsi="宋体" w:cs="Arial"/>
          <w:bCs/>
          <w:color w:val="auto"/>
          <w:sz w:val="24"/>
          <w:highlight w:val="none"/>
        </w:rPr>
        <w:t>提供缴费期限包含2023年0</w:t>
      </w:r>
      <w:r>
        <w:rPr>
          <w:rFonts w:hint="eastAsia" w:ascii="宋体" w:hAnsi="宋体" w:cs="Arial"/>
          <w:bCs/>
          <w:color w:val="auto"/>
          <w:sz w:val="24"/>
          <w:highlight w:val="none"/>
          <w:lang w:val="en-US" w:eastAsia="zh-CN"/>
        </w:rPr>
        <w:t>7</w:t>
      </w:r>
      <w:r>
        <w:rPr>
          <w:rFonts w:hint="eastAsia" w:ascii="宋体" w:hAnsi="宋体" w:cs="Arial"/>
          <w:bCs/>
          <w:color w:val="auto"/>
          <w:sz w:val="24"/>
          <w:highlight w:val="none"/>
        </w:rPr>
        <w:t>月、2023年0</w:t>
      </w:r>
      <w:r>
        <w:rPr>
          <w:rFonts w:hint="eastAsia" w:ascii="宋体" w:hAnsi="宋体" w:cs="Arial"/>
          <w:bCs/>
          <w:color w:val="auto"/>
          <w:sz w:val="24"/>
          <w:highlight w:val="none"/>
          <w:lang w:val="en-US" w:eastAsia="zh-CN"/>
        </w:rPr>
        <w:t>8</w:t>
      </w:r>
      <w:r>
        <w:rPr>
          <w:rFonts w:hint="eastAsia" w:ascii="宋体" w:hAnsi="宋体" w:cs="Arial"/>
          <w:bCs/>
          <w:color w:val="auto"/>
          <w:sz w:val="24"/>
          <w:highlight w:val="none"/>
        </w:rPr>
        <w:t>月、2023年0</w:t>
      </w:r>
      <w:r>
        <w:rPr>
          <w:rFonts w:hint="eastAsia" w:ascii="宋体" w:hAnsi="宋体" w:cs="Arial"/>
          <w:bCs/>
          <w:color w:val="auto"/>
          <w:sz w:val="24"/>
          <w:highlight w:val="none"/>
          <w:lang w:val="en-US" w:eastAsia="zh-CN"/>
        </w:rPr>
        <w:t>9</w:t>
      </w:r>
      <w:r>
        <w:rPr>
          <w:rFonts w:hint="eastAsia" w:ascii="宋体" w:hAnsi="宋体" w:cs="Arial"/>
          <w:bCs/>
          <w:color w:val="auto"/>
          <w:sz w:val="24"/>
          <w:highlight w:val="none"/>
        </w:rPr>
        <w:t>月投标人所属社保机构出具的个人养老保险缴纳清单或证明，以到账为准（除分公司外，缴纳单位和投标单位名称必须一致，并加盖社保缴费专用章或电子专用章）；若为事业编制的，以提供缴费期限包含2023年0</w:t>
      </w:r>
      <w:r>
        <w:rPr>
          <w:rFonts w:hint="eastAsia" w:ascii="宋体" w:hAnsi="宋体" w:cs="Arial"/>
          <w:bCs/>
          <w:color w:val="auto"/>
          <w:sz w:val="24"/>
          <w:highlight w:val="none"/>
          <w:lang w:val="en-US" w:eastAsia="zh-CN"/>
        </w:rPr>
        <w:t>7</w:t>
      </w:r>
      <w:r>
        <w:rPr>
          <w:rFonts w:hint="eastAsia" w:ascii="宋体" w:hAnsi="宋体" w:cs="Arial"/>
          <w:bCs/>
          <w:color w:val="auto"/>
          <w:sz w:val="24"/>
          <w:highlight w:val="none"/>
        </w:rPr>
        <w:t>月、2023年0</w:t>
      </w:r>
      <w:r>
        <w:rPr>
          <w:rFonts w:hint="eastAsia" w:ascii="宋体" w:hAnsi="宋体" w:cs="Arial"/>
          <w:bCs/>
          <w:color w:val="auto"/>
          <w:sz w:val="24"/>
          <w:highlight w:val="none"/>
          <w:lang w:val="en-US" w:eastAsia="zh-CN"/>
        </w:rPr>
        <w:t>8</w:t>
      </w:r>
      <w:r>
        <w:rPr>
          <w:rFonts w:hint="eastAsia" w:ascii="宋体" w:hAnsi="宋体" w:cs="Arial"/>
          <w:bCs/>
          <w:color w:val="auto"/>
          <w:sz w:val="24"/>
          <w:highlight w:val="none"/>
        </w:rPr>
        <w:t>月、2023年0</w:t>
      </w:r>
      <w:r>
        <w:rPr>
          <w:rFonts w:hint="eastAsia" w:ascii="宋体" w:hAnsi="宋体" w:cs="Arial"/>
          <w:bCs/>
          <w:color w:val="auto"/>
          <w:sz w:val="24"/>
          <w:highlight w:val="none"/>
          <w:lang w:val="en-US" w:eastAsia="zh-CN"/>
        </w:rPr>
        <w:t>9</w:t>
      </w:r>
      <w:r>
        <w:rPr>
          <w:rFonts w:hint="eastAsia" w:ascii="宋体" w:hAnsi="宋体" w:cs="Arial"/>
          <w:bCs/>
          <w:color w:val="auto"/>
          <w:sz w:val="24"/>
          <w:highlight w:val="none"/>
        </w:rPr>
        <w:t>月由人事代理中心出具的</w:t>
      </w:r>
      <w:r>
        <w:rPr>
          <w:rFonts w:hint="eastAsia" w:ascii="Times New Roman" w:hAnsi="宋体" w:eastAsia="宋体" w:cs="宋体"/>
          <w:color w:val="auto"/>
          <w:sz w:val="24"/>
          <w:szCs w:val="24"/>
          <w:highlight w:val="none"/>
        </w:rPr>
        <w:t>个人养老保险缴纳清单或证明</w:t>
      </w:r>
      <w:r>
        <w:rPr>
          <w:rFonts w:hint="eastAsia" w:ascii="宋体" w:hAnsi="宋体" w:cs="Arial"/>
          <w:bCs/>
          <w:color w:val="auto"/>
          <w:sz w:val="24"/>
          <w:highlight w:val="none"/>
        </w:rPr>
        <w:t>（需加盖人事代理中心证明专用章【或电子专用章】）。</w:t>
      </w:r>
      <w:r>
        <w:rPr>
          <w:rFonts w:hint="eastAsia" w:ascii="宋体" w:hAnsi="宋体" w:cs="Arial"/>
          <w:bCs/>
          <w:color w:val="auto"/>
          <w:sz w:val="24"/>
          <w:highlight w:val="none"/>
          <w:lang w:val="en-US" w:eastAsia="zh-CN"/>
        </w:rPr>
        <w:t>项目管理人员配套其它协调人员无须提供社保。</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⑧投标保证金缴纳证明；</w:t>
      </w:r>
    </w:p>
    <w:p>
      <w:pPr>
        <w:spacing w:line="360" w:lineRule="auto"/>
        <w:ind w:firstLine="480" w:firstLineChars="200"/>
        <w:rPr>
          <w:rFonts w:ascii="宋体" w:hAnsi="宋体" w:cs="Arial"/>
          <w:bCs/>
          <w:color w:val="auto"/>
          <w:sz w:val="24"/>
          <w:highlight w:val="none"/>
        </w:rPr>
      </w:pPr>
      <w:r>
        <w:rPr>
          <w:rFonts w:hint="eastAsia" w:ascii="宋体" w:hAnsi="宋体"/>
          <w:color w:val="auto"/>
          <w:sz w:val="24"/>
          <w:szCs w:val="24"/>
          <w:highlight w:val="none"/>
        </w:rPr>
        <w:t>⑨投标人（</w:t>
      </w:r>
      <w:r>
        <w:rPr>
          <w:rFonts w:hint="eastAsia" w:ascii="宋体" w:hAnsi="宋体" w:cs="Arial"/>
          <w:bCs/>
          <w:color w:val="auto"/>
          <w:sz w:val="24"/>
          <w:highlight w:val="none"/>
        </w:rPr>
        <w:t>含联合体成员</w:t>
      </w:r>
      <w:r>
        <w:rPr>
          <w:rFonts w:hint="eastAsia" w:ascii="宋体" w:hAnsi="宋体"/>
          <w:color w:val="auto"/>
          <w:sz w:val="24"/>
          <w:szCs w:val="24"/>
          <w:highlight w:val="none"/>
        </w:rPr>
        <w:t>）及拟派</w:t>
      </w: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负</w:t>
      </w:r>
      <w:r>
        <w:rPr>
          <w:rFonts w:hint="eastAsia" w:ascii="宋体" w:hAnsi="宋体" w:cs="Arial"/>
          <w:bCs/>
          <w:color w:val="auto"/>
          <w:sz w:val="24"/>
          <w:highlight w:val="none"/>
        </w:rPr>
        <w:t>责人</w:t>
      </w:r>
      <w:r>
        <w:rPr>
          <w:rFonts w:hint="eastAsia" w:ascii="宋体" w:hAnsi="宋体" w:cs="Arial"/>
          <w:bCs/>
          <w:color w:val="auto"/>
          <w:sz w:val="24"/>
          <w:highlight w:val="none"/>
          <w:lang w:val="en-US" w:eastAsia="zh-CN"/>
        </w:rPr>
        <w:t>及分项负责人</w:t>
      </w:r>
      <w:r>
        <w:rPr>
          <w:rFonts w:hint="eastAsia" w:ascii="宋体" w:hAnsi="宋体" w:cs="Arial"/>
          <w:bCs/>
          <w:color w:val="auto"/>
          <w:sz w:val="24"/>
          <w:highlight w:val="none"/>
        </w:rPr>
        <w:t>自201</w:t>
      </w:r>
      <w:r>
        <w:rPr>
          <w:rFonts w:ascii="宋体" w:hAnsi="宋体" w:cs="Arial"/>
          <w:bCs/>
          <w:color w:val="auto"/>
          <w:sz w:val="24"/>
          <w:highlight w:val="none"/>
        </w:rPr>
        <w:t>8</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1</w:t>
      </w:r>
      <w:r>
        <w:rPr>
          <w:rFonts w:hint="eastAsia" w:ascii="宋体" w:hAnsi="宋体" w:cs="Arial"/>
          <w:bCs/>
          <w:color w:val="auto"/>
          <w:sz w:val="24"/>
          <w:highlight w:val="none"/>
        </w:rPr>
        <w:t>月1日以来无行贿犯罪记录承诺书；</w:t>
      </w:r>
    </w:p>
    <w:p>
      <w:pPr>
        <w:spacing w:line="360" w:lineRule="auto"/>
        <w:ind w:firstLine="480" w:firstLineChars="200"/>
        <w:rPr>
          <w:rFonts w:ascii="宋体" w:hAnsi="宋体"/>
          <w:color w:val="auto"/>
          <w:sz w:val="24"/>
          <w:szCs w:val="24"/>
          <w:highlight w:val="none"/>
        </w:rPr>
      </w:pPr>
      <w:r>
        <w:rPr>
          <w:rFonts w:hint="eastAsia" w:ascii="宋体" w:hAnsi="宋体" w:cs="Arial"/>
          <w:bCs/>
          <w:color w:val="auto"/>
          <w:sz w:val="24"/>
          <w:highlight w:val="none"/>
        </w:rPr>
        <w:t>⑩投标人（含联合体成员）及拟派</w:t>
      </w:r>
      <w:r>
        <w:rPr>
          <w:rFonts w:hint="eastAsia" w:ascii="宋体" w:hAnsi="宋体" w:cs="Arial"/>
          <w:bCs/>
          <w:color w:val="auto"/>
          <w:sz w:val="24"/>
          <w:highlight w:val="none"/>
          <w:lang w:val="en-US" w:eastAsia="zh-CN"/>
        </w:rPr>
        <w:t>项目</w:t>
      </w:r>
      <w:r>
        <w:rPr>
          <w:rFonts w:hint="eastAsia" w:ascii="宋体" w:hAnsi="宋体" w:cs="Arial"/>
          <w:bCs/>
          <w:color w:val="auto"/>
          <w:sz w:val="24"/>
          <w:highlight w:val="none"/>
        </w:rPr>
        <w:t>负责人未被限</w:t>
      </w:r>
      <w:r>
        <w:rPr>
          <w:rFonts w:hint="eastAsia" w:ascii="宋体" w:hAnsi="宋体"/>
          <w:color w:val="auto"/>
          <w:sz w:val="24"/>
          <w:szCs w:val="24"/>
          <w:highlight w:val="none"/>
        </w:rPr>
        <w:t>制投标承诺书；</w:t>
      </w:r>
    </w:p>
    <w:p>
      <w:pPr>
        <w:spacing w:line="360" w:lineRule="auto"/>
        <w:ind w:firstLine="480" w:firstLineChars="200"/>
        <w:rPr>
          <w:color w:val="auto"/>
          <w:highlight w:val="none"/>
        </w:rPr>
      </w:pPr>
      <w:r>
        <w:rPr>
          <w:rFonts w:hint="eastAsia" w:ascii="宋体" w:hAnsi="宋体"/>
          <w:color w:val="auto"/>
          <w:kern w:val="2"/>
          <w:sz w:val="24"/>
          <w:szCs w:val="24"/>
          <w:highlight w:val="none"/>
        </w:rPr>
        <w:t>⑪联合体协议书（联合体投标的提供，格式详见附件）；</w:t>
      </w:r>
    </w:p>
    <w:p>
      <w:pPr>
        <w:spacing w:line="360" w:lineRule="auto"/>
        <w:ind w:firstLine="480" w:firstLineChars="200"/>
        <w:rPr>
          <w:color w:val="auto"/>
          <w:sz w:val="24"/>
          <w:szCs w:val="24"/>
          <w:highlight w:val="none"/>
        </w:rPr>
      </w:pPr>
      <w:r>
        <w:rPr>
          <w:rFonts w:hint="eastAsia"/>
          <w:color w:val="auto"/>
          <w:sz w:val="24"/>
          <w:szCs w:val="24"/>
          <w:highlight w:val="none"/>
        </w:rPr>
        <w:t>⑫</w:t>
      </w:r>
      <w:r>
        <w:rPr>
          <w:color w:val="auto"/>
          <w:sz w:val="24"/>
          <w:szCs w:val="24"/>
          <w:highlight w:val="none"/>
        </w:rPr>
        <w:t>其他需补充的资料。</w:t>
      </w:r>
    </w:p>
    <w:p>
      <w:pPr>
        <w:spacing w:line="360" w:lineRule="auto"/>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注：投标人营业执照、资质证书、基本账户开户证明、投标保证金缴纳证明等目录中其他材料的</w:t>
      </w:r>
      <w:r>
        <w:rPr>
          <w:rFonts w:hint="eastAsia" w:ascii="宋体" w:hAnsi="宋体" w:eastAsia="宋体" w:cs="Times New Roman"/>
          <w:color w:val="auto"/>
          <w:kern w:val="2"/>
          <w:sz w:val="24"/>
          <w:szCs w:val="24"/>
          <w:highlight w:val="none"/>
          <w:lang w:val="en-US" w:eastAsia="zh-CN"/>
        </w:rPr>
        <w:t>复制件</w:t>
      </w:r>
      <w:r>
        <w:rPr>
          <w:rFonts w:hint="eastAsia" w:ascii="宋体" w:hAnsi="宋体" w:eastAsia="宋体" w:cs="Times New Roman"/>
          <w:color w:val="auto"/>
          <w:kern w:val="2"/>
          <w:sz w:val="24"/>
          <w:szCs w:val="24"/>
          <w:highlight w:val="none"/>
        </w:rPr>
        <w:t>均须加盖投标人公章。</w:t>
      </w:r>
    </w:p>
    <w:p>
      <w:pPr>
        <w:spacing w:line="360" w:lineRule="auto"/>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9.3.1.2资格审查文件的编制要求：</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资格审查文件正本和副本的封面均需标明投标人全称，资格审查文件的封面须清楚地注明“正本”和“副本”，并由投标人的法定代表人签字或盖章并盖单位章。正副本均应单独装订成册，正、副本正文的排版格式应相同。</w:t>
      </w:r>
    </w:p>
    <w:p>
      <w:pPr>
        <w:pStyle w:val="8"/>
        <w:tabs>
          <w:tab w:val="left" w:pos="1000"/>
        </w:tabs>
        <w:spacing w:line="360" w:lineRule="auto"/>
        <w:ind w:firstLine="480" w:firstLineChars="200"/>
        <w:rPr>
          <w:rFonts w:ascii="宋体"/>
          <w:color w:val="auto"/>
          <w:sz w:val="24"/>
          <w:szCs w:val="24"/>
          <w:highlight w:val="none"/>
        </w:rPr>
      </w:pPr>
      <w:r>
        <w:rPr>
          <w:rFonts w:ascii="宋体" w:hAnsi="宋体"/>
          <w:color w:val="auto"/>
          <w:sz w:val="24"/>
          <w:szCs w:val="24"/>
          <w:highlight w:val="none"/>
        </w:rPr>
        <w:t>9.3.2</w:t>
      </w:r>
      <w:r>
        <w:rPr>
          <w:rFonts w:hint="eastAsia" w:ascii="宋体"/>
          <w:color w:val="auto"/>
          <w:sz w:val="24"/>
          <w:szCs w:val="24"/>
          <w:highlight w:val="none"/>
        </w:rPr>
        <w:t>技术标</w:t>
      </w:r>
    </w:p>
    <w:p>
      <w:pPr>
        <w:pStyle w:val="8"/>
        <w:tabs>
          <w:tab w:val="left" w:pos="1000"/>
        </w:tabs>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技术标主要内容详见技术标（评分标准）</w:t>
      </w:r>
      <w:r>
        <w:rPr>
          <w:rFonts w:hint="eastAsia" w:ascii="宋体" w:hAnsi="宋体" w:cs="宋体"/>
          <w:color w:val="auto"/>
          <w:sz w:val="24"/>
          <w:szCs w:val="24"/>
          <w:highlight w:val="none"/>
          <w:lang w:eastAsia="zh-CN"/>
        </w:rPr>
        <w:t>。</w:t>
      </w:r>
    </w:p>
    <w:p>
      <w:pPr>
        <w:spacing w:line="360" w:lineRule="auto"/>
        <w:ind w:firstLine="480" w:firstLineChars="200"/>
        <w:rPr>
          <w:rFonts w:hint="eastAsia" w:ascii="宋体" w:hAnsi="宋体" w:cs="宋体"/>
          <w:color w:val="auto"/>
          <w:sz w:val="24"/>
          <w:szCs w:val="24"/>
          <w:highlight w:val="none"/>
        </w:rPr>
      </w:pPr>
      <w:r>
        <w:rPr>
          <w:rFonts w:hint="eastAsia" w:ascii="宋体" w:hAnsi="宋体"/>
          <w:color w:val="auto"/>
          <w:kern w:val="2"/>
          <w:sz w:val="24"/>
          <w:szCs w:val="24"/>
          <w:highlight w:val="none"/>
          <w:lang w:val="en-US" w:eastAsia="zh-CN"/>
        </w:rPr>
        <w:t>9.3.2.1</w:t>
      </w:r>
      <w:r>
        <w:rPr>
          <w:rFonts w:hint="eastAsia" w:ascii="宋体" w:hAnsi="宋体" w:cs="宋体"/>
          <w:color w:val="auto"/>
          <w:sz w:val="24"/>
          <w:szCs w:val="24"/>
          <w:highlight w:val="none"/>
        </w:rPr>
        <w:t>技术标的编制要求：</w:t>
      </w:r>
    </w:p>
    <w:p>
      <w:pPr>
        <w:spacing w:line="360" w:lineRule="auto"/>
        <w:ind w:firstLine="480" w:firstLineChars="200"/>
        <w:rPr>
          <w:rFonts w:ascii="宋体" w:hAnsi="宋体"/>
          <w:color w:val="auto"/>
          <w:kern w:val="2"/>
          <w:sz w:val="24"/>
          <w:szCs w:val="24"/>
          <w:highlight w:val="none"/>
        </w:rPr>
      </w:pPr>
      <w:r>
        <w:rPr>
          <w:rFonts w:hint="eastAsia" w:ascii="宋体" w:hAnsi="宋体"/>
          <w:color w:val="auto"/>
          <w:kern w:val="2"/>
          <w:sz w:val="24"/>
          <w:szCs w:val="24"/>
          <w:highlight w:val="none"/>
        </w:rPr>
        <w:t>技术标</w:t>
      </w:r>
      <w:r>
        <w:rPr>
          <w:rFonts w:ascii="宋体" w:hAnsi="宋体"/>
          <w:color w:val="auto"/>
          <w:kern w:val="2"/>
          <w:sz w:val="24"/>
          <w:szCs w:val="24"/>
          <w:highlight w:val="none"/>
        </w:rPr>
        <w:t>的封面须清楚地注明“正本”和“副本”，</w:t>
      </w:r>
      <w:r>
        <w:rPr>
          <w:rFonts w:hint="eastAsia" w:ascii="宋体"/>
          <w:b/>
          <w:bCs/>
          <w:color w:val="auto"/>
          <w:kern w:val="2"/>
          <w:sz w:val="24"/>
          <w:szCs w:val="24"/>
          <w:highlight w:val="none"/>
        </w:rPr>
        <w:t>正本的封面应标明投标人全称</w:t>
      </w:r>
      <w:r>
        <w:rPr>
          <w:rFonts w:hint="eastAsia" w:ascii="宋体" w:hAnsi="宋体"/>
          <w:color w:val="auto"/>
          <w:kern w:val="2"/>
          <w:sz w:val="24"/>
          <w:szCs w:val="24"/>
          <w:highlight w:val="none"/>
        </w:rPr>
        <w:t>，并由投标人的法定代表人签字或盖章并盖单位章。正副本均应单独装订成册，正、副本正文的排版格式应相同。</w:t>
      </w:r>
    </w:p>
    <w:p>
      <w:pPr>
        <w:spacing w:line="360" w:lineRule="auto"/>
        <w:ind w:firstLine="480" w:firstLineChars="200"/>
        <w:rPr>
          <w:rFonts w:ascii="宋体"/>
          <w:color w:val="auto"/>
          <w:sz w:val="24"/>
          <w:szCs w:val="24"/>
          <w:highlight w:val="none"/>
        </w:rPr>
      </w:pPr>
      <w:r>
        <w:rPr>
          <w:rFonts w:ascii="宋体" w:hAnsi="宋体"/>
          <w:color w:val="auto"/>
          <w:kern w:val="2"/>
          <w:sz w:val="24"/>
          <w:szCs w:val="24"/>
          <w:highlight w:val="none"/>
        </w:rPr>
        <w:t>9.3.</w:t>
      </w:r>
      <w:r>
        <w:rPr>
          <w:rFonts w:hint="eastAsia" w:ascii="宋体" w:hAnsi="宋体"/>
          <w:color w:val="auto"/>
          <w:kern w:val="2"/>
          <w:sz w:val="24"/>
          <w:szCs w:val="24"/>
          <w:highlight w:val="none"/>
          <w:lang w:val="en-US" w:eastAsia="zh-CN"/>
        </w:rPr>
        <w:t>3</w:t>
      </w:r>
      <w:r>
        <w:rPr>
          <w:rFonts w:hint="eastAsia" w:ascii="宋体"/>
          <w:color w:val="auto"/>
          <w:sz w:val="24"/>
          <w:szCs w:val="24"/>
          <w:highlight w:val="none"/>
        </w:rPr>
        <w:t>商务文件</w:t>
      </w:r>
    </w:p>
    <w:p>
      <w:pPr>
        <w:spacing w:line="360" w:lineRule="auto"/>
        <w:ind w:firstLine="480" w:firstLineChars="200"/>
        <w:rPr>
          <w:color w:val="auto"/>
          <w:highlight w:val="none"/>
        </w:rPr>
      </w:pPr>
      <w:r>
        <w:rPr>
          <w:rFonts w:ascii="宋体"/>
          <w:color w:val="auto"/>
          <w:sz w:val="24"/>
          <w:szCs w:val="24"/>
          <w:highlight w:val="none"/>
        </w:rPr>
        <w:t>9.3.</w:t>
      </w:r>
      <w:r>
        <w:rPr>
          <w:rFonts w:hint="eastAsia" w:ascii="宋体"/>
          <w:color w:val="auto"/>
          <w:sz w:val="24"/>
          <w:szCs w:val="24"/>
          <w:highlight w:val="none"/>
          <w:lang w:val="en-US" w:eastAsia="zh-CN"/>
        </w:rPr>
        <w:t>3</w:t>
      </w:r>
      <w:r>
        <w:rPr>
          <w:rFonts w:ascii="宋体"/>
          <w:color w:val="auto"/>
          <w:sz w:val="24"/>
          <w:szCs w:val="24"/>
          <w:highlight w:val="none"/>
        </w:rPr>
        <w:t>.1</w:t>
      </w:r>
      <w:r>
        <w:rPr>
          <w:rFonts w:hint="eastAsia" w:ascii="宋体"/>
          <w:color w:val="auto"/>
          <w:sz w:val="24"/>
          <w:szCs w:val="24"/>
          <w:highlight w:val="none"/>
        </w:rPr>
        <w:t>商务文件主要包括下列内容：</w:t>
      </w:r>
    </w:p>
    <w:p>
      <w:pPr>
        <w:spacing w:line="360" w:lineRule="auto"/>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rPr>
        <w:t>（</w:t>
      </w:r>
      <w:r>
        <w:rPr>
          <w:rFonts w:hint="eastAsia" w:ascii="宋体" w:hAnsi="宋体"/>
          <w:color w:val="auto"/>
          <w:kern w:val="2"/>
          <w:sz w:val="24"/>
          <w:szCs w:val="24"/>
          <w:highlight w:val="none"/>
          <w:lang w:val="en-US" w:eastAsia="zh-CN"/>
        </w:rPr>
        <w:t>1</w:t>
      </w:r>
      <w:r>
        <w:rPr>
          <w:rFonts w:ascii="宋体" w:hAnsi="宋体"/>
          <w:color w:val="auto"/>
          <w:kern w:val="2"/>
          <w:sz w:val="24"/>
          <w:szCs w:val="24"/>
          <w:highlight w:val="none"/>
        </w:rPr>
        <w:t>）投标函</w:t>
      </w:r>
      <w:r>
        <w:rPr>
          <w:rFonts w:hint="eastAsia" w:ascii="宋体" w:hAnsi="宋体"/>
          <w:color w:val="auto"/>
          <w:kern w:val="2"/>
          <w:sz w:val="24"/>
          <w:szCs w:val="24"/>
          <w:highlight w:val="none"/>
        </w:rPr>
        <w:t>；</w:t>
      </w:r>
    </w:p>
    <w:p>
      <w:pPr>
        <w:spacing w:line="360" w:lineRule="auto"/>
        <w:ind w:firstLine="480" w:firstLineChars="200"/>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rPr>
        <w:t>（</w:t>
      </w:r>
      <w:r>
        <w:rPr>
          <w:rFonts w:hint="eastAsia" w:ascii="宋体" w:hAnsi="宋体"/>
          <w:color w:val="auto"/>
          <w:kern w:val="2"/>
          <w:sz w:val="24"/>
          <w:szCs w:val="24"/>
          <w:highlight w:val="none"/>
          <w:lang w:val="en-US" w:eastAsia="zh-CN"/>
        </w:rPr>
        <w:t>2</w:t>
      </w:r>
      <w:r>
        <w:rPr>
          <w:rFonts w:ascii="宋体" w:hAnsi="宋体"/>
          <w:color w:val="auto"/>
          <w:kern w:val="2"/>
          <w:sz w:val="24"/>
          <w:szCs w:val="24"/>
          <w:highlight w:val="none"/>
        </w:rPr>
        <w:t>）</w:t>
      </w:r>
      <w:r>
        <w:rPr>
          <w:rFonts w:hint="eastAsia" w:ascii="宋体" w:hAnsi="宋体"/>
          <w:color w:val="auto"/>
          <w:kern w:val="2"/>
          <w:sz w:val="24"/>
          <w:szCs w:val="24"/>
          <w:highlight w:val="none"/>
          <w:lang w:val="en-US" w:eastAsia="zh-CN"/>
        </w:rPr>
        <w:t>报价清单；</w:t>
      </w:r>
    </w:p>
    <w:p>
      <w:pPr>
        <w:spacing w:line="360" w:lineRule="auto"/>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9.3.</w:t>
      </w:r>
      <w:r>
        <w:rPr>
          <w:rFonts w:hint="eastAsia" w:ascii="宋体" w:hAnsi="宋体"/>
          <w:color w:val="auto"/>
          <w:kern w:val="2"/>
          <w:sz w:val="24"/>
          <w:szCs w:val="24"/>
          <w:highlight w:val="none"/>
          <w:lang w:val="en-US" w:eastAsia="zh-CN"/>
        </w:rPr>
        <w:t>3</w:t>
      </w:r>
      <w:r>
        <w:rPr>
          <w:rFonts w:ascii="宋体" w:hAnsi="宋体"/>
          <w:color w:val="auto"/>
          <w:kern w:val="2"/>
          <w:sz w:val="24"/>
          <w:szCs w:val="24"/>
          <w:highlight w:val="none"/>
        </w:rPr>
        <w:t>.2</w:t>
      </w:r>
      <w:r>
        <w:rPr>
          <w:rFonts w:hint="eastAsia" w:ascii="宋体" w:hAnsi="宋体"/>
          <w:color w:val="auto"/>
          <w:kern w:val="2"/>
          <w:sz w:val="24"/>
          <w:szCs w:val="24"/>
          <w:highlight w:val="none"/>
        </w:rPr>
        <w:t>商务文件的编制要求：</w:t>
      </w:r>
    </w:p>
    <w:p>
      <w:pPr>
        <w:spacing w:line="360" w:lineRule="auto"/>
        <w:ind w:firstLine="480" w:firstLineChars="200"/>
        <w:rPr>
          <w:rFonts w:ascii="宋体" w:hAnsi="宋体"/>
          <w:color w:val="auto"/>
          <w:kern w:val="2"/>
          <w:sz w:val="24"/>
          <w:szCs w:val="24"/>
          <w:highlight w:val="none"/>
        </w:rPr>
      </w:pPr>
      <w:r>
        <w:rPr>
          <w:rFonts w:hint="eastAsia" w:ascii="宋体" w:hAnsi="宋体"/>
          <w:color w:val="auto"/>
          <w:kern w:val="2"/>
          <w:sz w:val="24"/>
          <w:szCs w:val="24"/>
          <w:highlight w:val="none"/>
        </w:rPr>
        <w:t>商务文件正本和副本的封面均需标明投标人全称，商务文件的封面须清楚地注明“正本”和“副本”，并由投标人的法定代表人签字或盖章并盖单位章。正副本均应单独装订成册，正、副本正文的排版格式应相同</w:t>
      </w:r>
      <w:r>
        <w:rPr>
          <w:rFonts w:ascii="宋体" w:hAnsi="宋体"/>
          <w:color w:val="auto"/>
          <w:sz w:val="24"/>
          <w:szCs w:val="24"/>
          <w:highlight w:val="none"/>
        </w:rPr>
        <w:t>。</w:t>
      </w:r>
    </w:p>
    <w:p>
      <w:pPr>
        <w:pStyle w:val="6"/>
        <w:numPr>
          <w:ilvl w:val="0"/>
          <w:numId w:val="0"/>
        </w:numPr>
        <w:tabs>
          <w:tab w:val="clear" w:pos="510"/>
        </w:tabs>
        <w:spacing w:line="360" w:lineRule="auto"/>
        <w:ind w:left="510"/>
        <w:rPr>
          <w:color w:val="auto"/>
          <w:highlight w:val="none"/>
        </w:rPr>
      </w:pPr>
      <w:bookmarkStart w:id="224" w:name="_Toc300038940"/>
      <w:r>
        <w:rPr>
          <w:rFonts w:hint="eastAsia"/>
          <w:color w:val="auto"/>
          <w:highlight w:val="none"/>
        </w:rPr>
        <w:t>10.投标有效期</w:t>
      </w:r>
      <w:bookmarkEnd w:id="224"/>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10</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olor w:val="auto"/>
          <w:sz w:val="24"/>
          <w:szCs w:val="24"/>
          <w:highlight w:val="none"/>
        </w:rPr>
        <w:t>投标有效期见本须知前附表（一）第</w:t>
      </w:r>
      <w:r>
        <w:rPr>
          <w:rFonts w:ascii="宋体" w:hAnsi="宋体"/>
          <w:color w:val="auto"/>
          <w:sz w:val="24"/>
          <w:szCs w:val="24"/>
          <w:highlight w:val="none"/>
        </w:rPr>
        <w:t>16</w:t>
      </w:r>
      <w:r>
        <w:rPr>
          <w:rFonts w:hint="eastAsia" w:ascii="宋体" w:hAnsi="宋体"/>
          <w:color w:val="auto"/>
          <w:sz w:val="24"/>
          <w:szCs w:val="24"/>
          <w:highlight w:val="none"/>
        </w:rPr>
        <w:t>项。在此期限内，投标文件均保持有效。</w:t>
      </w:r>
    </w:p>
    <w:p>
      <w:pPr>
        <w:pStyle w:val="8"/>
        <w:numPr>
          <w:ilvl w:val="1"/>
          <w:numId w:val="0"/>
        </w:numPr>
        <w:tabs>
          <w:tab w:val="left" w:pos="1000"/>
        </w:tabs>
        <w:spacing w:line="360" w:lineRule="auto"/>
        <w:ind w:left="0" w:leftChars="0" w:firstLine="510" w:firstLineChars="0"/>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10</w:t>
      </w:r>
      <w:r>
        <w:rPr>
          <w:rFonts w:hint="eastAsia" w:ascii="宋体" w:hAnsi="宋体" w:eastAsia="宋体" w:cs="Times New Roman"/>
          <w:b w:val="0"/>
          <w:color w:val="auto"/>
          <w:kern w:val="2"/>
          <w:sz w:val="24"/>
          <w:szCs w:val="24"/>
          <w:highlight w:val="none"/>
          <w:lang w:val="en-US" w:eastAsia="zh-CN" w:bidi="ar-SA"/>
        </w:rPr>
        <w:t>.2</w:t>
      </w:r>
      <w:r>
        <w:rPr>
          <w:rFonts w:hint="eastAsia" w:ascii="宋体" w:hAnsi="宋体"/>
          <w:color w:val="auto"/>
          <w:sz w:val="24"/>
          <w:szCs w:val="24"/>
          <w:highlight w:val="none"/>
        </w:rPr>
        <w:t>如果出现特殊情况，</w:t>
      </w:r>
      <w:r>
        <w:rPr>
          <w:rFonts w:hint="eastAsia" w:ascii="宋体" w:hAnsi="宋体" w:cs="Arial"/>
          <w:bCs/>
          <w:color w:val="auto"/>
          <w:kern w:val="0"/>
          <w:sz w:val="24"/>
          <w:highlight w:val="none"/>
        </w:rPr>
        <w:t>招标人</w:t>
      </w:r>
      <w:r>
        <w:rPr>
          <w:rFonts w:hint="eastAsia" w:ascii="宋体" w:hAnsi="宋体"/>
          <w:color w:val="auto"/>
          <w:sz w:val="24"/>
          <w:szCs w:val="24"/>
          <w:highlight w:val="none"/>
        </w:rPr>
        <w:t>在原定投标有效期满之前，可要求投标人将投标有效期延长一段时间。这种要求和投标人的答复应以书面方式进行。投标人可以拒绝这种要求而不被</w:t>
      </w:r>
      <w:r>
        <w:rPr>
          <w:rFonts w:hint="eastAsia" w:ascii="宋体" w:hAnsi="宋体"/>
          <w:color w:val="auto"/>
          <w:kern w:val="16"/>
          <w:sz w:val="24"/>
          <w:szCs w:val="22"/>
          <w:highlight w:val="none"/>
        </w:rPr>
        <w:t>不予退还</w:t>
      </w:r>
      <w:r>
        <w:rPr>
          <w:rFonts w:hint="eastAsia" w:ascii="宋体" w:hAnsi="宋体"/>
          <w:color w:val="auto"/>
          <w:sz w:val="24"/>
          <w:szCs w:val="24"/>
          <w:highlight w:val="none"/>
        </w:rPr>
        <w:t>投标保证金。同意延期的投标人，不需要也不允许修改投标文件，投标保证金时间相应延长。在延长的投标有效期内，本须知第</w:t>
      </w:r>
      <w:r>
        <w:rPr>
          <w:rFonts w:ascii="宋体" w:hAnsi="宋体"/>
          <w:color w:val="auto"/>
          <w:sz w:val="24"/>
          <w:szCs w:val="24"/>
          <w:highlight w:val="none"/>
        </w:rPr>
        <w:t>11</w:t>
      </w:r>
      <w:r>
        <w:rPr>
          <w:rFonts w:hint="eastAsia" w:ascii="宋体" w:hAnsi="宋体"/>
          <w:color w:val="auto"/>
          <w:sz w:val="24"/>
          <w:szCs w:val="24"/>
          <w:highlight w:val="none"/>
        </w:rPr>
        <w:t>条关于投标保证金的退还与不予退还的规定仍然适用。</w:t>
      </w:r>
    </w:p>
    <w:p>
      <w:pPr>
        <w:pStyle w:val="6"/>
        <w:numPr>
          <w:ilvl w:val="0"/>
          <w:numId w:val="0"/>
        </w:numPr>
        <w:tabs>
          <w:tab w:val="clear" w:pos="510"/>
        </w:tabs>
        <w:spacing w:line="360" w:lineRule="auto"/>
        <w:ind w:left="0" w:leftChars="0" w:firstLine="510" w:firstLineChars="0"/>
        <w:rPr>
          <w:color w:val="auto"/>
          <w:highlight w:val="none"/>
        </w:rPr>
      </w:pPr>
      <w:bookmarkStart w:id="225" w:name="_Toc300038941"/>
      <w:r>
        <w:rPr>
          <w:rFonts w:hint="eastAsia" w:cs="Times New Roman"/>
          <w:b/>
          <w:bCs/>
          <w:color w:val="auto"/>
          <w:sz w:val="28"/>
          <w:szCs w:val="28"/>
          <w:highlight w:val="none"/>
          <w:lang w:val="en-US" w:eastAsia="zh-CN" w:bidi="ar-SA"/>
        </w:rPr>
        <w:t>11</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投标保证金</w:t>
      </w:r>
      <w:bookmarkEnd w:id="225"/>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11</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olor w:val="auto"/>
          <w:sz w:val="24"/>
          <w:szCs w:val="24"/>
          <w:highlight w:val="none"/>
        </w:rPr>
        <w:t>投标人应按投标须知前附表（一）第</w:t>
      </w:r>
      <w:r>
        <w:rPr>
          <w:rFonts w:ascii="宋体" w:hAnsi="宋体"/>
          <w:color w:val="auto"/>
          <w:sz w:val="24"/>
          <w:szCs w:val="24"/>
          <w:highlight w:val="none"/>
        </w:rPr>
        <w:t>19</w:t>
      </w:r>
      <w:r>
        <w:rPr>
          <w:rFonts w:hint="eastAsia" w:ascii="宋体" w:hAnsi="宋体"/>
          <w:color w:val="auto"/>
          <w:sz w:val="24"/>
          <w:szCs w:val="24"/>
          <w:highlight w:val="none"/>
        </w:rPr>
        <w:t>项规定金额和方式提交投标保证金，此投标保证金是投标文件的组成部分。</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11</w:t>
      </w:r>
      <w:r>
        <w:rPr>
          <w:rFonts w:hint="eastAsia" w:ascii="宋体" w:hAnsi="宋体" w:eastAsia="宋体" w:cs="Times New Roman"/>
          <w:b w:val="0"/>
          <w:color w:val="auto"/>
          <w:kern w:val="2"/>
          <w:sz w:val="24"/>
          <w:szCs w:val="24"/>
          <w:highlight w:val="none"/>
          <w:lang w:val="en-US" w:eastAsia="zh-CN" w:bidi="ar-SA"/>
        </w:rPr>
        <w:t>.2</w:t>
      </w:r>
      <w:r>
        <w:rPr>
          <w:rFonts w:hint="eastAsia" w:ascii="宋体" w:hAnsi="宋体"/>
          <w:color w:val="auto"/>
          <w:sz w:val="24"/>
          <w:szCs w:val="24"/>
          <w:highlight w:val="none"/>
        </w:rPr>
        <w:t>对于投标人未能按要求提交投标保证金的，其投标文件将被视为不响应招标文件而拒绝。</w:t>
      </w:r>
    </w:p>
    <w:p>
      <w:pPr>
        <w:pStyle w:val="8"/>
        <w:numPr>
          <w:ilvl w:val="1"/>
          <w:numId w:val="0"/>
        </w:numPr>
        <w:tabs>
          <w:tab w:val="left" w:pos="1000"/>
        </w:tabs>
        <w:snapToGrid w:val="0"/>
        <w:spacing w:line="360" w:lineRule="auto"/>
        <w:ind w:left="0" w:leftChars="0" w:firstLine="510" w:firstLineChars="0"/>
        <w:jc w:val="left"/>
        <w:rPr>
          <w:rFonts w:ascii="宋体" w:hAnsi="宋体"/>
          <w:b/>
          <w:color w:val="auto"/>
          <w:sz w:val="24"/>
          <w:szCs w:val="24"/>
          <w:highlight w:val="none"/>
        </w:rPr>
      </w:pPr>
      <w:r>
        <w:rPr>
          <w:rFonts w:hint="eastAsia" w:ascii="宋体" w:hAnsi="宋体" w:cs="Times New Roman"/>
          <w:b w:val="0"/>
          <w:color w:val="auto"/>
          <w:kern w:val="2"/>
          <w:sz w:val="24"/>
          <w:szCs w:val="24"/>
          <w:highlight w:val="none"/>
          <w:lang w:val="en-US" w:eastAsia="zh-CN" w:bidi="ar-SA"/>
        </w:rPr>
        <w:t>11</w:t>
      </w:r>
      <w:r>
        <w:rPr>
          <w:rFonts w:hint="eastAsia" w:ascii="宋体" w:hAnsi="宋体" w:eastAsia="宋体" w:cs="Times New Roman"/>
          <w:b w:val="0"/>
          <w:color w:val="auto"/>
          <w:kern w:val="2"/>
          <w:sz w:val="24"/>
          <w:szCs w:val="24"/>
          <w:highlight w:val="none"/>
          <w:lang w:val="en-US" w:eastAsia="zh-CN" w:bidi="ar-SA"/>
        </w:rPr>
        <w:t>.3</w:t>
      </w:r>
      <w:r>
        <w:rPr>
          <w:rFonts w:ascii="宋体" w:hAnsi="宋体"/>
          <w:b/>
          <w:color w:val="auto"/>
          <w:sz w:val="24"/>
          <w:szCs w:val="24"/>
          <w:highlight w:val="none"/>
        </w:rPr>
        <w:t>未中标</w:t>
      </w:r>
      <w:r>
        <w:rPr>
          <w:rFonts w:hint="eastAsia" w:ascii="宋体" w:hAnsi="宋体"/>
          <w:b/>
          <w:color w:val="auto"/>
          <w:sz w:val="24"/>
          <w:szCs w:val="24"/>
          <w:highlight w:val="none"/>
        </w:rPr>
        <w:t>人</w:t>
      </w:r>
      <w:r>
        <w:rPr>
          <w:rFonts w:ascii="宋体" w:hAnsi="宋体"/>
          <w:b/>
          <w:color w:val="auto"/>
          <w:sz w:val="24"/>
          <w:szCs w:val="24"/>
          <w:highlight w:val="none"/>
        </w:rPr>
        <w:t>的项目投标保证金在中标通知书发出后5个工作日内退还，中标</w:t>
      </w:r>
      <w:r>
        <w:rPr>
          <w:rFonts w:hint="eastAsia" w:ascii="宋体" w:hAnsi="宋体"/>
          <w:b/>
          <w:color w:val="auto"/>
          <w:sz w:val="24"/>
          <w:szCs w:val="24"/>
          <w:highlight w:val="none"/>
        </w:rPr>
        <w:t>人</w:t>
      </w:r>
      <w:r>
        <w:rPr>
          <w:rFonts w:ascii="宋体" w:hAnsi="宋体"/>
          <w:b/>
          <w:color w:val="auto"/>
          <w:sz w:val="24"/>
          <w:szCs w:val="24"/>
          <w:highlight w:val="none"/>
        </w:rPr>
        <w:t>的项目投标保证金在合同签订后5个工作日内退还。</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11</w:t>
      </w:r>
      <w:r>
        <w:rPr>
          <w:rFonts w:hint="eastAsia" w:ascii="宋体" w:hAnsi="宋体" w:eastAsia="宋体" w:cs="Times New Roman"/>
          <w:b w:val="0"/>
          <w:color w:val="auto"/>
          <w:kern w:val="2"/>
          <w:sz w:val="24"/>
          <w:szCs w:val="24"/>
          <w:highlight w:val="none"/>
          <w:lang w:val="en-US" w:eastAsia="zh-CN" w:bidi="ar-SA"/>
        </w:rPr>
        <w:t>.4</w:t>
      </w:r>
      <w:r>
        <w:rPr>
          <w:rFonts w:hint="eastAsia" w:ascii="宋体" w:hAnsi="宋体"/>
          <w:color w:val="auto"/>
          <w:sz w:val="24"/>
          <w:szCs w:val="24"/>
          <w:highlight w:val="none"/>
        </w:rPr>
        <w:t>如投标人有下列情况发生时，其投标保证金将不予退还：</w:t>
      </w:r>
    </w:p>
    <w:p>
      <w:pPr>
        <w:pStyle w:val="8"/>
        <w:tabs>
          <w:tab w:val="left" w:pos="1000"/>
        </w:tabs>
        <w:snapToGrid w:val="0"/>
        <w:spacing w:line="360" w:lineRule="auto"/>
        <w:ind w:firstLine="480" w:firstLineChars="200"/>
        <w:jc w:val="left"/>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投标人在投标有效期内撤回其投标文件的；</w:t>
      </w:r>
    </w:p>
    <w:p>
      <w:pPr>
        <w:pStyle w:val="8"/>
        <w:tabs>
          <w:tab w:val="left" w:pos="1000"/>
        </w:tabs>
        <w:snapToGrid w:val="0"/>
        <w:spacing w:line="360" w:lineRule="auto"/>
        <w:ind w:firstLine="480" w:firstLineChars="200"/>
        <w:jc w:val="left"/>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其他按规定不予退还的情形。</w:t>
      </w:r>
    </w:p>
    <w:p>
      <w:pPr>
        <w:pStyle w:val="6"/>
        <w:numPr>
          <w:ilvl w:val="0"/>
          <w:numId w:val="0"/>
        </w:numPr>
        <w:tabs>
          <w:tab w:val="clear" w:pos="510"/>
        </w:tabs>
        <w:spacing w:line="360" w:lineRule="auto"/>
        <w:ind w:left="0" w:leftChars="0" w:firstLine="510" w:firstLineChars="0"/>
        <w:rPr>
          <w:color w:val="auto"/>
          <w:highlight w:val="none"/>
        </w:rPr>
      </w:pPr>
      <w:bookmarkStart w:id="226" w:name="_Toc300038942"/>
      <w:r>
        <w:rPr>
          <w:rFonts w:hint="eastAsia" w:cs="Times New Roman"/>
          <w:b/>
          <w:bCs/>
          <w:color w:val="auto"/>
          <w:sz w:val="28"/>
          <w:szCs w:val="28"/>
          <w:highlight w:val="none"/>
          <w:lang w:val="en-US" w:eastAsia="zh-CN" w:bidi="ar-SA"/>
        </w:rPr>
        <w:t>12</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投标文件的份数和签署</w:t>
      </w:r>
      <w:bookmarkEnd w:id="226"/>
    </w:p>
    <w:p>
      <w:pPr>
        <w:pStyle w:val="8"/>
        <w:tabs>
          <w:tab w:val="left" w:pos="567"/>
          <w:tab w:val="left" w:pos="1000"/>
        </w:tabs>
        <w:snapToGrid w:val="0"/>
        <w:spacing w:line="360" w:lineRule="auto"/>
        <w:ind w:firstLine="480" w:firstLineChars="200"/>
        <w:jc w:val="left"/>
        <w:rPr>
          <w:rFonts w:hint="default" w:ascii="宋体" w:hAnsi="宋体" w:eastAsia="宋体"/>
          <w:color w:val="auto"/>
          <w:sz w:val="24"/>
          <w:szCs w:val="24"/>
          <w:highlight w:val="none"/>
          <w:lang w:val="en-US" w:eastAsia="zh-CN"/>
        </w:rPr>
      </w:pPr>
      <w:bookmarkStart w:id="227" w:name="_Toc17215"/>
      <w:bookmarkStart w:id="228" w:name="_Toc300038943"/>
      <w:bookmarkStart w:id="229" w:name="_Toc8626"/>
      <w:bookmarkStart w:id="230" w:name="_Toc964"/>
      <w:r>
        <w:rPr>
          <w:rFonts w:ascii="宋体" w:hAnsi="宋体"/>
          <w:color w:val="auto"/>
          <w:sz w:val="24"/>
          <w:szCs w:val="24"/>
          <w:highlight w:val="none"/>
        </w:rPr>
        <w:t>12.1</w:t>
      </w:r>
      <w:r>
        <w:rPr>
          <w:rFonts w:hint="eastAsia" w:ascii="宋体" w:hAnsi="宋体"/>
          <w:color w:val="auto"/>
          <w:sz w:val="24"/>
          <w:szCs w:val="24"/>
          <w:highlight w:val="none"/>
          <w:lang w:val="en-US" w:eastAsia="zh-CN"/>
        </w:rPr>
        <w:t>投标文件应当对招标有关工期、投标有效期、质量要求、技术标准合要求，招标范围等实质性内容做出响应。</w:t>
      </w:r>
    </w:p>
    <w:p>
      <w:pPr>
        <w:pStyle w:val="8"/>
        <w:tabs>
          <w:tab w:val="left" w:pos="567"/>
          <w:tab w:val="left" w:pos="1000"/>
        </w:tabs>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lang w:val="en-US" w:eastAsia="zh-CN"/>
        </w:rPr>
        <w:t>12.2</w:t>
      </w:r>
      <w:r>
        <w:rPr>
          <w:rFonts w:hint="eastAsia" w:ascii="宋体" w:hAnsi="宋体"/>
          <w:color w:val="auto"/>
          <w:sz w:val="24"/>
          <w:szCs w:val="24"/>
          <w:highlight w:val="none"/>
        </w:rPr>
        <w:t>投标人应按前附表（一）第</w:t>
      </w:r>
      <w:r>
        <w:rPr>
          <w:rFonts w:ascii="宋体" w:hAnsi="宋体"/>
          <w:color w:val="auto"/>
          <w:sz w:val="24"/>
          <w:szCs w:val="24"/>
          <w:highlight w:val="none"/>
        </w:rPr>
        <w:t>18</w:t>
      </w:r>
      <w:r>
        <w:rPr>
          <w:rFonts w:hint="eastAsia" w:ascii="宋体" w:hAnsi="宋体"/>
          <w:color w:val="auto"/>
          <w:sz w:val="24"/>
          <w:szCs w:val="24"/>
          <w:highlight w:val="none"/>
        </w:rPr>
        <w:t>项规定的份数提交投标文件。</w:t>
      </w:r>
    </w:p>
    <w:p>
      <w:pPr>
        <w:spacing w:line="360" w:lineRule="auto"/>
        <w:ind w:firstLine="480" w:firstLineChars="200"/>
        <w:rPr>
          <w:rFonts w:hint="default" w:ascii="宋体" w:hAnsi="宋体"/>
          <w:color w:val="auto"/>
          <w:kern w:val="2"/>
          <w:sz w:val="24"/>
          <w:szCs w:val="24"/>
          <w:highlight w:val="none"/>
          <w:lang w:val="en-US"/>
        </w:rPr>
      </w:pPr>
      <w:r>
        <w:rPr>
          <w:rFonts w:hint="eastAsia" w:ascii="宋体" w:hAnsi="宋体"/>
          <w:color w:val="auto"/>
          <w:kern w:val="2"/>
          <w:sz w:val="24"/>
          <w:szCs w:val="24"/>
          <w:highlight w:val="none"/>
          <w:lang w:val="en-US" w:eastAsia="zh-CN"/>
        </w:rPr>
        <w:t>12.3投标文件封面的右上角清楚地注明“正本”或“副本”，并由投标人的法定代表人或其委托代理人签字或盖章并盖单位章。投标文件应尽量避免涂改、行间插字或删除。如果出现上述情况，改动之处应加盖单位章并投标人的法定代表人或其授权的代理人签字确认。由其委托代理人签字的在投标文件中必须同时递交授权委托书，授权委托书格式、签字、盖章及内容均应符合要求，否则投标文件无效。</w:t>
      </w:r>
    </w:p>
    <w:p>
      <w:pPr>
        <w:pStyle w:val="4"/>
        <w:numPr>
          <w:ilvl w:val="3"/>
          <w:numId w:val="1"/>
        </w:numPr>
        <w:spacing w:line="360" w:lineRule="auto"/>
        <w:jc w:val="center"/>
        <w:rPr>
          <w:color w:val="auto"/>
          <w:highlight w:val="none"/>
        </w:rPr>
      </w:pPr>
      <w:bookmarkStart w:id="231" w:name="_Toc771"/>
      <w:bookmarkStart w:id="232" w:name="_Toc20753"/>
      <w:bookmarkStart w:id="233" w:name="_Toc24386"/>
      <w:bookmarkStart w:id="234" w:name="_Toc29019"/>
      <w:bookmarkStart w:id="235" w:name="_Toc8476"/>
      <w:bookmarkStart w:id="236" w:name="_Toc27078"/>
      <w:bookmarkStart w:id="237" w:name="_Toc14081"/>
      <w:bookmarkStart w:id="238" w:name="_Toc1928"/>
      <w:bookmarkStart w:id="239" w:name="_Toc26313"/>
      <w:bookmarkStart w:id="240" w:name="_Toc31862"/>
      <w:bookmarkStart w:id="241" w:name="_Toc16804"/>
      <w:bookmarkStart w:id="242" w:name="_Toc20666"/>
      <w:bookmarkStart w:id="243" w:name="_Toc7404"/>
      <w:bookmarkStart w:id="244" w:name="_Toc19865"/>
      <w:bookmarkStart w:id="245" w:name="_Toc14804"/>
      <w:bookmarkStart w:id="246" w:name="_Toc15559"/>
      <w:bookmarkStart w:id="247" w:name="_Toc3741"/>
      <w:bookmarkStart w:id="248" w:name="_Toc24031"/>
      <w:bookmarkStart w:id="249" w:name="_Toc22919"/>
      <w:bookmarkStart w:id="250" w:name="_Toc2518"/>
      <w:bookmarkStart w:id="251" w:name="_Toc17360"/>
      <w:bookmarkStart w:id="252" w:name="_Toc29562"/>
      <w:bookmarkStart w:id="253" w:name="_Toc1837"/>
      <w:bookmarkStart w:id="254" w:name="_Toc15064"/>
      <w:bookmarkStart w:id="255" w:name="_Toc11686"/>
      <w:bookmarkStart w:id="256" w:name="_Toc11497"/>
      <w:bookmarkStart w:id="257" w:name="_Toc6712"/>
      <w:r>
        <w:rPr>
          <w:rFonts w:hint="eastAsia"/>
          <w:color w:val="auto"/>
          <w:highlight w:val="none"/>
        </w:rPr>
        <w:t>投标文件的提交</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pPr>
        <w:pStyle w:val="6"/>
        <w:numPr>
          <w:ilvl w:val="0"/>
          <w:numId w:val="0"/>
        </w:numPr>
        <w:tabs>
          <w:tab w:val="clear" w:pos="510"/>
        </w:tabs>
        <w:spacing w:line="360" w:lineRule="auto"/>
        <w:ind w:left="0" w:leftChars="0" w:firstLine="510" w:firstLineChars="0"/>
        <w:rPr>
          <w:color w:val="auto"/>
          <w:highlight w:val="none"/>
        </w:rPr>
      </w:pPr>
      <w:bookmarkStart w:id="258" w:name="_Toc300038944"/>
      <w:bookmarkStart w:id="259" w:name="_Toc300038945"/>
      <w:r>
        <w:rPr>
          <w:rFonts w:hint="eastAsia" w:cs="Times New Roman"/>
          <w:b/>
          <w:bCs/>
          <w:color w:val="auto"/>
          <w:sz w:val="28"/>
          <w:szCs w:val="28"/>
          <w:highlight w:val="none"/>
          <w:lang w:val="en-US" w:eastAsia="zh-CN" w:bidi="ar-SA"/>
        </w:rPr>
        <w:t>13</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投标文件的装订、包封、密封和标识</w:t>
      </w:r>
      <w:bookmarkEnd w:id="258"/>
    </w:p>
    <w:p>
      <w:pPr>
        <w:pStyle w:val="8"/>
        <w:numPr>
          <w:ilvl w:val="1"/>
          <w:numId w:val="0"/>
        </w:numPr>
        <w:tabs>
          <w:tab w:val="left" w:pos="1000"/>
        </w:tabs>
        <w:snapToGrid w:val="0"/>
        <w:spacing w:line="360" w:lineRule="auto"/>
        <w:ind w:left="0" w:leftChars="0" w:firstLine="510" w:firstLineChars="0"/>
        <w:jc w:val="left"/>
        <w:rPr>
          <w:rFonts w:hint="eastAsia" w:ascii="宋体" w:hAnsi="宋体" w:cs="Times New Roman"/>
          <w:b w:val="0"/>
          <w:color w:val="auto"/>
          <w:kern w:val="2"/>
          <w:sz w:val="24"/>
          <w:szCs w:val="24"/>
          <w:highlight w:val="none"/>
          <w:lang w:val="en-US" w:eastAsia="zh-CN" w:bidi="ar-SA"/>
        </w:rPr>
      </w:pPr>
      <w:r>
        <w:rPr>
          <w:rFonts w:hint="eastAsia" w:ascii="宋体" w:hAnsi="宋体" w:cs="Times New Roman"/>
          <w:b w:val="0"/>
          <w:color w:val="auto"/>
          <w:kern w:val="2"/>
          <w:sz w:val="24"/>
          <w:szCs w:val="24"/>
          <w:highlight w:val="none"/>
          <w:lang w:val="en-US" w:eastAsia="zh-CN" w:bidi="ar-SA"/>
        </w:rPr>
        <w:t>13.1投标文件的装订：应装订成册。</w:t>
      </w:r>
    </w:p>
    <w:p>
      <w:pPr>
        <w:pStyle w:val="8"/>
        <w:numPr>
          <w:ilvl w:val="1"/>
          <w:numId w:val="0"/>
        </w:numPr>
        <w:tabs>
          <w:tab w:val="left" w:pos="1000"/>
        </w:tabs>
        <w:snapToGrid w:val="0"/>
        <w:spacing w:line="360" w:lineRule="auto"/>
        <w:ind w:left="0" w:leftChars="0" w:firstLine="510" w:firstLineChars="0"/>
        <w:jc w:val="left"/>
        <w:rPr>
          <w:rFonts w:hint="eastAsia" w:ascii="宋体" w:hAnsi="宋体" w:eastAsia="宋体" w:cs="Times New Roman"/>
          <w:b w:val="0"/>
          <w:color w:val="auto"/>
          <w:kern w:val="2"/>
          <w:sz w:val="24"/>
          <w:szCs w:val="24"/>
          <w:highlight w:val="none"/>
          <w:lang w:val="en-US" w:eastAsia="zh-CN" w:bidi="ar-SA"/>
        </w:rPr>
      </w:pPr>
      <w:r>
        <w:rPr>
          <w:rFonts w:hint="eastAsia" w:ascii="宋体" w:hAnsi="宋体" w:eastAsia="宋体" w:cs="Times New Roman"/>
          <w:b w:val="0"/>
          <w:color w:val="auto"/>
          <w:kern w:val="2"/>
          <w:sz w:val="24"/>
          <w:szCs w:val="24"/>
          <w:highlight w:val="none"/>
          <w:lang w:val="en-US" w:eastAsia="zh-CN" w:bidi="ar-SA"/>
        </w:rPr>
        <w:t>13.2投标人应将资格审查文件、技术标、商务文件分三大袋密封，应将投标文件分别标明“投标文件正本”和“投标文件副本”，并合装密封。不密封的投标文件无效，封口处应加盖投标人印章。</w:t>
      </w:r>
    </w:p>
    <w:p>
      <w:pPr>
        <w:pStyle w:val="8"/>
        <w:numPr>
          <w:ilvl w:val="1"/>
          <w:numId w:val="0"/>
        </w:numPr>
        <w:tabs>
          <w:tab w:val="left" w:pos="1000"/>
        </w:tabs>
        <w:snapToGrid w:val="0"/>
        <w:spacing w:line="360" w:lineRule="auto"/>
        <w:ind w:left="0" w:leftChars="0" w:firstLine="510" w:firstLineChars="0"/>
        <w:jc w:val="left"/>
        <w:rPr>
          <w:rFonts w:ascii="宋体" w:hAnsi="宋体"/>
          <w:snapToGrid w:val="0"/>
          <w:color w:val="auto"/>
          <w:sz w:val="24"/>
          <w:highlight w:val="none"/>
        </w:rPr>
      </w:pPr>
      <w:r>
        <w:rPr>
          <w:rFonts w:hint="eastAsia" w:ascii="宋体" w:hAnsi="宋体" w:cs="Times New Roman"/>
          <w:b w:val="0"/>
          <w:color w:val="auto"/>
          <w:kern w:val="2"/>
          <w:sz w:val="24"/>
          <w:szCs w:val="24"/>
          <w:highlight w:val="none"/>
          <w:lang w:val="en-US" w:eastAsia="zh-CN" w:bidi="ar-SA"/>
        </w:rPr>
        <w:t>13.3投标文件的封面标识：详见第六章中的封面样式。</w:t>
      </w:r>
    </w:p>
    <w:p>
      <w:pPr>
        <w:pStyle w:val="6"/>
        <w:numPr>
          <w:ilvl w:val="0"/>
          <w:numId w:val="0"/>
        </w:numPr>
        <w:tabs>
          <w:tab w:val="clear" w:pos="510"/>
        </w:tabs>
        <w:spacing w:line="360" w:lineRule="auto"/>
        <w:ind w:left="0" w:leftChars="0" w:firstLine="510" w:firstLineChars="0"/>
        <w:rPr>
          <w:color w:val="auto"/>
          <w:highlight w:val="none"/>
        </w:rPr>
      </w:pPr>
      <w:r>
        <w:rPr>
          <w:rFonts w:hint="eastAsia" w:cs="Times New Roman"/>
          <w:b/>
          <w:bCs/>
          <w:color w:val="auto"/>
          <w:sz w:val="28"/>
          <w:szCs w:val="28"/>
          <w:highlight w:val="none"/>
          <w:lang w:val="en-US" w:eastAsia="zh-CN" w:bidi="ar-SA"/>
        </w:rPr>
        <w:t>14</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投标文件的提交</w:t>
      </w:r>
      <w:bookmarkEnd w:id="259"/>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14</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olor w:val="auto"/>
          <w:sz w:val="24"/>
          <w:szCs w:val="24"/>
          <w:highlight w:val="none"/>
        </w:rPr>
        <w:t>投标人应按前附表（二）所规定的地点并在投标截止时间前将投标文件送达给</w:t>
      </w:r>
      <w:r>
        <w:rPr>
          <w:rFonts w:hint="eastAsia" w:ascii="宋体" w:hAnsi="宋体" w:cs="Arial"/>
          <w:bCs/>
          <w:color w:val="auto"/>
          <w:kern w:val="0"/>
          <w:sz w:val="24"/>
          <w:highlight w:val="none"/>
        </w:rPr>
        <w:t>招标人</w:t>
      </w:r>
      <w:r>
        <w:rPr>
          <w:rFonts w:hint="eastAsia" w:ascii="宋体" w:hAnsi="宋体"/>
          <w:color w:val="auto"/>
          <w:sz w:val="24"/>
          <w:szCs w:val="24"/>
          <w:highlight w:val="none"/>
        </w:rPr>
        <w:t>。</w:t>
      </w:r>
    </w:p>
    <w:p>
      <w:pPr>
        <w:pStyle w:val="8"/>
        <w:numPr>
          <w:ilvl w:val="1"/>
          <w:numId w:val="0"/>
        </w:numPr>
        <w:tabs>
          <w:tab w:val="left" w:pos="1000"/>
        </w:tabs>
        <w:snapToGrid w:val="0"/>
        <w:spacing w:line="360" w:lineRule="auto"/>
        <w:ind w:left="0" w:leftChars="0" w:firstLine="559" w:firstLineChars="233"/>
        <w:jc w:val="left"/>
        <w:rPr>
          <w:rFonts w:asciiTheme="minorEastAsia" w:hAnsiTheme="minorEastAsia" w:eastAsiaTheme="minorEastAsia"/>
          <w:color w:val="auto"/>
          <w:sz w:val="24"/>
          <w:szCs w:val="24"/>
          <w:highlight w:val="none"/>
        </w:rPr>
      </w:pPr>
      <w:r>
        <w:rPr>
          <w:rFonts w:hint="eastAsia" w:cs="Times New Roman" w:asciiTheme="minorEastAsia" w:hAnsiTheme="minorEastAsia" w:eastAsiaTheme="minorEastAsia"/>
          <w:b w:val="0"/>
          <w:color w:val="auto"/>
          <w:kern w:val="2"/>
          <w:sz w:val="24"/>
          <w:szCs w:val="24"/>
          <w:highlight w:val="none"/>
          <w:lang w:val="en-US" w:eastAsia="zh-CN" w:bidi="ar-SA"/>
        </w:rPr>
        <w:t>14.2</w:t>
      </w:r>
      <w:r>
        <w:rPr>
          <w:rFonts w:hint="eastAsia" w:cs="仿宋" w:asciiTheme="minorEastAsia" w:hAnsiTheme="minorEastAsia" w:eastAsiaTheme="minorEastAsia"/>
          <w:color w:val="auto"/>
          <w:sz w:val="24"/>
          <w:szCs w:val="24"/>
          <w:highlight w:val="none"/>
          <w:u w:val="single"/>
        </w:rPr>
        <w:t>本项目鼓励投标文件（需密封）采用邮寄方式，邮寄件以全国邮政特快专递（</w:t>
      </w:r>
      <w:r>
        <w:rPr>
          <w:rFonts w:cs="仿宋" w:asciiTheme="minorEastAsia" w:hAnsiTheme="minorEastAsia" w:eastAsiaTheme="minorEastAsia"/>
          <w:color w:val="auto"/>
          <w:sz w:val="24"/>
          <w:szCs w:val="24"/>
          <w:highlight w:val="none"/>
          <w:u w:val="single"/>
        </w:rPr>
        <w:t>EMS）寄达，其他寄件方式</w:t>
      </w:r>
      <w:r>
        <w:rPr>
          <w:rFonts w:hint="eastAsia" w:cs="仿宋" w:asciiTheme="minorEastAsia" w:hAnsiTheme="minorEastAsia" w:eastAsiaTheme="minorEastAsia"/>
          <w:color w:val="auto"/>
          <w:sz w:val="24"/>
          <w:szCs w:val="24"/>
          <w:highlight w:val="none"/>
          <w:u w:val="single"/>
          <w:lang w:val="en-US" w:eastAsia="zh-CN"/>
        </w:rPr>
        <w:t>可</w:t>
      </w:r>
      <w:r>
        <w:rPr>
          <w:rFonts w:cs="仿宋" w:asciiTheme="minorEastAsia" w:hAnsiTheme="minorEastAsia" w:eastAsiaTheme="minorEastAsia"/>
          <w:color w:val="auto"/>
          <w:sz w:val="24"/>
          <w:szCs w:val="24"/>
          <w:highlight w:val="none"/>
          <w:u w:val="single"/>
        </w:rPr>
        <w:t>不予接收，投标文件接收时间以签收时间为准。</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14</w:t>
      </w:r>
      <w:r>
        <w:rPr>
          <w:rFonts w:hint="eastAsia" w:ascii="宋体" w:hAnsi="宋体" w:eastAsia="宋体" w:cs="Times New Roman"/>
          <w:b w:val="0"/>
          <w:color w:val="auto"/>
          <w:kern w:val="2"/>
          <w:sz w:val="24"/>
          <w:szCs w:val="24"/>
          <w:highlight w:val="none"/>
          <w:lang w:val="en-US" w:eastAsia="zh-CN" w:bidi="ar-SA"/>
        </w:rPr>
        <w:t>.3</w:t>
      </w:r>
      <w:r>
        <w:rPr>
          <w:rFonts w:hint="eastAsia" w:ascii="宋体" w:hAnsi="宋体"/>
          <w:color w:val="auto"/>
          <w:sz w:val="24"/>
          <w:szCs w:val="24"/>
          <w:highlight w:val="none"/>
        </w:rPr>
        <w:t>逾期送达的或未送达指定地点的或不符合招标文件投标须知第</w:t>
      </w:r>
      <w:r>
        <w:rPr>
          <w:rFonts w:ascii="宋体" w:hAnsi="宋体"/>
          <w:color w:val="auto"/>
          <w:sz w:val="24"/>
          <w:szCs w:val="24"/>
          <w:highlight w:val="none"/>
        </w:rPr>
        <w:t>13</w:t>
      </w:r>
      <w:r>
        <w:rPr>
          <w:rFonts w:hint="eastAsia" w:ascii="宋体" w:hAnsi="宋体"/>
          <w:color w:val="auto"/>
          <w:sz w:val="24"/>
          <w:szCs w:val="24"/>
          <w:highlight w:val="none"/>
        </w:rPr>
        <w:t>条规定包封、密封要求的投标文件，招标人不予接收。</w:t>
      </w:r>
    </w:p>
    <w:p>
      <w:pPr>
        <w:pStyle w:val="6"/>
        <w:numPr>
          <w:ilvl w:val="0"/>
          <w:numId w:val="0"/>
        </w:numPr>
        <w:tabs>
          <w:tab w:val="clear" w:pos="510"/>
        </w:tabs>
        <w:spacing w:line="360" w:lineRule="auto"/>
        <w:ind w:left="0" w:leftChars="0" w:firstLine="510" w:firstLineChars="0"/>
        <w:rPr>
          <w:color w:val="auto"/>
          <w:highlight w:val="none"/>
        </w:rPr>
      </w:pPr>
      <w:bookmarkStart w:id="260" w:name="_Toc300038947"/>
      <w:r>
        <w:rPr>
          <w:rFonts w:hint="eastAsia" w:cs="Times New Roman"/>
          <w:b/>
          <w:bCs/>
          <w:color w:val="auto"/>
          <w:sz w:val="28"/>
          <w:szCs w:val="28"/>
          <w:highlight w:val="none"/>
          <w:lang w:val="en-US" w:eastAsia="zh-CN" w:bidi="ar-SA"/>
        </w:rPr>
        <w:t>15</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投标文件的补充、修改与撤回</w:t>
      </w:r>
      <w:bookmarkEnd w:id="260"/>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15</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olor w:val="auto"/>
          <w:sz w:val="24"/>
          <w:szCs w:val="24"/>
          <w:highlight w:val="none"/>
        </w:rPr>
        <w:t>投标人可以在递交投标文件以后，在投标截止时间之前，可以补充、修改或撤回已递交的投标文件，并书面通知招标人。补充、修改的内容为投标文件的组成部分。在投标截止时间以后，不能修改或撤回投标文件。</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15</w:t>
      </w:r>
      <w:r>
        <w:rPr>
          <w:rFonts w:hint="eastAsia" w:ascii="宋体" w:hAnsi="宋体" w:eastAsia="宋体" w:cs="Times New Roman"/>
          <w:b w:val="0"/>
          <w:color w:val="auto"/>
          <w:kern w:val="2"/>
          <w:sz w:val="24"/>
          <w:szCs w:val="24"/>
          <w:highlight w:val="none"/>
          <w:lang w:val="en-US" w:eastAsia="zh-CN" w:bidi="ar-SA"/>
        </w:rPr>
        <w:t>.2</w:t>
      </w:r>
      <w:r>
        <w:rPr>
          <w:rFonts w:hint="eastAsia" w:ascii="宋体" w:hAnsi="宋体"/>
          <w:color w:val="auto"/>
          <w:sz w:val="24"/>
          <w:szCs w:val="24"/>
          <w:highlight w:val="none"/>
        </w:rPr>
        <w:t>投标人的补充、修改或撤回通知，应按本投标须知第</w:t>
      </w:r>
      <w:r>
        <w:rPr>
          <w:rFonts w:ascii="宋体" w:hAnsi="宋体"/>
          <w:color w:val="auto"/>
          <w:sz w:val="24"/>
          <w:szCs w:val="24"/>
          <w:highlight w:val="none"/>
        </w:rPr>
        <w:t>13</w:t>
      </w:r>
      <w:r>
        <w:rPr>
          <w:rFonts w:hint="eastAsia" w:ascii="宋体" w:hAnsi="宋体"/>
          <w:color w:val="auto"/>
          <w:sz w:val="24"/>
          <w:szCs w:val="24"/>
          <w:highlight w:val="none"/>
        </w:rPr>
        <w:t>条的规定编制、密封、标识和提交，还要在包封上标明“补充、修改”或“撤回”字样。</w:t>
      </w:r>
    </w:p>
    <w:p>
      <w:pPr>
        <w:pStyle w:val="4"/>
        <w:numPr>
          <w:ilvl w:val="3"/>
          <w:numId w:val="1"/>
        </w:numPr>
        <w:spacing w:line="360" w:lineRule="auto"/>
        <w:jc w:val="center"/>
        <w:rPr>
          <w:color w:val="auto"/>
          <w:highlight w:val="none"/>
        </w:rPr>
      </w:pPr>
      <w:bookmarkStart w:id="261" w:name="_Toc21485"/>
      <w:bookmarkStart w:id="262" w:name="_Toc31812"/>
      <w:bookmarkStart w:id="263" w:name="_Toc3130"/>
      <w:bookmarkStart w:id="264" w:name="_Toc22425"/>
      <w:bookmarkStart w:id="265" w:name="_Toc300038948"/>
      <w:bookmarkStart w:id="266" w:name="_Toc20519"/>
      <w:bookmarkStart w:id="267" w:name="_Toc26536"/>
      <w:bookmarkStart w:id="268" w:name="_Toc16688"/>
      <w:bookmarkStart w:id="269" w:name="_Toc19763"/>
      <w:bookmarkStart w:id="270" w:name="_Toc31699"/>
      <w:bookmarkStart w:id="271" w:name="_Toc2646"/>
      <w:bookmarkStart w:id="272" w:name="_Toc8785"/>
      <w:bookmarkStart w:id="273" w:name="_Toc1973"/>
      <w:bookmarkStart w:id="274" w:name="_Toc27528"/>
      <w:bookmarkStart w:id="275" w:name="_Toc15112"/>
      <w:bookmarkStart w:id="276" w:name="_Toc30767"/>
      <w:bookmarkStart w:id="277" w:name="_Toc13666"/>
      <w:bookmarkStart w:id="278" w:name="_Toc7872"/>
      <w:bookmarkStart w:id="279" w:name="_Toc10477"/>
      <w:bookmarkStart w:id="280" w:name="_Toc14911"/>
      <w:bookmarkStart w:id="281" w:name="_Toc6199"/>
      <w:bookmarkStart w:id="282" w:name="_Toc26116"/>
      <w:bookmarkStart w:id="283" w:name="_Toc9505"/>
      <w:bookmarkStart w:id="284" w:name="_Toc24126"/>
      <w:bookmarkStart w:id="285" w:name="_Toc1482"/>
      <w:bookmarkStart w:id="286" w:name="_Toc12692"/>
      <w:bookmarkStart w:id="287" w:name="_Toc3262"/>
      <w:bookmarkStart w:id="288" w:name="_Toc16396"/>
      <w:bookmarkStart w:id="289" w:name="_Toc18855"/>
      <w:bookmarkStart w:id="290" w:name="_Toc22384"/>
      <w:bookmarkStart w:id="291" w:name="_Toc4802"/>
      <w:r>
        <w:rPr>
          <w:rFonts w:hint="eastAsia"/>
          <w:color w:val="auto"/>
          <w:highlight w:val="none"/>
        </w:rPr>
        <w:t>开标</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pStyle w:val="6"/>
        <w:numPr>
          <w:ilvl w:val="0"/>
          <w:numId w:val="0"/>
        </w:numPr>
        <w:tabs>
          <w:tab w:val="clear" w:pos="510"/>
        </w:tabs>
        <w:spacing w:line="360" w:lineRule="auto"/>
        <w:ind w:left="0" w:leftChars="0" w:firstLine="510" w:firstLineChars="0"/>
        <w:rPr>
          <w:color w:val="auto"/>
          <w:highlight w:val="none"/>
        </w:rPr>
      </w:pPr>
      <w:bookmarkStart w:id="292" w:name="_Toc300038949"/>
      <w:r>
        <w:rPr>
          <w:rFonts w:hint="eastAsia" w:cs="Times New Roman"/>
          <w:b/>
          <w:bCs/>
          <w:color w:val="auto"/>
          <w:sz w:val="28"/>
          <w:szCs w:val="28"/>
          <w:highlight w:val="none"/>
          <w:lang w:val="en-US" w:eastAsia="zh-CN" w:bidi="ar-SA"/>
        </w:rPr>
        <w:t>16</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开标</w:t>
      </w:r>
      <w:bookmarkEnd w:id="292"/>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16</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s="Arial"/>
          <w:bCs/>
          <w:color w:val="auto"/>
          <w:kern w:val="0"/>
          <w:sz w:val="24"/>
          <w:highlight w:val="none"/>
        </w:rPr>
        <w:t>本项目招标人将按投标人须知前附表（二）日程安排表所规定的时间和地点公开举行开标会议，投标人无须派员参加开标会议，确需现场提交的，派一名人员参加开标会议。</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16</w:t>
      </w:r>
      <w:r>
        <w:rPr>
          <w:rFonts w:hint="eastAsia" w:ascii="宋体" w:hAnsi="宋体" w:eastAsia="宋体" w:cs="Times New Roman"/>
          <w:b w:val="0"/>
          <w:color w:val="auto"/>
          <w:kern w:val="2"/>
          <w:sz w:val="24"/>
          <w:szCs w:val="24"/>
          <w:highlight w:val="none"/>
          <w:lang w:val="en-US" w:eastAsia="zh-CN" w:bidi="ar-SA"/>
        </w:rPr>
        <w:t>.2</w:t>
      </w:r>
      <w:r>
        <w:rPr>
          <w:rFonts w:hint="eastAsia" w:ascii="宋体" w:hAnsi="宋体"/>
          <w:color w:val="auto"/>
          <w:sz w:val="24"/>
          <w:szCs w:val="24"/>
          <w:highlight w:val="none"/>
        </w:rPr>
        <w:t>开标由招标人（或招标代理机构）主持，按下列程序进行开标：</w:t>
      </w:r>
    </w:p>
    <w:p>
      <w:pPr>
        <w:pStyle w:val="21"/>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1）</w:t>
      </w:r>
      <w:r>
        <w:rPr>
          <w:rFonts w:hint="eastAsia" w:ascii="宋体" w:hAnsi="宋体" w:eastAsia="宋体"/>
          <w:color w:val="auto"/>
          <w:kern w:val="2"/>
          <w:sz w:val="24"/>
          <w:szCs w:val="24"/>
          <w:highlight w:val="none"/>
        </w:rPr>
        <w:t>宣布开标开始及会场纪律；</w:t>
      </w:r>
    </w:p>
    <w:p>
      <w:pPr>
        <w:pStyle w:val="21"/>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2）</w:t>
      </w:r>
      <w:r>
        <w:rPr>
          <w:rFonts w:hint="eastAsia" w:ascii="宋体" w:hAnsi="宋体" w:eastAsia="宋体"/>
          <w:color w:val="auto"/>
          <w:kern w:val="2"/>
          <w:sz w:val="24"/>
          <w:szCs w:val="24"/>
          <w:highlight w:val="none"/>
        </w:rPr>
        <w:t>投标人在投标截止时间前递交投标文件撤回函的，招标人（或招标代理机构）宣读撤回函；</w:t>
      </w:r>
    </w:p>
    <w:p>
      <w:pPr>
        <w:pStyle w:val="21"/>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3）参加开标会议的投标人必须按照招标文件规定的时间参加，开标时由招标人（或招标代理机构）验证确认，宣布相关事项</w:t>
      </w:r>
      <w:r>
        <w:rPr>
          <w:rFonts w:hint="eastAsia" w:ascii="宋体" w:hAnsi="宋体" w:eastAsia="宋体"/>
          <w:color w:val="auto"/>
          <w:kern w:val="2"/>
          <w:sz w:val="24"/>
          <w:szCs w:val="24"/>
          <w:highlight w:val="none"/>
        </w:rPr>
        <w:t>；</w:t>
      </w:r>
    </w:p>
    <w:p>
      <w:pPr>
        <w:pStyle w:val="21"/>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4</w:t>
      </w:r>
      <w:r>
        <w:rPr>
          <w:rFonts w:hint="eastAsia" w:ascii="宋体" w:hAnsi="宋体" w:eastAsia="宋体"/>
          <w:color w:val="auto"/>
          <w:kern w:val="2"/>
          <w:sz w:val="24"/>
          <w:szCs w:val="24"/>
          <w:highlight w:val="none"/>
        </w:rPr>
        <w:t>）投标文件启封前，招标人代表检查投标文件的密封状况，招标人（或招标代理机构）宣布投标文件密封情况；</w:t>
      </w:r>
    </w:p>
    <w:p>
      <w:pPr>
        <w:spacing w:line="360" w:lineRule="auto"/>
        <w:ind w:firstLine="480" w:firstLineChars="200"/>
        <w:rPr>
          <w:rFonts w:hint="eastAsia" w:ascii="宋体"/>
          <w:color w:val="auto"/>
          <w:sz w:val="24"/>
          <w:szCs w:val="24"/>
          <w:highlight w:val="none"/>
        </w:rPr>
      </w:pPr>
      <w:r>
        <w:rPr>
          <w:rFonts w:hint="eastAsia" w:ascii="宋体" w:hAnsi="宋体"/>
          <w:color w:val="auto"/>
          <w:kern w:val="2"/>
          <w:sz w:val="24"/>
          <w:szCs w:val="24"/>
          <w:highlight w:val="none"/>
        </w:rPr>
        <w:t>（</w:t>
      </w:r>
      <w:r>
        <w:rPr>
          <w:rFonts w:ascii="宋体" w:hAnsi="宋体"/>
          <w:color w:val="auto"/>
          <w:kern w:val="2"/>
          <w:sz w:val="24"/>
          <w:szCs w:val="24"/>
          <w:highlight w:val="none"/>
        </w:rPr>
        <w:t>5</w:t>
      </w:r>
      <w:r>
        <w:rPr>
          <w:rFonts w:hint="eastAsia" w:ascii="宋体" w:hAnsi="宋体"/>
          <w:color w:val="auto"/>
          <w:kern w:val="2"/>
          <w:sz w:val="24"/>
          <w:szCs w:val="24"/>
          <w:highlight w:val="none"/>
        </w:rPr>
        <w:t>）</w:t>
      </w:r>
      <w:r>
        <w:rPr>
          <w:rFonts w:hint="eastAsia" w:ascii="宋体"/>
          <w:color w:val="auto"/>
          <w:sz w:val="24"/>
          <w:szCs w:val="24"/>
          <w:highlight w:val="none"/>
        </w:rPr>
        <w:t>将投标文件送入评标室进行评审；</w:t>
      </w:r>
    </w:p>
    <w:p>
      <w:pPr>
        <w:pStyle w:val="21"/>
        <w:ind w:left="0" w:leftChars="0" w:firstLine="480" w:firstLineChars="200"/>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lang w:val="en-US" w:eastAsia="zh-CN"/>
        </w:rPr>
        <w:t>（6）抽取确定基准价下浮率，</w:t>
      </w:r>
      <w:r>
        <w:rPr>
          <w:rFonts w:hint="eastAsia" w:ascii="宋体" w:hAnsi="宋体" w:eastAsia="宋体" w:cs="宋体"/>
          <w:color w:val="auto"/>
          <w:kern w:val="2"/>
          <w:sz w:val="24"/>
          <w:szCs w:val="24"/>
          <w:highlight w:val="none"/>
        </w:rPr>
        <w:t>并按照评标办法计算有效标的得分</w:t>
      </w:r>
      <w:r>
        <w:rPr>
          <w:rFonts w:hint="eastAsia" w:ascii="宋体" w:hAnsi="宋体" w:eastAsia="宋体"/>
          <w:color w:val="auto"/>
          <w:kern w:val="2"/>
          <w:sz w:val="24"/>
          <w:szCs w:val="24"/>
          <w:highlight w:val="none"/>
          <w:lang w:val="en-US" w:eastAsia="zh-CN"/>
        </w:rPr>
        <w:t>。</w:t>
      </w:r>
    </w:p>
    <w:p>
      <w:pPr>
        <w:pStyle w:val="21"/>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7</w:t>
      </w:r>
      <w:r>
        <w:rPr>
          <w:rFonts w:hint="eastAsia" w:ascii="宋体" w:hAnsi="宋体" w:eastAsia="宋体"/>
          <w:color w:val="auto"/>
          <w:kern w:val="2"/>
          <w:sz w:val="24"/>
          <w:szCs w:val="24"/>
          <w:highlight w:val="none"/>
        </w:rPr>
        <w:t>）评审结束后，汇总评审结果；</w:t>
      </w:r>
    </w:p>
    <w:p>
      <w:pPr>
        <w:pStyle w:val="21"/>
        <w:ind w:left="0" w:firstLine="559" w:firstLineChars="233"/>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8</w:t>
      </w:r>
      <w:r>
        <w:rPr>
          <w:rFonts w:hint="eastAsia" w:ascii="宋体" w:hAnsi="宋体" w:eastAsia="宋体"/>
          <w:color w:val="auto"/>
          <w:kern w:val="2"/>
          <w:sz w:val="24"/>
          <w:szCs w:val="24"/>
          <w:highlight w:val="none"/>
        </w:rPr>
        <w:t>）招标人、监督人员等有关工作人员在开标记录上签字确认；</w:t>
      </w:r>
    </w:p>
    <w:p>
      <w:pPr>
        <w:pStyle w:val="21"/>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9</w:t>
      </w:r>
      <w:r>
        <w:rPr>
          <w:rFonts w:hint="eastAsia" w:ascii="宋体" w:hAnsi="宋体" w:eastAsia="宋体"/>
          <w:color w:val="auto"/>
          <w:kern w:val="2"/>
          <w:sz w:val="24"/>
          <w:szCs w:val="24"/>
          <w:highlight w:val="none"/>
        </w:rPr>
        <w:t>）宣布评审或开标结果；</w:t>
      </w:r>
    </w:p>
    <w:p>
      <w:pPr>
        <w:pStyle w:val="21"/>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10</w:t>
      </w:r>
      <w:r>
        <w:rPr>
          <w:rFonts w:hint="eastAsia" w:ascii="宋体" w:hAnsi="宋体" w:eastAsia="宋体"/>
          <w:color w:val="auto"/>
          <w:kern w:val="2"/>
          <w:sz w:val="24"/>
          <w:szCs w:val="24"/>
          <w:highlight w:val="none"/>
        </w:rPr>
        <w:t>）开标结束。</w:t>
      </w:r>
    </w:p>
    <w:p>
      <w:pPr>
        <w:spacing w:line="360" w:lineRule="auto"/>
        <w:ind w:firstLine="480" w:firstLineChars="200"/>
        <w:rPr>
          <w:rFonts w:ascii="宋体" w:hAnsi="宋体"/>
          <w:color w:val="auto"/>
          <w:kern w:val="2"/>
          <w:sz w:val="24"/>
          <w:szCs w:val="24"/>
          <w:highlight w:val="none"/>
        </w:rPr>
      </w:pPr>
      <w:r>
        <w:rPr>
          <w:rFonts w:ascii="宋体" w:hAnsi="宋体" w:cs="Arial"/>
          <w:bCs/>
          <w:color w:val="auto"/>
          <w:sz w:val="24"/>
          <w:highlight w:val="none"/>
        </w:rPr>
        <w:t>16.3</w:t>
      </w:r>
      <w:r>
        <w:rPr>
          <w:rFonts w:hint="eastAsia" w:ascii="宋体" w:hAnsi="宋体" w:cs="Arial"/>
          <w:bCs/>
          <w:color w:val="auto"/>
          <w:sz w:val="24"/>
          <w:highlight w:val="none"/>
        </w:rPr>
        <w:t>开标时，如出现以下</w:t>
      </w:r>
      <w:r>
        <w:rPr>
          <w:rFonts w:hint="eastAsia" w:ascii="宋体" w:hAnsi="宋体"/>
          <w:color w:val="auto"/>
          <w:kern w:val="2"/>
          <w:sz w:val="24"/>
          <w:szCs w:val="24"/>
          <w:highlight w:val="none"/>
        </w:rPr>
        <w:t>情况之一的，则投标文件不予启封或宣读，即使已启封或宣读的，其投标文件仍然无效：</w:t>
      </w:r>
    </w:p>
    <w:p>
      <w:pPr>
        <w:spacing w:line="360" w:lineRule="auto"/>
        <w:ind w:firstLine="480" w:firstLineChars="200"/>
        <w:rPr>
          <w:rFonts w:ascii="宋体" w:hAnsi="宋体" w:cs="Arial"/>
          <w:bCs/>
          <w:color w:val="auto"/>
          <w:sz w:val="24"/>
          <w:highlight w:val="none"/>
        </w:rPr>
      </w:pPr>
      <w:bookmarkStart w:id="293" w:name="_Toc970"/>
      <w:bookmarkStart w:id="294" w:name="_Toc32426"/>
      <w:bookmarkStart w:id="295" w:name="_Toc621"/>
      <w:bookmarkStart w:id="296" w:name="_Toc16045"/>
      <w:bookmarkStart w:id="297" w:name="_Toc8962"/>
      <w:bookmarkStart w:id="298" w:name="_Toc16546"/>
      <w:bookmarkStart w:id="299" w:name="_Toc11678"/>
      <w:bookmarkStart w:id="300" w:name="_Toc300038950"/>
      <w:bookmarkStart w:id="301" w:name="_Toc787"/>
      <w:bookmarkStart w:id="302" w:name="_Toc994"/>
      <w:bookmarkStart w:id="303" w:name="_Toc21648"/>
      <w:bookmarkStart w:id="304" w:name="_Toc18375"/>
      <w:bookmarkStart w:id="305" w:name="_Toc10826"/>
      <w:bookmarkStart w:id="306" w:name="_Toc6249"/>
      <w:bookmarkStart w:id="307" w:name="_Toc25433"/>
      <w:bookmarkStart w:id="308" w:name="_Toc21707"/>
      <w:bookmarkStart w:id="309" w:name="_Toc9092"/>
      <w:bookmarkStart w:id="310" w:name="_Toc3151"/>
      <w:bookmarkStart w:id="311" w:name="_Toc8613"/>
      <w:bookmarkStart w:id="312" w:name="_Toc13665"/>
      <w:bookmarkStart w:id="313" w:name="_Toc25508"/>
      <w:bookmarkStart w:id="314" w:name="_Toc17462"/>
      <w:bookmarkStart w:id="315" w:name="_Toc23686"/>
      <w:bookmarkStart w:id="316" w:name="_Toc2511"/>
      <w:bookmarkStart w:id="317" w:name="_Toc13279"/>
      <w:bookmarkStart w:id="318" w:name="_Toc17645"/>
      <w:bookmarkStart w:id="319" w:name="_Toc24959"/>
      <w:bookmarkStart w:id="320" w:name="_Toc19349"/>
      <w:bookmarkStart w:id="321" w:name="_Toc23840"/>
      <w:bookmarkStart w:id="322" w:name="_Toc10635"/>
      <w:r>
        <w:rPr>
          <w:rFonts w:ascii="宋体" w:hAnsi="宋体" w:cs="Arial"/>
          <w:bCs/>
          <w:color w:val="auto"/>
          <w:sz w:val="24"/>
          <w:highlight w:val="none"/>
        </w:rPr>
        <w:t>（1）</w:t>
      </w:r>
      <w:r>
        <w:rPr>
          <w:rFonts w:hint="eastAsia" w:ascii="宋体" w:hAnsi="宋体" w:cs="Arial"/>
          <w:bCs/>
          <w:color w:val="auto"/>
          <w:sz w:val="24"/>
          <w:highlight w:val="none"/>
        </w:rPr>
        <w:t>投标文件逾期送达的或者未送达指定地点的；</w:t>
      </w:r>
    </w:p>
    <w:p>
      <w:pPr>
        <w:spacing w:line="360" w:lineRule="auto"/>
        <w:ind w:firstLine="480" w:firstLineChars="200"/>
        <w:rPr>
          <w:rFonts w:ascii="宋体" w:hAnsi="宋体" w:cs="Arial"/>
          <w:bCs/>
          <w:color w:val="auto"/>
          <w:sz w:val="24"/>
          <w:highlight w:val="none"/>
        </w:rPr>
      </w:pPr>
      <w:r>
        <w:rPr>
          <w:rFonts w:ascii="宋体" w:hAnsi="宋体" w:cs="Arial"/>
          <w:bCs/>
          <w:color w:val="auto"/>
          <w:sz w:val="24"/>
          <w:highlight w:val="none"/>
        </w:rPr>
        <w:t>（2）</w:t>
      </w:r>
      <w:r>
        <w:rPr>
          <w:rFonts w:hint="eastAsia" w:ascii="宋体" w:hAnsi="宋体" w:cs="Arial"/>
          <w:bCs/>
          <w:color w:val="auto"/>
          <w:sz w:val="24"/>
          <w:highlight w:val="none"/>
        </w:rPr>
        <w:t>投标文件未按招标文件要求密封的；</w:t>
      </w:r>
    </w:p>
    <w:p>
      <w:pPr>
        <w:spacing w:line="360" w:lineRule="auto"/>
        <w:ind w:firstLine="480" w:firstLineChars="200"/>
        <w:rPr>
          <w:rFonts w:hint="eastAsia" w:ascii="宋体" w:hAnsi="宋体" w:eastAsia="宋体" w:cs="Arial"/>
          <w:bCs/>
          <w:color w:val="auto"/>
          <w:sz w:val="24"/>
          <w:highlight w:val="none"/>
          <w:lang w:eastAsia="zh-CN"/>
        </w:rPr>
      </w:pPr>
      <w:r>
        <w:rPr>
          <w:rFonts w:ascii="宋体" w:hAnsi="宋体" w:cs="Arial"/>
          <w:bCs/>
          <w:color w:val="auto"/>
          <w:sz w:val="24"/>
          <w:highlight w:val="none"/>
        </w:rPr>
        <w:t>（3）</w:t>
      </w:r>
      <w:r>
        <w:rPr>
          <w:rFonts w:hint="eastAsia" w:ascii="宋体" w:hAnsi="宋体" w:eastAsia="宋体" w:cs="Arial"/>
          <w:bCs/>
          <w:color w:val="auto"/>
          <w:sz w:val="24"/>
          <w:highlight w:val="none"/>
        </w:rPr>
        <w:t>投标文件未按招标文件要求编制的</w:t>
      </w:r>
      <w:r>
        <w:rPr>
          <w:rFonts w:hint="eastAsia" w:ascii="宋体" w:hAnsi="宋体" w:eastAsia="宋体" w:cs="Arial"/>
          <w:bCs/>
          <w:color w:val="auto"/>
          <w:sz w:val="24"/>
          <w:highlight w:val="none"/>
          <w:lang w:eastAsia="zh-CN"/>
        </w:rPr>
        <w:t>，</w:t>
      </w:r>
      <w:r>
        <w:rPr>
          <w:rFonts w:ascii="宋体" w:hAnsi="宋体" w:eastAsia="宋体" w:cs="Arial"/>
          <w:bCs/>
          <w:color w:val="auto"/>
          <w:sz w:val="24"/>
          <w:highlight w:val="none"/>
        </w:rPr>
        <w:t>未</w:t>
      </w:r>
      <w:r>
        <w:rPr>
          <w:rFonts w:hint="eastAsia" w:ascii="宋体" w:hAnsi="宋体" w:eastAsia="宋体" w:cs="Arial"/>
          <w:bCs/>
          <w:color w:val="auto"/>
          <w:sz w:val="24"/>
          <w:highlight w:val="none"/>
        </w:rPr>
        <w:t>按招标文件规定加</w:t>
      </w:r>
      <w:r>
        <w:rPr>
          <w:rFonts w:ascii="宋体" w:hAnsi="宋体" w:eastAsia="宋体" w:cs="Arial"/>
          <w:bCs/>
          <w:color w:val="auto"/>
          <w:sz w:val="24"/>
          <w:highlight w:val="none"/>
        </w:rPr>
        <w:t>盖投标单位公章或缺少法定代表人（或授权代表人）签字或盖章的</w:t>
      </w:r>
      <w:r>
        <w:rPr>
          <w:rFonts w:hint="eastAsia" w:ascii="宋体" w:hAnsi="宋体" w:eastAsia="宋体" w:cs="Arial"/>
          <w:bCs/>
          <w:color w:val="auto"/>
          <w:sz w:val="24"/>
          <w:highlight w:val="none"/>
          <w:lang w:eastAsia="zh-CN"/>
        </w:rPr>
        <w:t>；</w:t>
      </w:r>
    </w:p>
    <w:p>
      <w:pPr>
        <w:spacing w:line="360" w:lineRule="auto"/>
        <w:ind w:firstLine="480" w:firstLineChars="200"/>
        <w:rPr>
          <w:rFonts w:hint="eastAsia" w:ascii="宋体" w:hAnsi="宋体" w:eastAsia="宋体" w:cs="Arial"/>
          <w:bCs/>
          <w:color w:val="auto"/>
          <w:sz w:val="24"/>
          <w:highlight w:val="none"/>
          <w:lang w:eastAsia="zh-CN"/>
        </w:rPr>
      </w:pPr>
      <w:r>
        <w:rPr>
          <w:rFonts w:ascii="宋体" w:hAnsi="宋体" w:eastAsia="宋体" w:cs="Arial"/>
          <w:bCs/>
          <w:color w:val="auto"/>
          <w:sz w:val="24"/>
          <w:highlight w:val="none"/>
        </w:rPr>
        <w:t>（4</w:t>
      </w:r>
      <w:r>
        <w:rPr>
          <w:rFonts w:hint="eastAsia" w:ascii="宋体" w:hAnsi="宋体" w:eastAsia="宋体" w:cs="Arial"/>
          <w:bCs/>
          <w:color w:val="auto"/>
          <w:sz w:val="24"/>
          <w:highlight w:val="none"/>
        </w:rPr>
        <w:t>）投标人不满足招标文件载明的企业资质</w:t>
      </w:r>
      <w:r>
        <w:rPr>
          <w:rFonts w:hint="eastAsia" w:ascii="宋体" w:hAnsi="宋体" w:eastAsia="宋体" w:cs="Arial"/>
          <w:bCs/>
          <w:color w:val="auto"/>
          <w:sz w:val="24"/>
          <w:highlight w:val="none"/>
          <w:lang w:eastAsia="zh-CN"/>
        </w:rPr>
        <w:t>（</w:t>
      </w:r>
      <w:r>
        <w:rPr>
          <w:rFonts w:hint="eastAsia" w:ascii="宋体" w:hAnsi="宋体" w:eastAsia="宋体" w:cs="Arial"/>
          <w:bCs/>
          <w:color w:val="auto"/>
          <w:sz w:val="24"/>
          <w:highlight w:val="none"/>
          <w:lang w:val="en-US" w:eastAsia="zh-CN"/>
        </w:rPr>
        <w:t>资格</w:t>
      </w:r>
      <w:r>
        <w:rPr>
          <w:rFonts w:hint="eastAsia" w:ascii="宋体" w:hAnsi="宋体" w:eastAsia="宋体" w:cs="Arial"/>
          <w:bCs/>
          <w:color w:val="auto"/>
          <w:sz w:val="24"/>
          <w:highlight w:val="none"/>
          <w:lang w:eastAsia="zh-CN"/>
        </w:rPr>
        <w:t>）</w:t>
      </w:r>
      <w:r>
        <w:rPr>
          <w:rFonts w:hint="eastAsia" w:ascii="宋体" w:hAnsi="宋体" w:eastAsia="宋体" w:cs="Arial"/>
          <w:bCs/>
          <w:color w:val="auto"/>
          <w:sz w:val="24"/>
          <w:highlight w:val="none"/>
        </w:rPr>
        <w:t>、人员资格</w:t>
      </w:r>
      <w:r>
        <w:rPr>
          <w:rFonts w:hint="eastAsia" w:ascii="宋体" w:hAnsi="宋体" w:eastAsia="宋体" w:cs="Arial"/>
          <w:bCs/>
          <w:color w:val="auto"/>
          <w:sz w:val="24"/>
          <w:highlight w:val="none"/>
          <w:lang w:val="en-US" w:eastAsia="zh-CN"/>
        </w:rPr>
        <w:t>(业绩）</w:t>
      </w:r>
      <w:r>
        <w:rPr>
          <w:rFonts w:hint="eastAsia" w:ascii="宋体" w:hAnsi="宋体" w:eastAsia="宋体" w:cs="Arial"/>
          <w:bCs/>
          <w:color w:val="auto"/>
          <w:sz w:val="24"/>
          <w:highlight w:val="none"/>
          <w:lang w:eastAsia="zh-CN"/>
        </w:rPr>
        <w:t>、</w:t>
      </w:r>
      <w:r>
        <w:rPr>
          <w:rFonts w:hint="eastAsia" w:ascii="宋体" w:hAnsi="宋体" w:eastAsia="宋体" w:cs="Arial"/>
          <w:bCs/>
          <w:color w:val="auto"/>
          <w:sz w:val="24"/>
          <w:highlight w:val="none"/>
          <w:lang w:val="en-US" w:eastAsia="zh-CN"/>
        </w:rPr>
        <w:t>信誉（信用）要求、</w:t>
      </w:r>
      <w:r>
        <w:rPr>
          <w:rFonts w:hint="eastAsia" w:ascii="宋体" w:hAnsi="宋体" w:eastAsia="宋体" w:cs="Arial"/>
          <w:bCs/>
          <w:color w:val="auto"/>
          <w:sz w:val="24"/>
          <w:highlight w:val="none"/>
        </w:rPr>
        <w:t>业绩条件（若有）的</w:t>
      </w:r>
      <w:r>
        <w:rPr>
          <w:rFonts w:hint="eastAsia" w:ascii="宋体" w:hAnsi="宋体" w:eastAsia="宋体" w:cs="Arial"/>
          <w:bCs/>
          <w:color w:val="auto"/>
          <w:sz w:val="24"/>
          <w:highlight w:val="none"/>
          <w:lang w:eastAsia="zh-CN"/>
        </w:rPr>
        <w:t>；</w:t>
      </w:r>
    </w:p>
    <w:p>
      <w:pPr>
        <w:spacing w:line="360" w:lineRule="auto"/>
        <w:ind w:firstLine="480" w:firstLineChars="200"/>
        <w:rPr>
          <w:rFonts w:ascii="宋体" w:hAnsi="宋体" w:eastAsia="宋体" w:cs="Arial"/>
          <w:bCs/>
          <w:color w:val="auto"/>
          <w:sz w:val="24"/>
          <w:highlight w:val="none"/>
        </w:rPr>
      </w:pPr>
      <w:r>
        <w:rPr>
          <w:rFonts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5</w:t>
      </w:r>
      <w:r>
        <w:rPr>
          <w:rFonts w:ascii="宋体" w:hAnsi="宋体" w:eastAsia="宋体" w:cs="Arial"/>
          <w:bCs/>
          <w:color w:val="auto"/>
          <w:sz w:val="24"/>
          <w:highlight w:val="none"/>
        </w:rPr>
        <w:t>）</w:t>
      </w:r>
      <w:r>
        <w:rPr>
          <w:rFonts w:hint="eastAsia" w:ascii="宋体" w:hAnsi="宋体" w:eastAsia="宋体" w:cs="Arial"/>
          <w:bCs/>
          <w:color w:val="auto"/>
          <w:sz w:val="24"/>
          <w:highlight w:val="none"/>
        </w:rPr>
        <w:t>投标文件要求的</w:t>
      </w:r>
      <w:r>
        <w:rPr>
          <w:rFonts w:hint="eastAsia" w:ascii="宋体" w:hAnsi="宋体" w:eastAsia="宋体" w:cs="Arial"/>
          <w:bCs/>
          <w:color w:val="auto"/>
          <w:sz w:val="24"/>
          <w:highlight w:val="none"/>
          <w:lang w:val="en-US" w:eastAsia="zh-CN"/>
        </w:rPr>
        <w:t>复制件</w:t>
      </w:r>
      <w:r>
        <w:rPr>
          <w:rFonts w:hint="eastAsia" w:ascii="宋体" w:hAnsi="宋体" w:eastAsia="宋体" w:cs="Arial"/>
          <w:bCs/>
          <w:color w:val="auto"/>
          <w:sz w:val="24"/>
          <w:highlight w:val="none"/>
        </w:rPr>
        <w:t>内容不全，或图像模糊不清难以辨认的；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6</w:t>
      </w:r>
      <w:r>
        <w:rPr>
          <w:rFonts w:hint="eastAsia" w:ascii="宋体" w:hAnsi="宋体" w:eastAsia="宋体" w:cs="Arial"/>
          <w:bCs/>
          <w:color w:val="auto"/>
          <w:sz w:val="24"/>
          <w:highlight w:val="none"/>
        </w:rPr>
        <w:t>）投标人未按照招标文件的要求提供投标保证金缴纳证明的；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lang w:eastAsia="zh-CN"/>
        </w:rPr>
        <w:t>（</w:t>
      </w:r>
      <w:r>
        <w:rPr>
          <w:rFonts w:hint="eastAsia" w:ascii="宋体" w:hAnsi="宋体" w:eastAsia="宋体" w:cs="Arial"/>
          <w:bCs/>
          <w:color w:val="auto"/>
          <w:sz w:val="24"/>
          <w:highlight w:val="none"/>
          <w:lang w:val="en-US" w:eastAsia="zh-CN"/>
        </w:rPr>
        <w:t>7</w:t>
      </w:r>
      <w:r>
        <w:rPr>
          <w:rFonts w:hint="eastAsia" w:ascii="宋体" w:hAnsi="宋体" w:eastAsia="宋体" w:cs="Arial"/>
          <w:bCs/>
          <w:color w:val="auto"/>
          <w:sz w:val="24"/>
          <w:highlight w:val="none"/>
          <w:lang w:eastAsia="zh-CN"/>
        </w:rPr>
        <w:t>）</w:t>
      </w:r>
      <w:r>
        <w:rPr>
          <w:rFonts w:hint="eastAsia" w:ascii="宋体" w:hAnsi="宋体" w:eastAsia="宋体" w:cs="Arial"/>
          <w:bCs/>
          <w:color w:val="auto"/>
          <w:sz w:val="24"/>
          <w:highlight w:val="none"/>
        </w:rPr>
        <w:t>投标人递交两份或多份内容不同的投标文件的；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lang w:val="en-US" w:eastAsia="zh-CN"/>
        </w:rPr>
        <w:t>（8）</w:t>
      </w:r>
      <w:r>
        <w:rPr>
          <w:rFonts w:hint="eastAsia" w:ascii="宋体" w:hAnsi="宋体" w:eastAsia="宋体" w:cs="Arial"/>
          <w:bCs/>
          <w:color w:val="auto"/>
          <w:sz w:val="24"/>
          <w:highlight w:val="none"/>
        </w:rPr>
        <w:t>投标人的下浮率报价不在招标文件规定区间内的；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9</w:t>
      </w:r>
      <w:r>
        <w:rPr>
          <w:rFonts w:hint="eastAsia" w:ascii="宋体" w:hAnsi="宋体" w:eastAsia="宋体" w:cs="Arial"/>
          <w:bCs/>
          <w:color w:val="auto"/>
          <w:sz w:val="24"/>
          <w:highlight w:val="none"/>
        </w:rPr>
        <w:t>）投标文件附有招标人不能接受的条件的；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10</w:t>
      </w:r>
      <w:r>
        <w:rPr>
          <w:rFonts w:hint="eastAsia" w:ascii="宋体" w:hAnsi="宋体" w:eastAsia="宋体" w:cs="Arial"/>
          <w:bCs/>
          <w:color w:val="auto"/>
          <w:sz w:val="24"/>
          <w:highlight w:val="none"/>
        </w:rPr>
        <w:t>）联合体投标未附联合体各方共同投标协议的；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11</w:t>
      </w:r>
      <w:r>
        <w:rPr>
          <w:rFonts w:hint="eastAsia" w:ascii="宋体" w:hAnsi="宋体" w:eastAsia="宋体" w:cs="Arial"/>
          <w:bCs/>
          <w:color w:val="auto"/>
          <w:sz w:val="24"/>
          <w:highlight w:val="none"/>
        </w:rPr>
        <w:t>）投标人有串通投标行为的；</w:t>
      </w:r>
    </w:p>
    <w:p>
      <w:pPr>
        <w:spacing w:line="360" w:lineRule="auto"/>
        <w:ind w:firstLine="480" w:firstLineChars="200"/>
        <w:rPr>
          <w:rFonts w:hint="eastAsia" w:ascii="宋体" w:hAnsi="宋体" w:eastAsia="宋体" w:cs="Arial"/>
          <w:bCs/>
          <w:color w:val="auto"/>
          <w:sz w:val="24"/>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12</w:t>
      </w:r>
      <w:r>
        <w:rPr>
          <w:rFonts w:hint="eastAsia" w:ascii="宋体" w:hAnsi="宋体" w:eastAsia="宋体" w:cs="Arial"/>
          <w:bCs/>
          <w:color w:val="auto"/>
          <w:sz w:val="24"/>
          <w:highlight w:val="none"/>
        </w:rPr>
        <w:t>）投标人有弄虚作假行为的；</w:t>
      </w:r>
    </w:p>
    <w:p>
      <w:pPr>
        <w:spacing w:line="360" w:lineRule="auto"/>
        <w:ind w:firstLine="480" w:firstLineChars="200"/>
        <w:rPr>
          <w:rFonts w:hint="eastAsia"/>
          <w:color w:val="auto"/>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13</w:t>
      </w:r>
      <w:r>
        <w:rPr>
          <w:rFonts w:hint="eastAsia" w:ascii="宋体" w:hAnsi="宋体" w:eastAsia="宋体" w:cs="Arial"/>
          <w:bCs/>
          <w:color w:val="auto"/>
          <w:sz w:val="24"/>
          <w:highlight w:val="none"/>
        </w:rPr>
        <w:t>）其他依法应作为无效标处理的。</w:t>
      </w:r>
    </w:p>
    <w:p>
      <w:pPr>
        <w:pStyle w:val="4"/>
        <w:numPr>
          <w:ilvl w:val="3"/>
          <w:numId w:val="1"/>
        </w:numPr>
        <w:spacing w:line="360" w:lineRule="auto"/>
        <w:jc w:val="center"/>
        <w:rPr>
          <w:color w:val="auto"/>
          <w:highlight w:val="none"/>
        </w:rPr>
      </w:pPr>
      <w:bookmarkStart w:id="323" w:name="_Toc21624"/>
      <w:r>
        <w:rPr>
          <w:rFonts w:hint="eastAsia"/>
          <w:color w:val="auto"/>
          <w:highlight w:val="none"/>
        </w:rPr>
        <w:t>评标</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pPr>
        <w:pStyle w:val="6"/>
        <w:numPr>
          <w:ilvl w:val="0"/>
          <w:numId w:val="0"/>
        </w:numPr>
        <w:tabs>
          <w:tab w:val="clear" w:pos="510"/>
        </w:tabs>
        <w:spacing w:line="360" w:lineRule="auto"/>
        <w:ind w:left="0" w:leftChars="0" w:firstLine="510" w:firstLineChars="0"/>
        <w:rPr>
          <w:color w:val="auto"/>
          <w:highlight w:val="none"/>
        </w:rPr>
      </w:pPr>
      <w:bookmarkStart w:id="324" w:name="_Toc300038951"/>
      <w:r>
        <w:rPr>
          <w:rFonts w:hint="eastAsia" w:cs="Times New Roman"/>
          <w:b/>
          <w:bCs/>
          <w:color w:val="auto"/>
          <w:sz w:val="28"/>
          <w:szCs w:val="28"/>
          <w:highlight w:val="none"/>
          <w:lang w:val="en-US" w:eastAsia="zh-CN" w:bidi="ar-SA"/>
        </w:rPr>
        <w:t>17</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评标委员会</w:t>
      </w:r>
      <w:bookmarkEnd w:id="324"/>
    </w:p>
    <w:p>
      <w:pPr>
        <w:pStyle w:val="8"/>
        <w:keepNext w:val="0"/>
        <w:keepLines w:val="0"/>
        <w:pageBreakBefore w:val="0"/>
        <w:widowControl w:val="0"/>
        <w:tabs>
          <w:tab w:val="left" w:pos="1000"/>
        </w:tabs>
        <w:kinsoku/>
        <w:wordWrap/>
        <w:overflowPunct/>
        <w:topLinePunct w:val="0"/>
        <w:autoSpaceDE/>
        <w:autoSpaceDN/>
        <w:bidi w:val="0"/>
        <w:adjustRightInd w:val="0"/>
        <w:snapToGrid w:val="0"/>
        <w:spacing w:line="360" w:lineRule="auto"/>
        <w:jc w:val="left"/>
        <w:textAlignment w:val="baseline"/>
        <w:rPr>
          <w:rFonts w:hint="eastAsia" w:ascii="宋体" w:hAnsi="宋体" w:cs="宋体"/>
          <w:color w:val="auto"/>
          <w:sz w:val="24"/>
          <w:highlight w:val="none"/>
          <w:lang w:val="en-US" w:eastAsia="zh-CN"/>
        </w:rPr>
      </w:pPr>
      <w:r>
        <w:rPr>
          <w:rFonts w:hint="eastAsia" w:ascii="宋体" w:hAnsi="宋体" w:cs="Times New Roman"/>
          <w:b w:val="0"/>
          <w:color w:val="auto"/>
          <w:kern w:val="2"/>
          <w:sz w:val="24"/>
          <w:szCs w:val="24"/>
          <w:highlight w:val="none"/>
          <w:lang w:val="en-US" w:eastAsia="zh-CN" w:bidi="ar-SA"/>
        </w:rPr>
        <w:t>17</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s="宋体"/>
          <w:bCs/>
          <w:color w:val="auto"/>
          <w:kern w:val="0"/>
          <w:sz w:val="24"/>
          <w:highlight w:val="none"/>
        </w:rPr>
        <w:t>招标人</w:t>
      </w:r>
      <w:r>
        <w:rPr>
          <w:rFonts w:hint="eastAsia" w:ascii="宋体" w:hAnsi="宋体" w:cs="宋体"/>
          <w:color w:val="auto"/>
          <w:sz w:val="24"/>
          <w:szCs w:val="22"/>
          <w:highlight w:val="none"/>
        </w:rPr>
        <w:t>按相关规定组建评标委员会,负责本项目的评标工作。</w:t>
      </w:r>
      <w:r>
        <w:rPr>
          <w:rFonts w:hint="eastAsia" w:ascii="宋体" w:hAnsi="宋体" w:cs="宋体"/>
          <w:color w:val="auto"/>
          <w:sz w:val="24"/>
          <w:highlight w:val="none"/>
        </w:rPr>
        <w:t>评标委员会由</w:t>
      </w:r>
      <w:r>
        <w:rPr>
          <w:rFonts w:hint="eastAsia" w:ascii="宋体" w:hAnsi="宋体" w:cs="宋体"/>
          <w:color w:val="auto"/>
          <w:sz w:val="24"/>
          <w:highlight w:val="none"/>
          <w:u w:val="single"/>
        </w:rPr>
        <w:t>5人及以上单数</w:t>
      </w:r>
      <w:r>
        <w:rPr>
          <w:rFonts w:hint="eastAsia" w:ascii="宋体" w:hAnsi="宋体" w:cs="宋体"/>
          <w:color w:val="auto"/>
          <w:sz w:val="24"/>
          <w:highlight w:val="none"/>
        </w:rPr>
        <w:t>组成。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w:t>
      </w:r>
      <w:r>
        <w:rPr>
          <w:rFonts w:hint="eastAsia" w:ascii="宋体" w:hAnsi="宋体" w:cs="宋体"/>
          <w:color w:val="auto"/>
          <w:sz w:val="24"/>
          <w:highlight w:val="none"/>
          <w:lang w:val="en-US" w:eastAsia="zh-CN"/>
        </w:rPr>
        <w:t>。</w:t>
      </w:r>
    </w:p>
    <w:p>
      <w:pPr>
        <w:pStyle w:val="8"/>
        <w:keepNext w:val="0"/>
        <w:keepLines w:val="0"/>
        <w:pageBreakBefore w:val="0"/>
        <w:widowControl w:val="0"/>
        <w:tabs>
          <w:tab w:val="left" w:pos="1000"/>
        </w:tabs>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color w:val="auto"/>
          <w:sz w:val="24"/>
          <w:highlight w:val="none"/>
        </w:rPr>
      </w:pPr>
      <w:r>
        <w:rPr>
          <w:rFonts w:hint="eastAsia" w:ascii="宋体" w:hAnsi="宋体" w:cs="Times New Roman"/>
          <w:b w:val="0"/>
          <w:color w:val="auto"/>
          <w:kern w:val="2"/>
          <w:sz w:val="24"/>
          <w:szCs w:val="24"/>
          <w:highlight w:val="none"/>
          <w:lang w:val="en-US" w:eastAsia="zh-CN" w:bidi="ar-SA"/>
        </w:rPr>
        <w:t>17</w:t>
      </w:r>
      <w:r>
        <w:rPr>
          <w:rFonts w:hint="eastAsia" w:ascii="宋体" w:hAnsi="宋体" w:eastAsia="宋体" w:cs="Times New Roman"/>
          <w:b w:val="0"/>
          <w:color w:val="auto"/>
          <w:kern w:val="2"/>
          <w:sz w:val="24"/>
          <w:szCs w:val="24"/>
          <w:highlight w:val="none"/>
          <w:lang w:val="en-US" w:eastAsia="zh-CN" w:bidi="ar-SA"/>
        </w:rPr>
        <w:t>.2</w:t>
      </w:r>
      <w:r>
        <w:rPr>
          <w:rFonts w:hint="eastAsia" w:ascii="宋体" w:hAnsi="宋体"/>
          <w:color w:val="auto"/>
          <w:sz w:val="24"/>
          <w:highlight w:val="none"/>
        </w:rPr>
        <w:t>评标委员会必须严格按照招标文件确定的评标标准和评标办法进行评审。</w:t>
      </w:r>
    </w:p>
    <w:p>
      <w:pPr>
        <w:pStyle w:val="8"/>
        <w:keepNext w:val="0"/>
        <w:keepLines w:val="0"/>
        <w:pageBreakBefore w:val="0"/>
        <w:widowControl w:val="0"/>
        <w:tabs>
          <w:tab w:val="left" w:pos="1000"/>
        </w:tabs>
        <w:kinsoku/>
        <w:wordWrap/>
        <w:overflowPunct/>
        <w:topLinePunct w:val="0"/>
        <w:autoSpaceDE/>
        <w:autoSpaceDN/>
        <w:bidi w:val="0"/>
        <w:adjustRightInd w:val="0"/>
        <w:snapToGrid w:val="0"/>
        <w:spacing w:line="360" w:lineRule="auto"/>
        <w:ind w:firstLine="480" w:firstLineChars="200"/>
        <w:jc w:val="left"/>
        <w:textAlignment w:val="baseline"/>
        <w:rPr>
          <w:rFonts w:ascii="宋体" w:hAnsi="宋体"/>
          <w:color w:val="auto"/>
          <w:sz w:val="24"/>
          <w:highlight w:val="none"/>
        </w:rPr>
      </w:pPr>
      <w:r>
        <w:rPr>
          <w:rFonts w:hint="eastAsia" w:ascii="宋体" w:hAnsi="宋体" w:cs="Times New Roman"/>
          <w:b w:val="0"/>
          <w:color w:val="auto"/>
          <w:kern w:val="2"/>
          <w:sz w:val="24"/>
          <w:szCs w:val="24"/>
          <w:highlight w:val="none"/>
          <w:lang w:val="en-US" w:eastAsia="zh-CN" w:bidi="ar-SA"/>
        </w:rPr>
        <w:t>17</w:t>
      </w:r>
      <w:r>
        <w:rPr>
          <w:rFonts w:hint="eastAsia" w:ascii="宋体" w:hAnsi="宋体" w:eastAsia="宋体" w:cs="Times New Roman"/>
          <w:b w:val="0"/>
          <w:color w:val="auto"/>
          <w:kern w:val="2"/>
          <w:sz w:val="24"/>
          <w:szCs w:val="24"/>
          <w:highlight w:val="none"/>
          <w:lang w:val="en-US" w:eastAsia="zh-CN" w:bidi="ar-SA"/>
        </w:rPr>
        <w:t>.3</w:t>
      </w:r>
      <w:r>
        <w:rPr>
          <w:rFonts w:hint="eastAsia" w:ascii="宋体" w:hAnsi="宋体"/>
          <w:color w:val="auto"/>
          <w:sz w:val="24"/>
          <w:highlight w:val="none"/>
        </w:rPr>
        <w:t>评标委员会成员有下列情形之一的，应当回避：</w:t>
      </w:r>
    </w:p>
    <w:p>
      <w:pPr>
        <w:pStyle w:val="8"/>
        <w:keepNext w:val="0"/>
        <w:keepLines w:val="0"/>
        <w:pageBreakBefore w:val="0"/>
        <w:widowControl w:val="0"/>
        <w:tabs>
          <w:tab w:val="left" w:pos="1000"/>
        </w:tabs>
        <w:kinsoku/>
        <w:wordWrap/>
        <w:overflowPunct/>
        <w:topLinePunct w:val="0"/>
        <w:autoSpaceDE/>
        <w:autoSpaceDN/>
        <w:bidi w:val="0"/>
        <w:adjustRightInd w:val="0"/>
        <w:snapToGrid w:val="0"/>
        <w:spacing w:line="360" w:lineRule="auto"/>
        <w:jc w:val="left"/>
        <w:textAlignment w:val="baseline"/>
        <w:rPr>
          <w:rFonts w:ascii="宋体" w:hAnsi="宋体"/>
          <w:color w:val="auto"/>
          <w:sz w:val="24"/>
          <w:highlight w:val="none"/>
        </w:rPr>
      </w:pPr>
      <w:r>
        <w:rPr>
          <w:rFonts w:ascii="宋体" w:hAnsi="宋体"/>
          <w:color w:val="auto"/>
          <w:sz w:val="24"/>
          <w:highlight w:val="none"/>
        </w:rPr>
        <w:t>17.3.1与投标人有经济利益关系，可能影响对投标公正评审的；</w:t>
      </w:r>
    </w:p>
    <w:p>
      <w:pPr>
        <w:pStyle w:val="8"/>
        <w:keepNext w:val="0"/>
        <w:keepLines w:val="0"/>
        <w:pageBreakBefore w:val="0"/>
        <w:widowControl w:val="0"/>
        <w:tabs>
          <w:tab w:val="left" w:pos="1000"/>
        </w:tabs>
        <w:kinsoku/>
        <w:wordWrap/>
        <w:overflowPunct/>
        <w:topLinePunct w:val="0"/>
        <w:autoSpaceDE/>
        <w:autoSpaceDN/>
        <w:bidi w:val="0"/>
        <w:adjustRightInd w:val="0"/>
        <w:snapToGrid w:val="0"/>
        <w:spacing w:line="360" w:lineRule="auto"/>
        <w:jc w:val="left"/>
        <w:textAlignment w:val="baseline"/>
        <w:rPr>
          <w:rFonts w:ascii="宋体" w:hAnsi="宋体"/>
          <w:color w:val="auto"/>
          <w:sz w:val="24"/>
          <w:highlight w:val="none"/>
        </w:rPr>
      </w:pPr>
      <w:r>
        <w:rPr>
          <w:rFonts w:ascii="宋体" w:hAnsi="宋体"/>
          <w:color w:val="auto"/>
          <w:sz w:val="24"/>
          <w:highlight w:val="none"/>
        </w:rPr>
        <w:t>17.3.2曾因在招标、评标以及其他与招标投标有关活动中从事违法行为而受过行政处罚或刑事处罚的；</w:t>
      </w:r>
    </w:p>
    <w:p>
      <w:pPr>
        <w:pStyle w:val="8"/>
        <w:keepNext w:val="0"/>
        <w:keepLines w:val="0"/>
        <w:pageBreakBefore w:val="0"/>
        <w:widowControl w:val="0"/>
        <w:tabs>
          <w:tab w:val="left" w:pos="1000"/>
        </w:tabs>
        <w:kinsoku/>
        <w:wordWrap/>
        <w:overflowPunct/>
        <w:topLinePunct w:val="0"/>
        <w:autoSpaceDE/>
        <w:autoSpaceDN/>
        <w:bidi w:val="0"/>
        <w:adjustRightInd w:val="0"/>
        <w:snapToGrid w:val="0"/>
        <w:spacing w:line="360" w:lineRule="auto"/>
        <w:jc w:val="left"/>
        <w:textAlignment w:val="baseline"/>
        <w:rPr>
          <w:rFonts w:ascii="宋体" w:hAnsi="宋体"/>
          <w:color w:val="auto"/>
          <w:sz w:val="24"/>
          <w:highlight w:val="none"/>
        </w:rPr>
      </w:pPr>
      <w:r>
        <w:rPr>
          <w:rFonts w:ascii="宋体" w:hAnsi="宋体"/>
          <w:color w:val="auto"/>
          <w:sz w:val="24"/>
          <w:highlight w:val="none"/>
        </w:rPr>
        <w:t>17.3.3其他与投标人有利害关系的情形。</w:t>
      </w:r>
    </w:p>
    <w:p>
      <w:pPr>
        <w:pStyle w:val="6"/>
        <w:numPr>
          <w:ilvl w:val="0"/>
          <w:numId w:val="0"/>
        </w:numPr>
        <w:tabs>
          <w:tab w:val="clear" w:pos="510"/>
        </w:tabs>
        <w:spacing w:line="360" w:lineRule="auto"/>
        <w:ind w:left="0" w:leftChars="0" w:firstLine="510" w:firstLineChars="0"/>
        <w:rPr>
          <w:color w:val="auto"/>
          <w:highlight w:val="none"/>
        </w:rPr>
      </w:pPr>
      <w:bookmarkStart w:id="325" w:name="_Toc300038952"/>
      <w:r>
        <w:rPr>
          <w:rFonts w:hint="eastAsia" w:cs="Times New Roman"/>
          <w:b/>
          <w:bCs/>
          <w:color w:val="auto"/>
          <w:sz w:val="28"/>
          <w:szCs w:val="28"/>
          <w:highlight w:val="none"/>
          <w:lang w:val="en-US" w:eastAsia="zh-CN" w:bidi="ar-SA"/>
        </w:rPr>
        <w:t>18</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评标原则</w:t>
      </w:r>
      <w:bookmarkEnd w:id="325"/>
    </w:p>
    <w:p>
      <w:pPr>
        <w:pStyle w:val="8"/>
        <w:tabs>
          <w:tab w:val="left" w:pos="1000"/>
        </w:tabs>
        <w:snapToGrid w:val="0"/>
        <w:spacing w:line="360" w:lineRule="auto"/>
        <w:ind w:left="510" w:firstLine="0"/>
        <w:jc w:val="left"/>
        <w:rPr>
          <w:rFonts w:ascii="宋体" w:hAnsi="宋体"/>
          <w:color w:val="auto"/>
          <w:sz w:val="24"/>
          <w:szCs w:val="24"/>
          <w:highlight w:val="none"/>
        </w:rPr>
      </w:pPr>
      <w:r>
        <w:rPr>
          <w:rFonts w:hint="eastAsia" w:ascii="宋体" w:hAnsi="宋体"/>
          <w:color w:val="auto"/>
          <w:sz w:val="24"/>
          <w:szCs w:val="24"/>
          <w:highlight w:val="none"/>
        </w:rPr>
        <w:t>遵循</w:t>
      </w:r>
      <w:r>
        <w:rPr>
          <w:rFonts w:hint="eastAsia" w:ascii="宋体" w:hAnsi="宋体"/>
          <w:color w:val="auto"/>
          <w:sz w:val="24"/>
          <w:highlight w:val="none"/>
        </w:rPr>
        <w:t>公开、公平、公正、择优和诚实信用的原则。</w:t>
      </w:r>
    </w:p>
    <w:p>
      <w:pPr>
        <w:pStyle w:val="6"/>
        <w:numPr>
          <w:ilvl w:val="0"/>
          <w:numId w:val="0"/>
        </w:numPr>
        <w:tabs>
          <w:tab w:val="clear" w:pos="510"/>
        </w:tabs>
        <w:spacing w:line="360" w:lineRule="auto"/>
        <w:ind w:left="0" w:leftChars="0" w:firstLine="510" w:firstLineChars="0"/>
        <w:rPr>
          <w:color w:val="auto"/>
          <w:highlight w:val="none"/>
        </w:rPr>
      </w:pPr>
      <w:bookmarkStart w:id="326" w:name="_Toc300038953"/>
      <w:r>
        <w:rPr>
          <w:rFonts w:hint="eastAsia" w:cs="Times New Roman"/>
          <w:b/>
          <w:bCs/>
          <w:color w:val="auto"/>
          <w:sz w:val="28"/>
          <w:szCs w:val="28"/>
          <w:highlight w:val="none"/>
          <w:lang w:val="en-US" w:eastAsia="zh-CN" w:bidi="ar-SA"/>
        </w:rPr>
        <w:t>19.</w:t>
      </w:r>
      <w:r>
        <w:rPr>
          <w:rFonts w:hint="eastAsia"/>
          <w:color w:val="auto"/>
          <w:highlight w:val="none"/>
        </w:rPr>
        <w:t>评标过程</w:t>
      </w:r>
      <w:bookmarkEnd w:id="326"/>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19</w:t>
      </w:r>
      <w:r>
        <w:rPr>
          <w:rFonts w:hint="eastAsia" w:ascii="宋体" w:hAnsi="宋体" w:eastAsia="宋体" w:cs="Times New Roman"/>
          <w:b w:val="0"/>
          <w:color w:val="auto"/>
          <w:kern w:val="2"/>
          <w:sz w:val="24"/>
          <w:szCs w:val="24"/>
          <w:highlight w:val="none"/>
          <w:lang w:val="en-US" w:eastAsia="zh-CN" w:bidi="ar-SA"/>
        </w:rPr>
        <w:t>.1</w:t>
      </w:r>
      <w:r>
        <w:rPr>
          <w:rFonts w:hint="eastAsia" w:ascii="宋体" w:hAnsi="宋体"/>
          <w:color w:val="auto"/>
          <w:sz w:val="24"/>
          <w:szCs w:val="24"/>
          <w:highlight w:val="none"/>
        </w:rPr>
        <w:t>本招标项目采用的评标办法见“第三章 评标办法和标准”。</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19</w:t>
      </w:r>
      <w:r>
        <w:rPr>
          <w:rFonts w:hint="eastAsia" w:ascii="宋体" w:hAnsi="宋体" w:eastAsia="宋体" w:cs="Times New Roman"/>
          <w:b w:val="0"/>
          <w:color w:val="auto"/>
          <w:kern w:val="2"/>
          <w:sz w:val="24"/>
          <w:szCs w:val="24"/>
          <w:highlight w:val="none"/>
          <w:lang w:val="en-US" w:eastAsia="zh-CN" w:bidi="ar-SA"/>
        </w:rPr>
        <w:t>.2</w:t>
      </w:r>
      <w:r>
        <w:rPr>
          <w:rFonts w:hint="eastAsia" w:ascii="宋体" w:hAnsi="宋体"/>
          <w:color w:val="auto"/>
          <w:sz w:val="24"/>
          <w:szCs w:val="24"/>
          <w:highlight w:val="none"/>
        </w:rPr>
        <w:t>评标委员会按照招标文件“第三章 评标办法和标准”规定进行评标。</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19</w:t>
      </w:r>
      <w:r>
        <w:rPr>
          <w:rFonts w:hint="eastAsia" w:ascii="宋体" w:hAnsi="宋体" w:eastAsia="宋体" w:cs="Times New Roman"/>
          <w:b w:val="0"/>
          <w:color w:val="auto"/>
          <w:kern w:val="2"/>
          <w:sz w:val="24"/>
          <w:szCs w:val="24"/>
          <w:highlight w:val="none"/>
          <w:lang w:val="en-US" w:eastAsia="zh-CN" w:bidi="ar-SA"/>
        </w:rPr>
        <w:t>.3</w:t>
      </w:r>
      <w:r>
        <w:rPr>
          <w:rFonts w:hint="eastAsia" w:ascii="宋体" w:hAnsi="宋体"/>
          <w:color w:val="auto"/>
          <w:sz w:val="24"/>
          <w:szCs w:val="24"/>
          <w:highlight w:val="none"/>
        </w:rPr>
        <w:t>开标后至</w:t>
      </w:r>
      <w:r>
        <w:rPr>
          <w:rFonts w:hint="eastAsia" w:ascii="宋体" w:hAnsi="宋体" w:cs="Arial"/>
          <w:bCs/>
          <w:color w:val="auto"/>
          <w:kern w:val="0"/>
          <w:sz w:val="24"/>
          <w:highlight w:val="none"/>
        </w:rPr>
        <w:t>招标人</w:t>
      </w:r>
      <w:r>
        <w:rPr>
          <w:rFonts w:hint="eastAsia" w:ascii="宋体" w:hAnsi="宋体"/>
          <w:color w:val="auto"/>
          <w:sz w:val="24"/>
          <w:szCs w:val="24"/>
          <w:highlight w:val="none"/>
        </w:rPr>
        <w:t>公布中标结果之前，凡属于对投标文件的审查、澄清、评价和比较的有关资料及有关投标人或中标候选人的推荐情况、与评标有关的其他任何情况均应严格保密，都不应向投标人或与该过程无关的其他人泄露。</w:t>
      </w:r>
    </w:p>
    <w:p>
      <w:pPr>
        <w:pStyle w:val="8"/>
        <w:numPr>
          <w:ilvl w:val="1"/>
          <w:numId w:val="0"/>
        </w:numPr>
        <w:tabs>
          <w:tab w:val="left" w:pos="1000"/>
        </w:tabs>
        <w:snapToGrid w:val="0"/>
        <w:spacing w:line="360" w:lineRule="auto"/>
        <w:ind w:left="0" w:leftChars="0" w:firstLine="510" w:firstLineChars="0"/>
        <w:jc w:val="left"/>
        <w:rPr>
          <w:rFonts w:ascii="宋体" w:hAnsi="宋体"/>
          <w:color w:val="auto"/>
          <w:sz w:val="24"/>
          <w:szCs w:val="24"/>
          <w:highlight w:val="none"/>
        </w:rPr>
      </w:pPr>
      <w:r>
        <w:rPr>
          <w:rFonts w:hint="eastAsia" w:ascii="宋体" w:hAnsi="宋体" w:cs="Times New Roman"/>
          <w:b w:val="0"/>
          <w:color w:val="auto"/>
          <w:kern w:val="2"/>
          <w:sz w:val="24"/>
          <w:szCs w:val="24"/>
          <w:highlight w:val="none"/>
          <w:lang w:val="en-US" w:eastAsia="zh-CN" w:bidi="ar-SA"/>
        </w:rPr>
        <w:t>19</w:t>
      </w:r>
      <w:r>
        <w:rPr>
          <w:rFonts w:hint="eastAsia" w:ascii="宋体" w:hAnsi="宋体" w:eastAsia="宋体" w:cs="Times New Roman"/>
          <w:b w:val="0"/>
          <w:color w:val="auto"/>
          <w:kern w:val="2"/>
          <w:sz w:val="24"/>
          <w:szCs w:val="24"/>
          <w:highlight w:val="none"/>
          <w:lang w:val="en-US" w:eastAsia="zh-CN" w:bidi="ar-SA"/>
        </w:rPr>
        <w:t>.4</w:t>
      </w:r>
      <w:r>
        <w:rPr>
          <w:rFonts w:hint="eastAsia" w:ascii="宋体" w:hAnsi="宋体"/>
          <w:color w:val="auto"/>
          <w:sz w:val="24"/>
          <w:szCs w:val="24"/>
          <w:highlight w:val="none"/>
        </w:rPr>
        <w:t>在投标文件的评审和比较、中标候选人推荐以及授予合同过程中，投标人任何试图影响或干扰</w:t>
      </w:r>
      <w:r>
        <w:rPr>
          <w:rFonts w:hint="eastAsia" w:ascii="宋体" w:hAnsi="宋体" w:cs="Arial"/>
          <w:bCs/>
          <w:color w:val="auto"/>
          <w:kern w:val="0"/>
          <w:sz w:val="24"/>
          <w:highlight w:val="none"/>
        </w:rPr>
        <w:t>招标人</w:t>
      </w:r>
      <w:r>
        <w:rPr>
          <w:rFonts w:hint="eastAsia" w:ascii="宋体" w:hAnsi="宋体"/>
          <w:color w:val="auto"/>
          <w:sz w:val="24"/>
          <w:szCs w:val="24"/>
          <w:highlight w:val="none"/>
        </w:rPr>
        <w:t>和评委会的评标活动，都可能导致其投标无效。</w:t>
      </w:r>
    </w:p>
    <w:p>
      <w:pPr>
        <w:pStyle w:val="4"/>
        <w:numPr>
          <w:ilvl w:val="3"/>
          <w:numId w:val="1"/>
        </w:numPr>
        <w:spacing w:line="360" w:lineRule="auto"/>
        <w:jc w:val="center"/>
        <w:rPr>
          <w:color w:val="auto"/>
          <w:highlight w:val="none"/>
        </w:rPr>
      </w:pPr>
      <w:bookmarkStart w:id="327" w:name="_Toc25239"/>
      <w:bookmarkStart w:id="328" w:name="_Toc29142"/>
      <w:bookmarkStart w:id="329" w:name="_Toc21793"/>
      <w:bookmarkStart w:id="330" w:name="_Toc9881"/>
      <w:bookmarkStart w:id="331" w:name="_Toc16755"/>
      <w:bookmarkStart w:id="332" w:name="_Toc17605"/>
      <w:bookmarkStart w:id="333" w:name="_Toc2862"/>
      <w:bookmarkStart w:id="334" w:name="_Toc27603"/>
      <w:bookmarkStart w:id="335" w:name="_Toc12661"/>
      <w:bookmarkStart w:id="336" w:name="_Toc32732"/>
      <w:bookmarkStart w:id="337" w:name="_Toc11132"/>
      <w:bookmarkStart w:id="338" w:name="_Toc11499"/>
      <w:bookmarkStart w:id="339" w:name="_Toc31989"/>
      <w:bookmarkStart w:id="340" w:name="_Toc26194"/>
      <w:bookmarkStart w:id="341" w:name="_Toc28493"/>
      <w:bookmarkStart w:id="342" w:name="_Toc24738"/>
      <w:bookmarkStart w:id="343" w:name="_Toc23489"/>
      <w:bookmarkStart w:id="344" w:name="_Toc7119"/>
      <w:bookmarkStart w:id="345" w:name="_Toc1839"/>
      <w:bookmarkStart w:id="346" w:name="_Toc26384"/>
      <w:bookmarkStart w:id="347" w:name="_Toc28621"/>
      <w:bookmarkStart w:id="348" w:name="_Toc23929"/>
      <w:bookmarkStart w:id="349" w:name="_Toc6658"/>
      <w:bookmarkStart w:id="350" w:name="_Toc17101"/>
      <w:bookmarkStart w:id="351" w:name="_Toc8756"/>
      <w:bookmarkStart w:id="352" w:name="_Toc8274"/>
      <w:bookmarkStart w:id="353" w:name="_Toc22704"/>
      <w:r>
        <w:rPr>
          <w:rFonts w:hint="eastAsia"/>
          <w:color w:val="auto"/>
          <w:highlight w:val="none"/>
          <w:lang w:val="en-US" w:eastAsia="zh-CN"/>
        </w:rPr>
        <w:t>推荐</w:t>
      </w:r>
      <w:r>
        <w:rPr>
          <w:rFonts w:hint="eastAsia"/>
          <w:color w:val="auto"/>
          <w:highlight w:val="none"/>
        </w:rPr>
        <w:t>中标候选人名单</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pPr>
        <w:pStyle w:val="6"/>
        <w:numPr>
          <w:ilvl w:val="0"/>
          <w:numId w:val="0"/>
        </w:numPr>
        <w:tabs>
          <w:tab w:val="clear" w:pos="510"/>
        </w:tabs>
        <w:spacing w:line="360" w:lineRule="auto"/>
        <w:ind w:left="0" w:leftChars="0" w:firstLine="510" w:firstLineChars="0"/>
        <w:rPr>
          <w:color w:val="auto"/>
          <w:highlight w:val="none"/>
        </w:rPr>
      </w:pPr>
      <w:r>
        <w:rPr>
          <w:rFonts w:hint="eastAsia" w:cs="Times New Roman"/>
          <w:b/>
          <w:bCs/>
          <w:color w:val="auto"/>
          <w:sz w:val="28"/>
          <w:szCs w:val="28"/>
          <w:highlight w:val="none"/>
          <w:lang w:val="en-US" w:eastAsia="zh-CN" w:bidi="ar-SA"/>
        </w:rPr>
        <w:t>20</w:t>
      </w:r>
      <w:r>
        <w:rPr>
          <w:rFonts w:hint="eastAsia" w:ascii="Times New Roman" w:hAnsi="Times New Roman" w:eastAsia="宋体" w:cs="Times New Roman"/>
          <w:b/>
          <w:bCs/>
          <w:color w:val="auto"/>
          <w:sz w:val="28"/>
          <w:szCs w:val="28"/>
          <w:highlight w:val="none"/>
          <w:lang w:val="en-US" w:eastAsia="zh-CN" w:bidi="ar-SA"/>
        </w:rPr>
        <w:t>.</w:t>
      </w:r>
      <w:r>
        <w:rPr>
          <w:rFonts w:hint="eastAsia" w:cs="Times New Roman"/>
          <w:b/>
          <w:bCs/>
          <w:color w:val="auto"/>
          <w:sz w:val="28"/>
          <w:szCs w:val="28"/>
          <w:highlight w:val="none"/>
          <w:lang w:val="en-US" w:eastAsia="zh-CN" w:bidi="ar-SA"/>
        </w:rPr>
        <w:t>推荐</w:t>
      </w:r>
      <w:r>
        <w:rPr>
          <w:rFonts w:hint="eastAsia"/>
          <w:color w:val="auto"/>
          <w:highlight w:val="none"/>
        </w:rPr>
        <w:t>中标候选人名单</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20</w:t>
      </w:r>
      <w:r>
        <w:rPr>
          <w:rFonts w:hint="eastAsia" w:ascii="宋体" w:hAnsi="宋体" w:eastAsia="宋体" w:cs="Arial"/>
          <w:bCs/>
          <w:color w:val="auto"/>
          <w:kern w:val="0"/>
          <w:sz w:val="24"/>
          <w:highlight w:val="none"/>
          <w:lang w:val="en-US" w:eastAsia="zh-CN"/>
        </w:rPr>
        <w:t>.1评标委员会根据招标文件“第三章 评标办法和标准”，按投标人须知前附表第15条规定的确定原则</w:t>
      </w:r>
      <w:r>
        <w:rPr>
          <w:rFonts w:hint="eastAsia" w:ascii="宋体" w:hAnsi="宋体" w:cs="Arial"/>
          <w:bCs/>
          <w:color w:val="auto"/>
          <w:kern w:val="0"/>
          <w:sz w:val="24"/>
          <w:highlight w:val="none"/>
          <w:lang w:val="en-US" w:eastAsia="zh-CN"/>
        </w:rPr>
        <w:t>推荐中标候选人</w:t>
      </w:r>
      <w:r>
        <w:rPr>
          <w:rFonts w:hint="eastAsia" w:ascii="宋体" w:hAnsi="宋体" w:eastAsia="宋体" w:cs="Arial"/>
          <w:bCs/>
          <w:color w:val="auto"/>
          <w:kern w:val="0"/>
          <w:sz w:val="24"/>
          <w:highlight w:val="none"/>
          <w:lang w:val="en-US" w:eastAsia="zh-CN"/>
        </w:rPr>
        <w:t>，排名不分先后。</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20</w:t>
      </w:r>
      <w:r>
        <w:rPr>
          <w:rFonts w:hint="eastAsia" w:ascii="宋体" w:hAnsi="宋体" w:eastAsia="宋体" w:cs="Arial"/>
          <w:bCs/>
          <w:color w:val="auto"/>
          <w:kern w:val="0"/>
          <w:sz w:val="24"/>
          <w:highlight w:val="none"/>
          <w:lang w:val="en-US" w:eastAsia="zh-CN"/>
        </w:rPr>
        <w:t>.2招标人应当自评标委员会</w:t>
      </w:r>
      <w:r>
        <w:rPr>
          <w:rFonts w:hint="eastAsia" w:ascii="宋体" w:hAnsi="宋体" w:cs="Arial"/>
          <w:bCs/>
          <w:color w:val="auto"/>
          <w:kern w:val="0"/>
          <w:sz w:val="24"/>
          <w:highlight w:val="none"/>
          <w:lang w:val="en-US" w:eastAsia="zh-CN"/>
        </w:rPr>
        <w:t>推荐</w:t>
      </w:r>
      <w:r>
        <w:rPr>
          <w:rFonts w:hint="eastAsia" w:ascii="宋体" w:hAnsi="宋体" w:eastAsia="宋体" w:cs="Arial"/>
          <w:bCs/>
          <w:color w:val="auto"/>
          <w:kern w:val="0"/>
          <w:sz w:val="24"/>
          <w:highlight w:val="none"/>
          <w:lang w:val="en-US" w:eastAsia="zh-CN"/>
        </w:rPr>
        <w:t>中标候选人名单后，将按前附表（一）第22项规定在诸暨市公共资源交易网站上进行公示。</w:t>
      </w:r>
    </w:p>
    <w:p>
      <w:pPr>
        <w:pStyle w:val="8"/>
        <w:tabs>
          <w:tab w:val="left" w:pos="567"/>
          <w:tab w:val="left" w:pos="1000"/>
        </w:tabs>
        <w:spacing w:line="360" w:lineRule="auto"/>
        <w:ind w:firstLine="480" w:firstLineChars="200"/>
        <w:rPr>
          <w:rFonts w:ascii="宋体" w:hAnsi="宋体"/>
          <w:color w:val="auto"/>
          <w:sz w:val="24"/>
          <w:szCs w:val="24"/>
          <w:highlight w:val="none"/>
        </w:rPr>
      </w:pPr>
      <w:r>
        <w:rPr>
          <w:rFonts w:hint="eastAsia" w:ascii="宋体" w:hAnsi="宋体" w:cs="Arial"/>
          <w:bCs/>
          <w:color w:val="auto"/>
          <w:kern w:val="0"/>
          <w:sz w:val="24"/>
          <w:highlight w:val="none"/>
          <w:lang w:val="en-US" w:eastAsia="zh-CN"/>
        </w:rPr>
        <w:t>20</w:t>
      </w:r>
      <w:r>
        <w:rPr>
          <w:rFonts w:hint="eastAsia" w:ascii="宋体" w:hAnsi="宋体" w:eastAsia="宋体" w:cs="Arial"/>
          <w:bCs/>
          <w:color w:val="auto"/>
          <w:kern w:val="0"/>
          <w:sz w:val="24"/>
          <w:highlight w:val="none"/>
          <w:lang w:val="en-US" w:eastAsia="zh-CN"/>
        </w:rPr>
        <w:t>.3投标人或者其他利害关系人对本项目的评标结果有异议的，应当在中标候选人名单公示期间提出。招标人应当自收到异议之日起3日内作出答复；作出答复前，应当暂停招标投标活动。</w:t>
      </w:r>
    </w:p>
    <w:p>
      <w:pPr>
        <w:pStyle w:val="4"/>
        <w:numPr>
          <w:ilvl w:val="3"/>
          <w:numId w:val="1"/>
        </w:numPr>
        <w:spacing w:line="360" w:lineRule="auto"/>
        <w:jc w:val="center"/>
        <w:rPr>
          <w:color w:val="auto"/>
          <w:highlight w:val="none"/>
        </w:rPr>
      </w:pPr>
      <w:bookmarkStart w:id="354" w:name="_Toc13841"/>
      <w:bookmarkStart w:id="355" w:name="_Toc18943"/>
      <w:bookmarkStart w:id="356" w:name="_Toc22890"/>
      <w:bookmarkStart w:id="357" w:name="_Toc14692"/>
      <w:bookmarkStart w:id="358" w:name="_Toc16475"/>
      <w:bookmarkStart w:id="359" w:name="_Toc30603"/>
      <w:bookmarkStart w:id="360" w:name="_Toc21901"/>
      <w:bookmarkStart w:id="361" w:name="_Toc11159"/>
      <w:bookmarkStart w:id="362" w:name="_Toc18992"/>
      <w:bookmarkStart w:id="363" w:name="_Toc29197"/>
      <w:bookmarkStart w:id="364" w:name="_Toc11441"/>
      <w:bookmarkStart w:id="365" w:name="_Toc32751"/>
      <w:bookmarkStart w:id="366" w:name="_Toc8034"/>
      <w:bookmarkStart w:id="367" w:name="_Toc6231"/>
      <w:bookmarkStart w:id="368" w:name="_Toc18687"/>
      <w:bookmarkStart w:id="369" w:name="_Toc11279"/>
      <w:bookmarkStart w:id="370" w:name="_Toc31450"/>
      <w:bookmarkStart w:id="371" w:name="_Toc7574"/>
      <w:bookmarkStart w:id="372" w:name="_Toc25321"/>
      <w:bookmarkStart w:id="373" w:name="_Toc5572"/>
      <w:bookmarkStart w:id="374" w:name="_Toc19652"/>
      <w:bookmarkStart w:id="375" w:name="_Toc30120"/>
      <w:bookmarkStart w:id="376" w:name="_Toc3615"/>
      <w:bookmarkStart w:id="377" w:name="_Toc28597"/>
      <w:bookmarkStart w:id="378" w:name="_Toc31791"/>
      <w:bookmarkStart w:id="379" w:name="_Toc4914"/>
      <w:bookmarkStart w:id="380" w:name="_Toc6226"/>
      <w:bookmarkStart w:id="381" w:name="_Toc12258"/>
      <w:bookmarkStart w:id="382" w:name="_Toc14811"/>
      <w:bookmarkStart w:id="383" w:name="_Toc26944"/>
      <w:r>
        <w:rPr>
          <w:rFonts w:hint="eastAsia"/>
          <w:color w:val="auto"/>
          <w:highlight w:val="none"/>
        </w:rPr>
        <w:t>确定中标人</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pStyle w:val="6"/>
        <w:numPr>
          <w:ilvl w:val="0"/>
          <w:numId w:val="0"/>
        </w:numPr>
        <w:tabs>
          <w:tab w:val="clear" w:pos="510"/>
        </w:tabs>
        <w:spacing w:line="360" w:lineRule="auto"/>
        <w:ind w:left="0" w:leftChars="0" w:firstLine="510" w:firstLineChars="0"/>
        <w:rPr>
          <w:rFonts w:hint="eastAsia"/>
          <w:color w:val="auto"/>
          <w:highlight w:val="none"/>
        </w:rPr>
      </w:pPr>
      <w:r>
        <w:rPr>
          <w:rFonts w:hint="eastAsia" w:cs="Times New Roman"/>
          <w:b/>
          <w:bCs/>
          <w:color w:val="auto"/>
          <w:sz w:val="28"/>
          <w:szCs w:val="28"/>
          <w:highlight w:val="none"/>
          <w:lang w:val="en-US" w:eastAsia="zh-CN" w:bidi="ar-SA"/>
        </w:rPr>
        <w:t>21</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确定中标人</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.1 定标方式</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本项目采用“评定分离”方式确定中标人。具体操作省发展改革委关于印发《浙江省工程建设项目</w:t>
      </w:r>
      <w:r>
        <w:rPr>
          <w:rFonts w:hint="default" w:ascii="宋体" w:hAnsi="宋体" w:eastAsia="宋体" w:cs="Arial"/>
          <w:bCs/>
          <w:color w:val="auto"/>
          <w:kern w:val="0"/>
          <w:sz w:val="24"/>
          <w:highlight w:val="none"/>
          <w:lang w:val="en-US" w:eastAsia="zh-CN"/>
        </w:rPr>
        <w:t>招标投标“评定分离”操作指引（试行）》的通知</w:t>
      </w:r>
      <w:r>
        <w:rPr>
          <w:rFonts w:hint="eastAsia" w:ascii="宋体" w:hAnsi="宋体" w:eastAsia="宋体" w:cs="Arial"/>
          <w:bCs/>
          <w:color w:val="auto"/>
          <w:kern w:val="0"/>
          <w:sz w:val="24"/>
          <w:highlight w:val="none"/>
          <w:lang w:val="en-US" w:eastAsia="zh-CN"/>
        </w:rPr>
        <w:t>浙发改公管〔</w:t>
      </w:r>
      <w:r>
        <w:rPr>
          <w:rFonts w:hint="default" w:ascii="宋体" w:hAnsi="宋体" w:eastAsia="宋体" w:cs="Arial"/>
          <w:bCs/>
          <w:color w:val="auto"/>
          <w:kern w:val="0"/>
          <w:sz w:val="24"/>
          <w:highlight w:val="none"/>
          <w:lang w:val="en-US" w:eastAsia="zh-CN"/>
        </w:rPr>
        <w:t>2023</w:t>
      </w:r>
      <w:r>
        <w:rPr>
          <w:rFonts w:hint="eastAsia" w:ascii="宋体" w:hAnsi="宋体" w:eastAsia="宋体" w:cs="Arial"/>
          <w:bCs/>
          <w:color w:val="auto"/>
          <w:kern w:val="0"/>
          <w:sz w:val="24"/>
          <w:highlight w:val="none"/>
          <w:lang w:val="en-US" w:eastAsia="zh-CN"/>
        </w:rPr>
        <w:t>〕</w:t>
      </w:r>
      <w:r>
        <w:rPr>
          <w:rFonts w:hint="default" w:ascii="宋体" w:hAnsi="宋体" w:eastAsia="宋体" w:cs="Arial"/>
          <w:bCs/>
          <w:color w:val="auto"/>
          <w:kern w:val="0"/>
          <w:sz w:val="24"/>
          <w:highlight w:val="none"/>
          <w:lang w:val="en-US" w:eastAsia="zh-CN"/>
        </w:rPr>
        <w:t>256</w:t>
      </w:r>
      <w:r>
        <w:rPr>
          <w:rFonts w:hint="eastAsia" w:ascii="宋体" w:hAnsi="宋体" w:eastAsia="宋体" w:cs="Arial"/>
          <w:bCs/>
          <w:color w:val="auto"/>
          <w:kern w:val="0"/>
          <w:sz w:val="24"/>
          <w:highlight w:val="none"/>
          <w:lang w:val="en-US" w:eastAsia="zh-CN"/>
        </w:rPr>
        <w:t>号文件执行。</w:t>
      </w:r>
    </w:p>
    <w:p>
      <w:pPr>
        <w:pStyle w:val="8"/>
        <w:tabs>
          <w:tab w:val="left" w:pos="567"/>
          <w:tab w:val="left" w:pos="1000"/>
        </w:tabs>
        <w:spacing w:line="360" w:lineRule="auto"/>
        <w:ind w:left="0" w:leftChars="0" w:firstLine="480" w:firstLineChars="200"/>
        <w:rPr>
          <w:rFonts w:hint="default" w:ascii="宋体" w:hAnsi="宋体" w:eastAsia="宋体" w:cs="Arial"/>
          <w:b w:val="0"/>
          <w:bCs/>
          <w:color w:val="auto"/>
          <w:kern w:val="0"/>
          <w:sz w:val="24"/>
          <w:highlight w:val="none"/>
          <w:lang w:val="en-US" w:eastAsia="zh-CN"/>
        </w:rPr>
      </w:pPr>
      <w:r>
        <w:rPr>
          <w:rFonts w:hint="eastAsia" w:ascii="宋体" w:hAnsi="宋体" w:cs="Arial"/>
          <w:b w:val="0"/>
          <w:bCs/>
          <w:color w:val="auto"/>
          <w:kern w:val="0"/>
          <w:sz w:val="24"/>
          <w:highlight w:val="none"/>
          <w:lang w:val="en-US" w:eastAsia="zh-CN"/>
        </w:rPr>
        <w:t>21</w:t>
      </w:r>
      <w:r>
        <w:rPr>
          <w:rFonts w:hint="eastAsia" w:ascii="宋体" w:hAnsi="宋体" w:eastAsia="宋体" w:cs="Arial"/>
          <w:b w:val="0"/>
          <w:bCs/>
          <w:color w:val="auto"/>
          <w:kern w:val="0"/>
          <w:sz w:val="24"/>
          <w:highlight w:val="none"/>
          <w:lang w:val="en-US" w:eastAsia="zh-CN"/>
        </w:rPr>
        <w:t>.</w:t>
      </w:r>
      <w:r>
        <w:rPr>
          <w:rFonts w:hint="eastAsia" w:ascii="宋体" w:hAnsi="宋体" w:cs="Arial"/>
          <w:b w:val="0"/>
          <w:bCs/>
          <w:color w:val="auto"/>
          <w:kern w:val="0"/>
          <w:sz w:val="24"/>
          <w:highlight w:val="none"/>
          <w:lang w:val="en-US" w:eastAsia="zh-CN"/>
        </w:rPr>
        <w:t>2</w:t>
      </w:r>
      <w:r>
        <w:rPr>
          <w:rFonts w:hint="eastAsia" w:ascii="宋体" w:hAnsi="宋体" w:eastAsia="宋体" w:cs="Arial"/>
          <w:b w:val="0"/>
          <w:bCs/>
          <w:color w:val="auto"/>
          <w:kern w:val="0"/>
          <w:sz w:val="24"/>
          <w:highlight w:val="none"/>
          <w:lang w:val="en-US" w:eastAsia="zh-CN"/>
        </w:rPr>
        <w:t>定标原则</w:t>
      </w:r>
    </w:p>
    <w:p>
      <w:pPr>
        <w:autoSpaceDE/>
        <w:autoSpaceDN/>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）招标人负责制。全面落实招标人主体责任，招标人对招标过程和结果负责。招标人应建立健全定标机制和内控制度，将“评定分离”纳入本单位“三重一大”审议事项范围。</w:t>
      </w:r>
    </w:p>
    <w:p>
      <w:pPr>
        <w:autoSpaceDE/>
        <w:autoSpaceDN/>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）兼顾择优和竞价。招标人应综合考虑信用、履约、报价等因素，择优选择中标人。鼓励招标人从较低报价中择优确定中标人。</w:t>
      </w:r>
    </w:p>
    <w:p>
      <w:pPr>
        <w:autoSpaceDE/>
        <w:autoSpaceDN/>
        <w:spacing w:line="360" w:lineRule="auto"/>
        <w:ind w:firstLine="480" w:firstLineChars="200"/>
        <w:rPr>
          <w:rFonts w:hint="eastAsia" w:ascii="宋体" w:hAnsi="宋体" w:cs="宋体"/>
          <w:color w:val="auto"/>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rPr>
        <w:t>）公平竞争。招标人应严格落实招标投标“七个不准”，引导和促进公平竞争。</w:t>
      </w:r>
    </w:p>
    <w:p>
      <w:pPr>
        <w:pStyle w:val="8"/>
        <w:tabs>
          <w:tab w:val="left" w:pos="567"/>
          <w:tab w:val="left" w:pos="1000"/>
        </w:tabs>
        <w:spacing w:line="360" w:lineRule="auto"/>
        <w:ind w:left="0" w:leftChars="0" w:firstLine="480" w:firstLineChars="200"/>
        <w:rPr>
          <w:rFonts w:hint="default"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2</w:t>
      </w:r>
      <w:r>
        <w:rPr>
          <w:rFonts w:hint="eastAsia" w:ascii="宋体" w:hAnsi="宋体" w:cs="Arial"/>
          <w:bCs/>
          <w:color w:val="auto"/>
          <w:kern w:val="0"/>
          <w:sz w:val="24"/>
          <w:highlight w:val="none"/>
          <w:lang w:val="en-US" w:eastAsia="zh-CN"/>
        </w:rPr>
        <w:t>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3</w:t>
      </w:r>
      <w:r>
        <w:rPr>
          <w:rFonts w:hint="eastAsia" w:ascii="宋体" w:hAnsi="宋体" w:eastAsia="宋体" w:cs="Arial"/>
          <w:bCs/>
          <w:color w:val="auto"/>
          <w:kern w:val="0"/>
          <w:sz w:val="24"/>
          <w:highlight w:val="none"/>
          <w:lang w:val="en-US" w:eastAsia="zh-CN"/>
        </w:rPr>
        <w:t xml:space="preserve"> 定标核查</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 xml:space="preserve"> 招标人在定标会议前应对中标候选人进行定标核查。应包括信用信息、受贿行贿情况、履约能力等内容，以及招标人认为需要核查的其他内容。</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4</w:t>
      </w:r>
      <w:r>
        <w:rPr>
          <w:rFonts w:hint="eastAsia" w:ascii="宋体" w:hAnsi="宋体" w:eastAsia="宋体" w:cs="Arial"/>
          <w:bCs/>
          <w:color w:val="auto"/>
          <w:kern w:val="0"/>
          <w:sz w:val="24"/>
          <w:highlight w:val="none"/>
          <w:lang w:val="en-US" w:eastAsia="zh-CN"/>
        </w:rPr>
        <w:t>考察</w:t>
      </w:r>
    </w:p>
    <w:p>
      <w:pPr>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sz w:val="24"/>
          <w:highlight w:val="none"/>
        </w:rPr>
        <w:t>招标人在定标会议召开前可以对中标候选人进行考察，并出具考察报告作为定标要素之一。考察报告不得有明示或暗示中标单位的内容。如招标人组织考察的，应采用同一标准对所有中标候选人进行，考察人员应参照《定标委员会成员回避情形》执行回避纪律。本项目定标前是否进行考察：</w:t>
      </w:r>
      <w:r>
        <w:rPr>
          <w:rFonts w:hint="eastAsia" w:ascii="宋体" w:hAnsi="宋体" w:cs="宋体"/>
          <w:b/>
          <w:i/>
          <w:color w:val="auto"/>
          <w:highlight w:val="none"/>
          <w:u w:val="single"/>
        </w:rPr>
        <w:t>(否)</w:t>
      </w:r>
      <w:r>
        <w:rPr>
          <w:rFonts w:hint="eastAsia" w:ascii="宋体" w:hAnsi="宋体" w:cs="宋体"/>
          <w:color w:val="auto"/>
          <w:highlight w:val="none"/>
        </w:rPr>
        <w:t>。</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5质</w:t>
      </w:r>
      <w:r>
        <w:rPr>
          <w:rFonts w:hint="eastAsia" w:ascii="宋体" w:hAnsi="宋体" w:eastAsia="宋体" w:cs="Arial"/>
          <w:bCs/>
          <w:color w:val="auto"/>
          <w:kern w:val="0"/>
          <w:sz w:val="24"/>
          <w:highlight w:val="none"/>
          <w:lang w:val="en-US" w:eastAsia="zh-CN"/>
        </w:rPr>
        <w:t>询</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rPr>
        <w:t>招标人在定标会议召开前可以对中标候选人进行质询，质询应当以书面形式采用同一标准对所有中标候选人进行，质询人员应参照《定标委员会成员回避情形》执行回避纪律。质询及回复不得改变招标文件、投标文件和评标的实质性内容。本项目定标前是否进行质询：</w:t>
      </w:r>
      <w:r>
        <w:rPr>
          <w:rFonts w:hint="eastAsia" w:ascii="宋体" w:hAnsi="宋体" w:cs="宋体"/>
          <w:b/>
          <w:i/>
          <w:color w:val="auto"/>
          <w:highlight w:val="none"/>
          <w:u w:val="single"/>
        </w:rPr>
        <w:t>(否)</w:t>
      </w:r>
      <w:r>
        <w:rPr>
          <w:rFonts w:hint="eastAsia" w:ascii="宋体" w:hAnsi="宋体" w:cs="宋体"/>
          <w:color w:val="auto"/>
          <w:highlight w:val="none"/>
        </w:rPr>
        <w:t>。</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6</w:t>
      </w:r>
      <w:r>
        <w:rPr>
          <w:rFonts w:hint="eastAsia" w:ascii="宋体" w:hAnsi="宋体" w:eastAsia="宋体" w:cs="Arial"/>
          <w:bCs/>
          <w:color w:val="auto"/>
          <w:kern w:val="0"/>
          <w:sz w:val="24"/>
          <w:highlight w:val="none"/>
          <w:lang w:val="en-US" w:eastAsia="zh-CN"/>
        </w:rPr>
        <w:t>组建定标委员会</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1</w:t>
      </w:r>
      <w:r>
        <w:rPr>
          <w:rFonts w:hint="eastAsia" w:ascii="宋体" w:hAnsi="宋体" w:cs="Arial"/>
          <w:bCs/>
          <w:color w:val="auto"/>
          <w:sz w:val="24"/>
          <w:highlight w:val="none"/>
        </w:rPr>
        <w:t>）定标委员会成员数量应为5 人及以上单数。</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2</w:t>
      </w:r>
      <w:r>
        <w:rPr>
          <w:rFonts w:hint="eastAsia" w:ascii="宋体" w:hAnsi="宋体" w:cs="Arial"/>
          <w:bCs/>
          <w:color w:val="auto"/>
          <w:sz w:val="24"/>
          <w:highlight w:val="none"/>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3</w:t>
      </w:r>
      <w:r>
        <w:rPr>
          <w:rFonts w:hint="eastAsia" w:ascii="宋体" w:hAnsi="宋体" w:cs="Arial"/>
          <w:bCs/>
          <w:color w:val="auto"/>
          <w:sz w:val="24"/>
          <w:highlight w:val="none"/>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pPr>
        <w:spacing w:line="360" w:lineRule="auto"/>
        <w:ind w:firstLine="480" w:firstLineChars="200"/>
        <w:rPr>
          <w:rFonts w:hint="eastAsia" w:ascii="宋体" w:hAnsi="宋体" w:cs="Arial"/>
          <w:bCs/>
          <w:color w:val="auto"/>
          <w:sz w:val="24"/>
          <w:highlight w:val="none"/>
        </w:rPr>
      </w:pP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4</w:t>
      </w:r>
      <w:r>
        <w:rPr>
          <w:rFonts w:hint="eastAsia" w:ascii="宋体" w:hAnsi="宋体" w:cs="Arial"/>
          <w:bCs/>
          <w:color w:val="auto"/>
          <w:sz w:val="24"/>
          <w:highlight w:val="none"/>
        </w:rPr>
        <w:t>）定标委员会成员与中标候选人有利害关系的应主动说明并申请回避。</w:t>
      </w:r>
    </w:p>
    <w:p>
      <w:pPr>
        <w:spacing w:line="360" w:lineRule="auto"/>
        <w:ind w:firstLine="480" w:firstLineChars="200"/>
        <w:rPr>
          <w:rFonts w:hint="eastAsia" w:ascii="宋体" w:hAnsi="宋体" w:cs="Arial"/>
          <w:bCs/>
          <w:color w:val="auto"/>
          <w:sz w:val="24"/>
          <w:highlight w:val="none"/>
        </w:rPr>
      </w:pPr>
      <w:r>
        <w:rPr>
          <w:rFonts w:hint="eastAsia" w:ascii="宋体" w:hAnsi="宋体" w:eastAsia="宋体" w:cs="Arial"/>
          <w:bCs/>
          <w:color w:val="auto"/>
          <w:sz w:val="24"/>
          <w:highlight w:val="none"/>
        </w:rPr>
        <w:t>（</w:t>
      </w:r>
      <w:r>
        <w:rPr>
          <w:rFonts w:hint="eastAsia" w:ascii="宋体" w:hAnsi="宋体" w:eastAsia="宋体" w:cs="Arial"/>
          <w:bCs/>
          <w:color w:val="auto"/>
          <w:sz w:val="24"/>
          <w:highlight w:val="none"/>
          <w:lang w:val="en-US" w:eastAsia="zh-CN"/>
        </w:rPr>
        <w:t>5</w:t>
      </w:r>
      <w:r>
        <w:rPr>
          <w:rFonts w:hint="eastAsia" w:ascii="宋体" w:hAnsi="宋体" w:eastAsia="宋体" w:cs="Arial"/>
          <w:bCs/>
          <w:color w:val="auto"/>
          <w:sz w:val="24"/>
          <w:highlight w:val="none"/>
        </w:rPr>
        <w:t>）定标委员会名单在中标结果确定前应保密。</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7</w:t>
      </w:r>
      <w:r>
        <w:rPr>
          <w:rFonts w:hint="eastAsia" w:ascii="宋体" w:hAnsi="宋体" w:eastAsia="宋体" w:cs="Arial"/>
          <w:bCs/>
          <w:color w:val="auto"/>
          <w:kern w:val="0"/>
          <w:sz w:val="24"/>
          <w:highlight w:val="none"/>
          <w:lang w:val="en-US" w:eastAsia="zh-CN"/>
        </w:rPr>
        <w:t>定标委员会成员回避</w:t>
      </w:r>
    </w:p>
    <w:p>
      <w:pPr>
        <w:pStyle w:val="8"/>
        <w:numPr>
          <w:ilvl w:val="0"/>
          <w:numId w:val="0"/>
        </w:numPr>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bidi="ar-SA"/>
        </w:rPr>
      </w:pPr>
      <w:r>
        <w:rPr>
          <w:rFonts w:hint="eastAsia" w:ascii="宋体" w:hAnsi="宋体" w:eastAsia="宋体" w:cs="Arial"/>
          <w:bCs/>
          <w:color w:val="auto"/>
          <w:kern w:val="0"/>
          <w:sz w:val="24"/>
          <w:highlight w:val="none"/>
          <w:lang w:val="en-US" w:eastAsia="zh-CN" w:bidi="ar-SA"/>
        </w:rPr>
        <w:t>定标委员会成员存在为中标候选人或者中标候选人主要负责人的近亲属的情形，或者存在与中标候选人有经济利益关系，可能影响公正定标的情形的，应当主动回避。</w:t>
      </w:r>
    </w:p>
    <w:p>
      <w:pPr>
        <w:pStyle w:val="8"/>
        <w:numPr>
          <w:ilvl w:val="0"/>
          <w:numId w:val="0"/>
        </w:numPr>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8</w:t>
      </w:r>
      <w:r>
        <w:rPr>
          <w:rFonts w:hint="eastAsia" w:ascii="宋体" w:hAnsi="宋体" w:eastAsia="宋体" w:cs="Arial"/>
          <w:bCs/>
          <w:color w:val="auto"/>
          <w:kern w:val="0"/>
          <w:sz w:val="24"/>
          <w:highlight w:val="none"/>
          <w:lang w:val="en-US" w:eastAsia="zh-CN"/>
        </w:rPr>
        <w:t>面询</w:t>
      </w:r>
    </w:p>
    <w:p>
      <w:pPr>
        <w:pStyle w:val="8"/>
        <w:tabs>
          <w:tab w:val="left" w:pos="567"/>
          <w:tab w:val="left" w:pos="1000"/>
        </w:tabs>
        <w:spacing w:line="360" w:lineRule="auto"/>
        <w:ind w:firstLine="480" w:firstLineChars="200"/>
        <w:rPr>
          <w:rFonts w:hint="eastAsia" w:ascii="宋体" w:hAnsi="宋体" w:eastAsia="宋体" w:cs="Arial"/>
          <w:b w:val="0"/>
          <w:bCs/>
          <w:color w:val="auto"/>
          <w:kern w:val="0"/>
          <w:sz w:val="24"/>
          <w:szCs w:val="20"/>
          <w:highlight w:val="none"/>
        </w:rPr>
      </w:pPr>
      <w:r>
        <w:rPr>
          <w:rFonts w:hint="eastAsia" w:ascii="宋体" w:hAnsi="宋体" w:eastAsia="宋体" w:cs="Arial"/>
          <w:b w:val="0"/>
          <w:bCs/>
          <w:color w:val="auto"/>
          <w:kern w:val="0"/>
          <w:sz w:val="24"/>
          <w:szCs w:val="20"/>
          <w:highlight w:val="none"/>
        </w:rPr>
        <w:t>定标</w:t>
      </w:r>
      <w:r>
        <w:rPr>
          <w:rFonts w:hint="eastAsia" w:ascii="宋体" w:hAnsi="宋体" w:eastAsia="宋体" w:cs="宋体"/>
          <w:b w:val="0"/>
          <w:bCs w:val="0"/>
          <w:color w:val="auto"/>
          <w:kern w:val="0"/>
          <w:sz w:val="24"/>
          <w:szCs w:val="24"/>
          <w:highlight w:val="none"/>
        </w:rPr>
        <w:t>委员会可以对中标候选人的法定代表人、拟派项目负责人开展现场面试，面试要求招标人将书面另行通知。本项目是否进行面询：(否)。</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9</w:t>
      </w:r>
      <w:r>
        <w:rPr>
          <w:rFonts w:hint="eastAsia" w:ascii="宋体" w:hAnsi="宋体" w:eastAsia="宋体" w:cs="Arial"/>
          <w:bCs/>
          <w:color w:val="auto"/>
          <w:kern w:val="0"/>
          <w:sz w:val="24"/>
          <w:highlight w:val="none"/>
          <w:lang w:val="en-US" w:eastAsia="zh-CN"/>
        </w:rPr>
        <w:t>定标要素</w:t>
      </w:r>
    </w:p>
    <w:p>
      <w:pPr>
        <w:pStyle w:val="8"/>
        <w:tabs>
          <w:tab w:val="left" w:pos="567"/>
          <w:tab w:val="left" w:pos="1000"/>
        </w:tabs>
        <w:spacing w:line="360" w:lineRule="auto"/>
        <w:ind w:firstLine="480" w:firstLineChars="200"/>
        <w:rPr>
          <w:rFonts w:hint="eastAsia" w:ascii="宋体" w:hAnsi="宋体" w:cs="Arial"/>
          <w:bCs/>
          <w:color w:val="auto"/>
          <w:kern w:val="0"/>
          <w:sz w:val="24"/>
          <w:highlight w:val="none"/>
        </w:rPr>
      </w:pPr>
      <w:r>
        <w:rPr>
          <w:rFonts w:hint="eastAsia" w:ascii="宋体" w:hAnsi="宋体" w:cs="Arial"/>
          <w:bCs/>
          <w:color w:val="auto"/>
          <w:kern w:val="0"/>
          <w:sz w:val="24"/>
          <w:highlight w:val="none"/>
        </w:rPr>
        <w:t>招标人根据项目实际确定定标要素及其内容。定标要素应参考评标委员会评审意见、定标核查情况、质询或考察报告（若定标会议前开展了考察、质询），此外，还可以参考以下要素：</w:t>
      </w:r>
    </w:p>
    <w:p>
      <w:pPr>
        <w:pStyle w:val="8"/>
        <w:tabs>
          <w:tab w:val="left" w:pos="567"/>
          <w:tab w:val="left" w:pos="1000"/>
        </w:tabs>
        <w:spacing w:line="360" w:lineRule="auto"/>
        <w:ind w:firstLine="480" w:firstLineChars="200"/>
        <w:rPr>
          <w:rFonts w:hint="eastAsia" w:ascii="宋体" w:hAnsi="宋体" w:cs="Arial"/>
          <w:bCs/>
          <w:color w:val="auto"/>
          <w:kern w:val="0"/>
          <w:sz w:val="24"/>
          <w:highlight w:val="none"/>
        </w:rPr>
      </w:pPr>
      <w:r>
        <w:rPr>
          <w:rFonts w:hint="eastAsia" w:ascii="宋体" w:hAnsi="宋体" w:cs="Arial"/>
          <w:bCs/>
          <w:color w:val="auto"/>
          <w:kern w:val="0"/>
          <w:sz w:val="24"/>
          <w:highlight w:val="none"/>
        </w:rPr>
        <w:t>价格因素：主要包括商务报价高低、主要材料报价的合理性、不平衡报价情况等；</w:t>
      </w:r>
    </w:p>
    <w:p>
      <w:pPr>
        <w:pStyle w:val="8"/>
        <w:tabs>
          <w:tab w:val="left" w:pos="567"/>
          <w:tab w:val="left" w:pos="1000"/>
        </w:tabs>
        <w:spacing w:line="360" w:lineRule="auto"/>
        <w:ind w:firstLine="480" w:firstLineChars="200"/>
        <w:rPr>
          <w:rFonts w:hint="eastAsia" w:ascii="宋体" w:hAnsi="宋体" w:eastAsia="宋体" w:cs="Arial"/>
          <w:b w:val="0"/>
          <w:bCs/>
          <w:color w:val="auto"/>
          <w:kern w:val="0"/>
          <w:sz w:val="24"/>
          <w:szCs w:val="20"/>
          <w:highlight w:val="none"/>
        </w:rPr>
      </w:pPr>
      <w:r>
        <w:rPr>
          <w:rFonts w:hint="eastAsia" w:ascii="宋体" w:hAnsi="宋体" w:eastAsia="宋体" w:cs="Arial"/>
          <w:b w:val="0"/>
          <w:bCs/>
          <w:color w:val="auto"/>
          <w:kern w:val="0"/>
          <w:sz w:val="24"/>
          <w:szCs w:val="20"/>
          <w:highlight w:val="none"/>
        </w:rPr>
        <w:t>企业匹配性：主要包括企业规模、资质等级、专业技术人员规模、近年的财务状况、过往业绩（含业绩影响力、难易程度）等；</w:t>
      </w:r>
    </w:p>
    <w:p>
      <w:pPr>
        <w:pStyle w:val="8"/>
        <w:tabs>
          <w:tab w:val="left" w:pos="567"/>
          <w:tab w:val="left" w:pos="1000"/>
        </w:tabs>
        <w:spacing w:line="360" w:lineRule="auto"/>
        <w:ind w:firstLine="480" w:firstLineChars="200"/>
        <w:rPr>
          <w:rFonts w:hint="eastAsia" w:ascii="宋体" w:hAnsi="宋体" w:eastAsia="宋体" w:cs="Arial"/>
          <w:b w:val="0"/>
          <w:bCs/>
          <w:color w:val="auto"/>
          <w:kern w:val="0"/>
          <w:sz w:val="24"/>
          <w:szCs w:val="20"/>
          <w:highlight w:val="none"/>
        </w:rPr>
      </w:pPr>
      <w:r>
        <w:rPr>
          <w:rFonts w:hint="eastAsia" w:ascii="宋体" w:hAnsi="宋体" w:eastAsia="宋体" w:cs="Arial"/>
          <w:b w:val="0"/>
          <w:bCs/>
          <w:color w:val="auto"/>
          <w:kern w:val="0"/>
          <w:sz w:val="24"/>
          <w:szCs w:val="20"/>
          <w:highlight w:val="none"/>
        </w:rPr>
        <w:t>企业信誉：主要包括企业信用情况、过往业绩履约情况、建设单位履约评价情况等（可查询全国和浙江省建筑市场监管公共服务平台（系统）、浙江省交通运输信用综合管理服务系统、全国或浙江省水利建设市场监管服务平台等）；</w:t>
      </w:r>
    </w:p>
    <w:p>
      <w:pPr>
        <w:pStyle w:val="8"/>
        <w:tabs>
          <w:tab w:val="left" w:pos="567"/>
          <w:tab w:val="left" w:pos="1000"/>
        </w:tabs>
        <w:spacing w:line="360" w:lineRule="auto"/>
        <w:ind w:firstLine="480" w:firstLineChars="200"/>
        <w:rPr>
          <w:rFonts w:hint="eastAsia" w:ascii="宋体" w:hAnsi="宋体" w:cs="Arial"/>
          <w:bCs/>
          <w:color w:val="auto"/>
          <w:kern w:val="0"/>
          <w:sz w:val="24"/>
          <w:highlight w:val="none"/>
        </w:rPr>
      </w:pPr>
      <w:r>
        <w:rPr>
          <w:rFonts w:hint="eastAsia" w:ascii="宋体" w:hAnsi="宋体" w:cs="Arial"/>
          <w:bCs/>
          <w:color w:val="auto"/>
          <w:kern w:val="0"/>
          <w:sz w:val="24"/>
          <w:highlight w:val="none"/>
        </w:rPr>
        <w:t>投标方案：主要包括技术标情况、工程建设时重难点问题的解决方案、主要材料品牌等；</w:t>
      </w:r>
    </w:p>
    <w:p>
      <w:pPr>
        <w:pStyle w:val="8"/>
        <w:tabs>
          <w:tab w:val="left" w:pos="567"/>
          <w:tab w:val="left" w:pos="1000"/>
        </w:tabs>
        <w:spacing w:line="360" w:lineRule="auto"/>
        <w:ind w:firstLine="480" w:firstLineChars="200"/>
        <w:rPr>
          <w:rFonts w:hint="eastAsia" w:ascii="宋体" w:hAnsi="宋体" w:cs="Arial"/>
          <w:bCs/>
          <w:color w:val="auto"/>
          <w:kern w:val="0"/>
          <w:sz w:val="24"/>
          <w:highlight w:val="none"/>
        </w:rPr>
      </w:pPr>
      <w:r>
        <w:rPr>
          <w:rFonts w:hint="eastAsia" w:ascii="宋体" w:hAnsi="宋体" w:cs="Arial"/>
          <w:bCs/>
          <w:color w:val="auto"/>
          <w:kern w:val="0"/>
          <w:sz w:val="24"/>
          <w:highlight w:val="none"/>
        </w:rPr>
        <w:t>拟派团队能力与水平：主要包括团队主要负责人类似工程业绩、拟派项目团队人员的资信实力等；</w:t>
      </w:r>
    </w:p>
    <w:p>
      <w:pPr>
        <w:pStyle w:val="8"/>
        <w:tabs>
          <w:tab w:val="left" w:pos="567"/>
          <w:tab w:val="left" w:pos="1000"/>
        </w:tabs>
        <w:spacing w:line="360" w:lineRule="auto"/>
        <w:ind w:firstLine="480" w:firstLineChars="200"/>
        <w:rPr>
          <w:rFonts w:hint="eastAsia" w:ascii="宋体" w:hAnsi="宋体" w:cs="Arial"/>
          <w:bCs/>
          <w:color w:val="auto"/>
          <w:kern w:val="0"/>
          <w:sz w:val="24"/>
          <w:highlight w:val="none"/>
        </w:rPr>
      </w:pPr>
      <w:r>
        <w:rPr>
          <w:rFonts w:hint="eastAsia" w:ascii="宋体" w:hAnsi="宋体" w:cs="Arial"/>
          <w:bCs/>
          <w:color w:val="auto"/>
          <w:kern w:val="0"/>
          <w:sz w:val="24"/>
          <w:highlight w:val="none"/>
        </w:rPr>
        <w:t>评标委员会评审意见：包括评标委员会的评审报告，评标专家的意见建议等；</w:t>
      </w:r>
    </w:p>
    <w:p>
      <w:pPr>
        <w:pStyle w:val="8"/>
        <w:tabs>
          <w:tab w:val="left" w:pos="567"/>
          <w:tab w:val="left" w:pos="1000"/>
        </w:tabs>
        <w:spacing w:line="360" w:lineRule="auto"/>
        <w:ind w:firstLine="480" w:firstLineChars="200"/>
        <w:rPr>
          <w:rFonts w:hint="eastAsia" w:ascii="宋体" w:hAnsi="宋体" w:cs="Arial"/>
          <w:bCs/>
          <w:color w:val="auto"/>
          <w:kern w:val="0"/>
          <w:sz w:val="24"/>
          <w:highlight w:val="none"/>
        </w:rPr>
      </w:pPr>
      <w:r>
        <w:rPr>
          <w:rFonts w:hint="eastAsia" w:ascii="宋体" w:hAnsi="宋体" w:cs="Arial"/>
          <w:bCs/>
          <w:color w:val="auto"/>
          <w:kern w:val="0"/>
          <w:sz w:val="24"/>
          <w:highlight w:val="none"/>
        </w:rPr>
        <w:t>招标人认为需考量的其他要素。</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w:t>
      </w:r>
      <w:r>
        <w:rPr>
          <w:rFonts w:hint="eastAsia" w:ascii="宋体" w:hAnsi="宋体" w:cs="Arial"/>
          <w:bCs/>
          <w:color w:val="auto"/>
          <w:kern w:val="0"/>
          <w:sz w:val="24"/>
          <w:highlight w:val="none"/>
          <w:lang w:val="en-US" w:eastAsia="zh-CN"/>
        </w:rPr>
        <w:t>10</w:t>
      </w:r>
      <w:r>
        <w:rPr>
          <w:rFonts w:hint="eastAsia" w:ascii="宋体" w:hAnsi="宋体" w:eastAsia="宋体" w:cs="Arial"/>
          <w:bCs/>
          <w:color w:val="auto"/>
          <w:kern w:val="0"/>
          <w:sz w:val="24"/>
          <w:highlight w:val="none"/>
          <w:lang w:val="en-US" w:eastAsia="zh-CN"/>
        </w:rPr>
        <w:t>定标会议</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定标会议原则上应于中标候选人公示期满后10日内召开。定标会议在诸暨市公共资源交易中心进行，并全程录音录像。</w:t>
      </w:r>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21</w:t>
      </w:r>
      <w:r>
        <w:rPr>
          <w:rFonts w:hint="eastAsia" w:ascii="宋体" w:hAnsi="宋体" w:eastAsia="宋体" w:cs="Arial"/>
          <w:bCs/>
          <w:color w:val="auto"/>
          <w:kern w:val="0"/>
          <w:sz w:val="24"/>
          <w:highlight w:val="none"/>
          <w:lang w:val="en-US" w:eastAsia="zh-CN"/>
        </w:rPr>
        <w:t>.1</w:t>
      </w:r>
      <w:r>
        <w:rPr>
          <w:rFonts w:hint="eastAsia" w:ascii="宋体" w:hAnsi="宋体" w:cs="Arial"/>
          <w:bCs/>
          <w:color w:val="auto"/>
          <w:kern w:val="0"/>
          <w:sz w:val="24"/>
          <w:highlight w:val="none"/>
          <w:lang w:val="en-US" w:eastAsia="zh-CN"/>
        </w:rPr>
        <w:t>1</w:t>
      </w:r>
      <w:r>
        <w:rPr>
          <w:rFonts w:hint="eastAsia" w:ascii="宋体" w:hAnsi="宋体" w:eastAsia="宋体" w:cs="Arial"/>
          <w:bCs/>
          <w:color w:val="auto"/>
          <w:kern w:val="0"/>
          <w:sz w:val="24"/>
          <w:highlight w:val="none"/>
          <w:lang w:val="en-US" w:eastAsia="zh-CN"/>
        </w:rPr>
        <w:t>定标办法</w:t>
      </w:r>
    </w:p>
    <w:p>
      <w:pPr>
        <w:spacing w:line="360" w:lineRule="auto"/>
        <w:ind w:firstLine="480" w:firstLineChars="200"/>
        <w:rPr>
          <w:rFonts w:hint="eastAsia" w:ascii="宋体" w:hAnsi="宋体" w:eastAsia="宋体" w:cs="Arial"/>
          <w:b w:val="0"/>
          <w:bCs/>
          <w:color w:val="auto"/>
          <w:kern w:val="0"/>
          <w:sz w:val="24"/>
          <w:szCs w:val="20"/>
          <w:highlight w:val="none"/>
        </w:rPr>
      </w:pPr>
      <w:r>
        <w:rPr>
          <w:rFonts w:hint="eastAsia" w:ascii="宋体" w:hAnsi="宋体" w:eastAsia="宋体" w:cs="宋体"/>
          <w:b w:val="0"/>
          <w:bCs w:val="0"/>
          <w:color w:val="auto"/>
          <w:kern w:val="0"/>
          <w:sz w:val="24"/>
          <w:szCs w:val="24"/>
          <w:highlight w:val="none"/>
        </w:rPr>
        <w:t>直接票决法。通过投票，取票数最多且超过半数的为中标人。若中标候选人票数均未超过半数的，取票数前2名再次票决确定中标人。因并列无法确定前2名时，抽签确定。</w:t>
      </w:r>
    </w:p>
    <w:p>
      <w:pPr>
        <w:spacing w:line="360" w:lineRule="auto"/>
        <w:ind w:firstLine="480" w:firstLineChars="200"/>
        <w:rPr>
          <w:rFonts w:hint="eastAsia" w:ascii="宋体" w:hAnsi="宋体" w:eastAsia="宋体" w:cs="宋体"/>
          <w:bCs w:val="0"/>
          <w:color w:val="auto"/>
          <w:kern w:val="0"/>
          <w:sz w:val="24"/>
          <w:szCs w:val="24"/>
          <w:highlight w:val="none"/>
          <w:lang w:val="en-US" w:eastAsia="zh-CN"/>
        </w:rPr>
      </w:pPr>
      <w:r>
        <w:rPr>
          <w:rFonts w:hint="eastAsia" w:ascii="宋体" w:hAnsi="宋体" w:cs="宋体"/>
          <w:bCs w:val="0"/>
          <w:color w:val="auto"/>
          <w:kern w:val="0"/>
          <w:sz w:val="24"/>
          <w:szCs w:val="24"/>
          <w:highlight w:val="none"/>
          <w:lang w:val="en-US" w:eastAsia="zh-CN"/>
        </w:rPr>
        <w:t>21</w:t>
      </w:r>
      <w:r>
        <w:rPr>
          <w:rFonts w:hint="eastAsia" w:ascii="宋体" w:hAnsi="宋体" w:eastAsia="宋体" w:cs="宋体"/>
          <w:bCs w:val="0"/>
          <w:color w:val="auto"/>
          <w:kern w:val="0"/>
          <w:sz w:val="24"/>
          <w:szCs w:val="24"/>
          <w:highlight w:val="none"/>
          <w:lang w:val="en-US" w:eastAsia="zh-CN"/>
        </w:rPr>
        <w:t>.1</w:t>
      </w:r>
      <w:r>
        <w:rPr>
          <w:rFonts w:hint="eastAsia" w:ascii="宋体" w:hAnsi="宋体" w:cs="宋体"/>
          <w:bCs w:val="0"/>
          <w:color w:val="auto"/>
          <w:kern w:val="0"/>
          <w:sz w:val="24"/>
          <w:szCs w:val="24"/>
          <w:highlight w:val="none"/>
          <w:lang w:val="en-US" w:eastAsia="zh-CN"/>
        </w:rPr>
        <w:t>2</w:t>
      </w:r>
      <w:r>
        <w:rPr>
          <w:rFonts w:hint="eastAsia" w:ascii="宋体" w:hAnsi="宋体" w:eastAsia="宋体" w:cs="宋体"/>
          <w:bCs w:val="0"/>
          <w:color w:val="auto"/>
          <w:kern w:val="0"/>
          <w:sz w:val="24"/>
          <w:szCs w:val="24"/>
          <w:highlight w:val="none"/>
          <w:lang w:val="en-US" w:eastAsia="zh-CN"/>
        </w:rPr>
        <w:t>定标结果公告和备案</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定标结束3日内，招标人应当将中标结果情况在诸暨市公共资源交易网公告不少于3日，不对未中标人就定标过程以及未能中标的原因做出任何解释。</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定标后有下列情形之一的，招标人可以组织原定标委员会从其他中标候选人中按原定标方法确定中标人：</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）中标人放弃中标资格或者拒不签订合同的；</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）中标人被查实存在违法行为影响中标结果的；</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rPr>
        <w:t>）招标文件规定的其他情形。</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定标后有下列情形之一的，应重新定标：</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）定标委员会未按定标办法公正履职的；</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）定标委员会成员与中标候选人有利害关系且未申请回避的；</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rPr>
        <w:t>）招标文件规定的其他情形。</w:t>
      </w:r>
    </w:p>
    <w:p>
      <w:pPr>
        <w:spacing w:line="360" w:lineRule="auto"/>
        <w:ind w:firstLine="480" w:firstLineChars="200"/>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招标人（或招标代理机构）应当自确定中标人之日起15日内，应将定标报告作为《招投标情况书面报告》的一部分，报送公管办。</w:t>
      </w:r>
    </w:p>
    <w:p>
      <w:pPr>
        <w:spacing w:line="360" w:lineRule="auto"/>
        <w:ind w:firstLine="480" w:firstLineChars="200"/>
        <w:rPr>
          <w:rFonts w:hint="eastAsia" w:ascii="宋体" w:hAnsi="宋体" w:eastAsia="宋体" w:cs="宋体"/>
          <w:bCs w:val="0"/>
          <w:color w:val="auto"/>
          <w:kern w:val="0"/>
          <w:sz w:val="24"/>
          <w:szCs w:val="24"/>
          <w:highlight w:val="none"/>
          <w:lang w:val="en-US" w:eastAsia="zh-CN"/>
        </w:rPr>
      </w:pPr>
      <w:r>
        <w:rPr>
          <w:rFonts w:hint="eastAsia" w:ascii="宋体" w:hAnsi="宋体" w:cs="宋体"/>
          <w:bCs w:val="0"/>
          <w:color w:val="auto"/>
          <w:kern w:val="0"/>
          <w:sz w:val="24"/>
          <w:szCs w:val="24"/>
          <w:highlight w:val="none"/>
          <w:lang w:val="en-US" w:eastAsia="zh-CN"/>
        </w:rPr>
        <w:t>21</w:t>
      </w:r>
      <w:r>
        <w:rPr>
          <w:rFonts w:hint="eastAsia" w:ascii="宋体" w:hAnsi="宋体" w:eastAsia="宋体" w:cs="宋体"/>
          <w:bCs w:val="0"/>
          <w:color w:val="auto"/>
          <w:kern w:val="0"/>
          <w:sz w:val="24"/>
          <w:szCs w:val="24"/>
          <w:highlight w:val="none"/>
          <w:lang w:val="en-US" w:eastAsia="zh-CN"/>
        </w:rPr>
        <w:t>.1</w:t>
      </w:r>
      <w:r>
        <w:rPr>
          <w:rFonts w:hint="eastAsia" w:ascii="宋体" w:hAnsi="宋体" w:cs="宋体"/>
          <w:bCs w:val="0"/>
          <w:color w:val="auto"/>
          <w:kern w:val="0"/>
          <w:sz w:val="24"/>
          <w:szCs w:val="24"/>
          <w:highlight w:val="none"/>
          <w:lang w:val="en-US" w:eastAsia="zh-CN"/>
        </w:rPr>
        <w:t>3</w:t>
      </w:r>
      <w:r>
        <w:rPr>
          <w:rFonts w:hint="eastAsia" w:ascii="宋体" w:hAnsi="宋体" w:eastAsia="宋体" w:cs="宋体"/>
          <w:bCs w:val="0"/>
          <w:color w:val="auto"/>
          <w:kern w:val="0"/>
          <w:sz w:val="24"/>
          <w:szCs w:val="24"/>
          <w:highlight w:val="none"/>
          <w:lang w:val="en-US" w:eastAsia="zh-CN"/>
        </w:rPr>
        <w:t>保密要求</w:t>
      </w:r>
    </w:p>
    <w:p>
      <w:pPr>
        <w:spacing w:line="360" w:lineRule="auto"/>
        <w:ind w:firstLine="480" w:firstLineChars="200"/>
        <w:rPr>
          <w:rFonts w:hint="eastAsia" w:ascii="宋体" w:hAnsi="宋体" w:eastAsia="宋体" w:cs="宋体"/>
          <w:bCs w:val="0"/>
          <w:color w:val="auto"/>
          <w:kern w:val="0"/>
          <w:sz w:val="24"/>
          <w:szCs w:val="24"/>
          <w:highlight w:val="none"/>
          <w:lang w:val="en-US" w:eastAsia="zh-CN"/>
        </w:rPr>
      </w:pPr>
      <w:r>
        <w:rPr>
          <w:rFonts w:hint="eastAsia" w:ascii="宋体" w:hAnsi="宋体" w:eastAsia="宋体" w:cs="宋体"/>
          <w:bCs w:val="0"/>
          <w:color w:val="auto"/>
          <w:kern w:val="0"/>
          <w:sz w:val="24"/>
          <w:szCs w:val="24"/>
          <w:highlight w:val="none"/>
          <w:lang w:val="en-US" w:eastAsia="zh-CN"/>
        </w:rPr>
        <w:t>招标人、定标委员会成员及相关工作人员应当严格遵守保密规定，不得以任何形式向外透露定标委员会成员名单、考察或质询报告、中标人推荐以及与定标有关的其他情况。定标会议结束后，定标投票表、过程记录、录音录像等书面或影音资料均由招标人统一密封保存。</w:t>
      </w:r>
    </w:p>
    <w:p>
      <w:pPr>
        <w:spacing w:line="360" w:lineRule="auto"/>
        <w:ind w:firstLine="480" w:firstLineChars="200"/>
        <w:rPr>
          <w:rFonts w:hint="eastAsia" w:ascii="宋体" w:hAnsi="宋体" w:eastAsia="宋体" w:cs="宋体"/>
          <w:bCs w:val="0"/>
          <w:color w:val="auto"/>
          <w:kern w:val="0"/>
          <w:sz w:val="24"/>
          <w:szCs w:val="24"/>
          <w:highlight w:val="none"/>
          <w:lang w:val="en-US" w:eastAsia="zh-CN"/>
        </w:rPr>
      </w:pPr>
      <w:r>
        <w:rPr>
          <w:rFonts w:hint="eastAsia" w:ascii="宋体" w:hAnsi="宋体" w:cs="宋体"/>
          <w:bCs w:val="0"/>
          <w:color w:val="auto"/>
          <w:kern w:val="0"/>
          <w:sz w:val="24"/>
          <w:szCs w:val="24"/>
          <w:highlight w:val="none"/>
          <w:lang w:val="en-US" w:eastAsia="zh-CN"/>
        </w:rPr>
        <w:t>21.14</w:t>
      </w:r>
      <w:r>
        <w:rPr>
          <w:rFonts w:hint="eastAsia" w:ascii="宋体" w:hAnsi="宋体" w:eastAsia="宋体" w:cs="宋体"/>
          <w:bCs w:val="0"/>
          <w:color w:val="auto"/>
          <w:kern w:val="0"/>
          <w:sz w:val="24"/>
          <w:szCs w:val="24"/>
          <w:highlight w:val="none"/>
          <w:lang w:val="en-US" w:eastAsia="zh-CN"/>
        </w:rPr>
        <w:t>中标通知书</w:t>
      </w:r>
    </w:p>
    <w:p>
      <w:pPr>
        <w:numPr>
          <w:ilvl w:val="0"/>
          <w:numId w:val="0"/>
        </w:numPr>
        <w:spacing w:line="360" w:lineRule="auto"/>
        <w:ind w:left="0" w:leftChars="0" w:firstLine="480" w:firstLineChars="200"/>
        <w:rPr>
          <w:rFonts w:hint="eastAsia" w:ascii="宋体" w:hAnsi="宋体" w:eastAsia="宋体" w:cs="宋体"/>
          <w:bCs w:val="0"/>
          <w:color w:val="auto"/>
          <w:kern w:val="0"/>
          <w:sz w:val="24"/>
          <w:szCs w:val="24"/>
          <w:highlight w:val="none"/>
          <w:lang w:val="en-US" w:eastAsia="zh-CN"/>
        </w:rPr>
      </w:pPr>
      <w:r>
        <w:rPr>
          <w:rFonts w:hint="eastAsia" w:ascii="宋体" w:hAnsi="宋体" w:cs="宋体"/>
          <w:color w:val="auto"/>
          <w:sz w:val="24"/>
          <w:szCs w:val="24"/>
          <w:highlight w:val="none"/>
        </w:rPr>
        <w:t>在本章第3.3款规定的投标有效期内，招标人以书面形式向中标人发出中标通知书，同时将中标结果通知未中标的投标人。</w:t>
      </w:r>
    </w:p>
    <w:p>
      <w:pPr>
        <w:pStyle w:val="4"/>
        <w:numPr>
          <w:ilvl w:val="3"/>
          <w:numId w:val="1"/>
        </w:numPr>
        <w:spacing w:line="360" w:lineRule="auto"/>
        <w:jc w:val="center"/>
        <w:rPr>
          <w:rFonts w:hint="eastAsia"/>
          <w:color w:val="auto"/>
          <w:highlight w:val="none"/>
        </w:rPr>
      </w:pPr>
      <w:bookmarkStart w:id="384" w:name="_Toc28557"/>
      <w:bookmarkStart w:id="385" w:name="_Toc21164"/>
      <w:bookmarkStart w:id="386" w:name="_Toc17071"/>
      <w:bookmarkStart w:id="387" w:name="_Toc1712"/>
      <w:bookmarkStart w:id="388" w:name="_Toc13958"/>
      <w:bookmarkStart w:id="389" w:name="_Toc27517"/>
      <w:bookmarkStart w:id="390" w:name="_Toc19005"/>
      <w:bookmarkStart w:id="391" w:name="_Toc14696"/>
      <w:bookmarkStart w:id="392" w:name="_Toc17678"/>
      <w:bookmarkStart w:id="393" w:name="_Toc13015"/>
      <w:bookmarkStart w:id="394" w:name="_Toc2480"/>
      <w:bookmarkStart w:id="395" w:name="_Toc8226"/>
      <w:bookmarkStart w:id="396" w:name="_Toc21403"/>
      <w:bookmarkStart w:id="397" w:name="_Toc30831"/>
      <w:bookmarkStart w:id="398" w:name="_Toc24488"/>
      <w:bookmarkStart w:id="399" w:name="_Toc18834"/>
      <w:bookmarkStart w:id="400" w:name="_Toc20584"/>
      <w:bookmarkStart w:id="401" w:name="_Toc25823"/>
      <w:bookmarkStart w:id="402" w:name="_Toc26739"/>
      <w:bookmarkStart w:id="403" w:name="_Toc28354"/>
      <w:bookmarkStart w:id="404" w:name="_Toc20133"/>
      <w:bookmarkStart w:id="405" w:name="_Toc29466"/>
      <w:bookmarkStart w:id="406" w:name="_Toc3946"/>
      <w:bookmarkStart w:id="407" w:name="_Toc31260"/>
      <w:bookmarkStart w:id="408" w:name="_Toc29149"/>
      <w:bookmarkStart w:id="409" w:name="_Toc22370"/>
      <w:bookmarkStart w:id="410" w:name="_Toc8880"/>
      <w:bookmarkStart w:id="411" w:name="_Toc8700"/>
      <w:bookmarkStart w:id="412" w:name="_Toc10299"/>
      <w:r>
        <w:rPr>
          <w:rFonts w:hint="eastAsia"/>
          <w:color w:val="auto"/>
          <w:highlight w:val="none"/>
        </w:rPr>
        <w:t>合同的授予</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3" w:name="_Toc13565"/>
      <w:bookmarkStart w:id="414" w:name="_Toc14669"/>
      <w:bookmarkStart w:id="415" w:name="_Toc20180"/>
      <w:bookmarkStart w:id="416" w:name="_Toc453079308"/>
      <w:bookmarkStart w:id="417" w:name="_Toc4459"/>
      <w:bookmarkStart w:id="418" w:name="_Toc20289"/>
    </w:p>
    <w:p>
      <w:pPr>
        <w:pStyle w:val="6"/>
        <w:numPr>
          <w:ilvl w:val="0"/>
          <w:numId w:val="0"/>
        </w:numPr>
        <w:tabs>
          <w:tab w:val="clear" w:pos="510"/>
        </w:tabs>
        <w:spacing w:line="360" w:lineRule="auto"/>
        <w:ind w:left="510" w:leftChars="0"/>
        <w:rPr>
          <w:rFonts w:hint="default"/>
          <w:color w:val="auto"/>
          <w:highlight w:val="none"/>
          <w:lang w:val="en-US" w:eastAsia="zh-CN"/>
        </w:rPr>
      </w:pPr>
      <w:r>
        <w:rPr>
          <w:rFonts w:hint="eastAsia"/>
          <w:color w:val="auto"/>
          <w:highlight w:val="none"/>
          <w:lang w:val="en-US" w:eastAsia="zh-CN"/>
        </w:rPr>
        <w:t>22.合同授予</w:t>
      </w:r>
    </w:p>
    <w:p>
      <w:pPr>
        <w:pStyle w:val="8"/>
        <w:tabs>
          <w:tab w:val="left" w:pos="567"/>
          <w:tab w:val="left" w:pos="1000"/>
        </w:tabs>
        <w:spacing w:line="360" w:lineRule="auto"/>
        <w:ind w:left="0" w:leftChars="0" w:firstLine="480" w:firstLineChars="200"/>
        <w:rPr>
          <w:rFonts w:hint="eastAsia" w:ascii="宋体" w:hAnsi="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22.1合同授予标准</w:t>
      </w:r>
      <w:bookmarkEnd w:id="413"/>
      <w:bookmarkEnd w:id="414"/>
      <w:bookmarkEnd w:id="415"/>
      <w:bookmarkEnd w:id="416"/>
      <w:bookmarkEnd w:id="417"/>
      <w:bookmarkEnd w:id="418"/>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本工程合同将授予按投标人须知第20条规定确定的中标人。</w:t>
      </w:r>
      <w:bookmarkStart w:id="419" w:name="_Toc32437"/>
      <w:bookmarkStart w:id="420" w:name="_Toc16095"/>
      <w:bookmarkStart w:id="421" w:name="_Toc7932"/>
      <w:bookmarkStart w:id="422" w:name="_Toc20060"/>
      <w:bookmarkStart w:id="423" w:name="_Toc27263"/>
      <w:bookmarkStart w:id="424" w:name="_Toc453079309"/>
    </w:p>
    <w:p>
      <w:pPr>
        <w:pStyle w:val="8"/>
        <w:tabs>
          <w:tab w:val="left" w:pos="567"/>
          <w:tab w:val="left" w:pos="1000"/>
        </w:tabs>
        <w:spacing w:line="360" w:lineRule="auto"/>
        <w:ind w:left="0" w:leftChars="0"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w:t>
      </w:r>
      <w:r>
        <w:rPr>
          <w:rFonts w:hint="eastAsia" w:ascii="宋体" w:hAnsi="宋体" w:eastAsia="宋体" w:cs="Arial"/>
          <w:bCs/>
          <w:color w:val="auto"/>
          <w:kern w:val="0"/>
          <w:sz w:val="24"/>
          <w:highlight w:val="none"/>
          <w:lang w:val="en-US" w:eastAsia="zh-CN"/>
        </w:rPr>
        <w:t>.2授标及废除授标</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招标人应把全过程</w:t>
      </w:r>
      <w:r>
        <w:rPr>
          <w:rFonts w:hint="eastAsia" w:ascii="宋体" w:hAnsi="宋体" w:cs="Arial"/>
          <w:bCs/>
          <w:color w:val="auto"/>
          <w:kern w:val="0"/>
          <w:sz w:val="24"/>
          <w:highlight w:val="none"/>
          <w:lang w:val="en-US" w:eastAsia="zh-CN"/>
        </w:rPr>
        <w:t>工程</w:t>
      </w:r>
      <w:r>
        <w:rPr>
          <w:rFonts w:hint="eastAsia" w:ascii="宋体" w:hAnsi="宋体" w:eastAsia="宋体" w:cs="Arial"/>
          <w:bCs/>
          <w:color w:val="auto"/>
          <w:kern w:val="0"/>
          <w:sz w:val="24"/>
          <w:highlight w:val="none"/>
          <w:lang w:val="en-US" w:eastAsia="zh-CN"/>
        </w:rPr>
        <w:t>咨询</w:t>
      </w:r>
      <w:r>
        <w:rPr>
          <w:rFonts w:hint="eastAsia" w:ascii="宋体" w:hAnsi="宋体" w:cs="Arial"/>
          <w:bCs/>
          <w:color w:val="auto"/>
          <w:kern w:val="0"/>
          <w:sz w:val="24"/>
          <w:highlight w:val="none"/>
          <w:lang w:val="en-US" w:eastAsia="zh-CN"/>
        </w:rPr>
        <w:t>服务</w:t>
      </w:r>
      <w:r>
        <w:rPr>
          <w:rFonts w:hint="eastAsia" w:ascii="宋体" w:hAnsi="宋体" w:eastAsia="宋体" w:cs="Arial"/>
          <w:bCs/>
          <w:color w:val="auto"/>
          <w:kern w:val="0"/>
          <w:sz w:val="24"/>
          <w:highlight w:val="none"/>
          <w:lang w:val="en-US" w:eastAsia="zh-CN"/>
        </w:rPr>
        <w:t>合同授予中标人。《中标通知书》发出之后，招标人若证实中标人存在下列行为之一，仍然可以废除授标：</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（1）弄虚作假或与其他投标人串通骗取中标的；</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（2）于投标有效期终止之前撤回投标文件的；</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（3）因中标人过错而未能按照规定与招标人签订全过程</w:t>
      </w:r>
      <w:r>
        <w:rPr>
          <w:rFonts w:hint="eastAsia" w:ascii="宋体" w:hAnsi="宋体" w:cs="Arial"/>
          <w:bCs/>
          <w:color w:val="auto"/>
          <w:kern w:val="0"/>
          <w:sz w:val="24"/>
          <w:highlight w:val="none"/>
          <w:lang w:val="en-US" w:eastAsia="zh-CN"/>
        </w:rPr>
        <w:t>工程</w:t>
      </w:r>
      <w:r>
        <w:rPr>
          <w:rFonts w:hint="eastAsia" w:ascii="宋体" w:hAnsi="宋体" w:eastAsia="宋体" w:cs="Arial"/>
          <w:bCs/>
          <w:color w:val="auto"/>
          <w:kern w:val="0"/>
          <w:sz w:val="24"/>
          <w:highlight w:val="none"/>
          <w:lang w:val="en-US" w:eastAsia="zh-CN"/>
        </w:rPr>
        <w:t>咨询</w:t>
      </w:r>
      <w:r>
        <w:rPr>
          <w:rFonts w:hint="eastAsia" w:ascii="宋体" w:hAnsi="宋体" w:cs="Arial"/>
          <w:bCs/>
          <w:color w:val="auto"/>
          <w:kern w:val="0"/>
          <w:sz w:val="24"/>
          <w:highlight w:val="none"/>
          <w:lang w:val="en-US" w:eastAsia="zh-CN"/>
        </w:rPr>
        <w:t>服务</w:t>
      </w:r>
      <w:r>
        <w:rPr>
          <w:rFonts w:hint="eastAsia" w:ascii="宋体" w:hAnsi="宋体" w:eastAsia="宋体" w:cs="Arial"/>
          <w:bCs/>
          <w:color w:val="auto"/>
          <w:kern w:val="0"/>
          <w:sz w:val="24"/>
          <w:highlight w:val="none"/>
          <w:lang w:val="en-US" w:eastAsia="zh-CN"/>
        </w:rPr>
        <w:t>合同的；</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（4）因中标人过错而未能按照规定向招标人提交履约保证金的；</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eastAsia="宋体" w:cs="Arial"/>
          <w:bCs/>
          <w:color w:val="auto"/>
          <w:kern w:val="0"/>
          <w:sz w:val="24"/>
          <w:highlight w:val="none"/>
          <w:lang w:val="en-US" w:eastAsia="zh-CN"/>
        </w:rPr>
        <w:t>（5）存在法律、法规规定的其它损害招标人利益和社会公共利益的情形的。</w:t>
      </w:r>
    </w:p>
    <w:p>
      <w:pPr>
        <w:pStyle w:val="8"/>
        <w:tabs>
          <w:tab w:val="left" w:pos="567"/>
          <w:tab w:val="left" w:pos="1000"/>
        </w:tabs>
        <w:spacing w:line="360" w:lineRule="auto"/>
        <w:ind w:left="0" w:leftChars="0" w:firstLine="480" w:firstLineChars="200"/>
        <w:rPr>
          <w:rFonts w:hint="eastAsia" w:ascii="宋体" w:hAnsi="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22.3合同签订</w:t>
      </w:r>
      <w:bookmarkEnd w:id="419"/>
      <w:bookmarkEnd w:id="420"/>
      <w:bookmarkEnd w:id="421"/>
      <w:bookmarkEnd w:id="422"/>
      <w:bookmarkEnd w:id="423"/>
      <w:bookmarkEnd w:id="424"/>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w:t>
      </w:r>
      <w:r>
        <w:rPr>
          <w:rFonts w:hint="eastAsia" w:ascii="宋体" w:hAnsi="宋体" w:eastAsia="宋体" w:cs="Arial"/>
          <w:bCs/>
          <w:color w:val="auto"/>
          <w:kern w:val="0"/>
          <w:sz w:val="24"/>
          <w:highlight w:val="none"/>
          <w:lang w:val="en-US" w:eastAsia="zh-CN"/>
        </w:rPr>
        <w:t>.3.1招标人与中标人应于中标通知书发出之日起30日内，按照招标文件和中标人的投标文件签订全过程</w:t>
      </w:r>
      <w:r>
        <w:rPr>
          <w:rFonts w:hint="eastAsia" w:ascii="宋体" w:hAnsi="宋体" w:cs="Arial"/>
          <w:bCs/>
          <w:color w:val="auto"/>
          <w:kern w:val="0"/>
          <w:sz w:val="24"/>
          <w:highlight w:val="none"/>
          <w:lang w:val="en-US" w:eastAsia="zh-CN"/>
        </w:rPr>
        <w:t>工程</w:t>
      </w:r>
      <w:r>
        <w:rPr>
          <w:rFonts w:hint="eastAsia" w:ascii="宋体" w:hAnsi="宋体" w:eastAsia="宋体" w:cs="Arial"/>
          <w:bCs/>
          <w:color w:val="auto"/>
          <w:kern w:val="0"/>
          <w:sz w:val="24"/>
          <w:highlight w:val="none"/>
          <w:lang w:val="en-US" w:eastAsia="zh-CN"/>
        </w:rPr>
        <w:t>咨询</w:t>
      </w:r>
      <w:r>
        <w:rPr>
          <w:rFonts w:hint="eastAsia" w:ascii="宋体" w:hAnsi="宋体" w:cs="Arial"/>
          <w:bCs/>
          <w:color w:val="auto"/>
          <w:kern w:val="0"/>
          <w:sz w:val="24"/>
          <w:highlight w:val="none"/>
          <w:lang w:val="en-US" w:eastAsia="zh-CN"/>
        </w:rPr>
        <w:t>服务</w:t>
      </w:r>
      <w:r>
        <w:rPr>
          <w:rFonts w:hint="eastAsia" w:ascii="宋体" w:hAnsi="宋体" w:eastAsia="宋体" w:cs="Arial"/>
          <w:bCs/>
          <w:color w:val="auto"/>
          <w:kern w:val="0"/>
          <w:sz w:val="24"/>
          <w:highlight w:val="none"/>
          <w:lang w:val="en-US" w:eastAsia="zh-CN"/>
        </w:rPr>
        <w:t>合同。招标人和中标人不得再另外订立背离合同实质性内容的其它协议。</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w:t>
      </w:r>
      <w:r>
        <w:rPr>
          <w:rFonts w:hint="eastAsia" w:ascii="宋体" w:hAnsi="宋体" w:eastAsia="宋体" w:cs="Arial"/>
          <w:bCs/>
          <w:color w:val="auto"/>
          <w:kern w:val="0"/>
          <w:sz w:val="24"/>
          <w:highlight w:val="none"/>
          <w:lang w:val="en-US" w:eastAsia="zh-CN"/>
        </w:rPr>
        <w:t>.3.2中标人不按投标人须知第2</w:t>
      </w:r>
      <w:r>
        <w:rPr>
          <w:rFonts w:hint="eastAsia" w:ascii="宋体" w:hAnsi="宋体" w:cs="Arial"/>
          <w:bCs/>
          <w:color w:val="auto"/>
          <w:kern w:val="0"/>
          <w:sz w:val="24"/>
          <w:highlight w:val="none"/>
          <w:lang w:val="en-US" w:eastAsia="zh-CN"/>
        </w:rPr>
        <w:t>2</w:t>
      </w:r>
      <w:r>
        <w:rPr>
          <w:rFonts w:hint="eastAsia" w:ascii="宋体" w:hAnsi="宋体" w:eastAsia="宋体" w:cs="Arial"/>
          <w:bCs/>
          <w:color w:val="auto"/>
          <w:kern w:val="0"/>
          <w:sz w:val="24"/>
          <w:highlight w:val="none"/>
          <w:lang w:val="en-US" w:eastAsia="zh-CN"/>
        </w:rPr>
        <w:t>.3.1项的规定与招标人签订合同，则招标人将有充分的理由废除授标，给招标人造成的损失应当予以赔偿，同时依法承担相应法律责任。</w:t>
      </w:r>
      <w:bookmarkStart w:id="425" w:name="_Toc2103"/>
      <w:bookmarkStart w:id="426" w:name="_Toc453079310"/>
      <w:bookmarkStart w:id="427" w:name="_Toc28840"/>
      <w:bookmarkStart w:id="428" w:name="_Toc7837"/>
      <w:bookmarkStart w:id="429" w:name="_Toc20585"/>
      <w:bookmarkStart w:id="430" w:name="_Toc20962"/>
    </w:p>
    <w:p>
      <w:pPr>
        <w:pStyle w:val="8"/>
        <w:tabs>
          <w:tab w:val="left" w:pos="567"/>
          <w:tab w:val="left" w:pos="1000"/>
        </w:tabs>
        <w:spacing w:line="360" w:lineRule="auto"/>
        <w:ind w:left="0" w:leftChars="0" w:firstLine="480" w:firstLineChars="200"/>
        <w:rPr>
          <w:rFonts w:hint="eastAsia" w:ascii="宋体" w:hAnsi="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22.4履约保证金</w:t>
      </w:r>
      <w:bookmarkEnd w:id="425"/>
      <w:bookmarkEnd w:id="426"/>
      <w:bookmarkEnd w:id="427"/>
      <w:bookmarkEnd w:id="428"/>
      <w:bookmarkEnd w:id="429"/>
      <w:bookmarkEnd w:id="430"/>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w:t>
      </w:r>
      <w:r>
        <w:rPr>
          <w:rFonts w:hint="eastAsia" w:ascii="宋体" w:hAnsi="宋体" w:eastAsia="宋体" w:cs="Arial"/>
          <w:bCs/>
          <w:color w:val="auto"/>
          <w:kern w:val="0"/>
          <w:sz w:val="24"/>
          <w:highlight w:val="none"/>
          <w:lang w:val="en-US" w:eastAsia="zh-CN"/>
        </w:rPr>
        <w:t>.4.1中标人应按投标人须知前附表（一）第20项规定在合同协议书签署前向招标人缴纳履约保证金（不计息），履约保证金采用银行汇票或现金交款单或银行保函的形式。</w:t>
      </w:r>
    </w:p>
    <w:p>
      <w:pPr>
        <w:pStyle w:val="8"/>
        <w:tabs>
          <w:tab w:val="left" w:pos="567"/>
          <w:tab w:val="left" w:pos="1000"/>
        </w:tabs>
        <w:spacing w:line="360" w:lineRule="auto"/>
        <w:ind w:firstLine="480" w:firstLineChars="200"/>
        <w:rPr>
          <w:rFonts w:hint="eastAsia" w:ascii="宋体" w:hAnsi="宋体" w:eastAsia="宋体" w:cs="Arial"/>
          <w:bCs/>
          <w:color w:val="auto"/>
          <w:kern w:val="0"/>
          <w:sz w:val="24"/>
          <w:highlight w:val="none"/>
          <w:lang w:val="en-US" w:eastAsia="zh-CN"/>
        </w:rPr>
      </w:pPr>
      <w:r>
        <w:rPr>
          <w:rFonts w:hint="eastAsia" w:ascii="宋体" w:hAnsi="宋体" w:cs="Arial"/>
          <w:bCs/>
          <w:color w:val="auto"/>
          <w:kern w:val="0"/>
          <w:sz w:val="24"/>
          <w:highlight w:val="none"/>
          <w:lang w:val="en-US" w:eastAsia="zh-CN"/>
        </w:rPr>
        <w:t>22</w:t>
      </w:r>
      <w:r>
        <w:rPr>
          <w:rFonts w:hint="eastAsia" w:ascii="宋体" w:hAnsi="宋体" w:eastAsia="宋体" w:cs="Arial"/>
          <w:bCs/>
          <w:color w:val="auto"/>
          <w:kern w:val="0"/>
          <w:sz w:val="24"/>
          <w:highlight w:val="none"/>
          <w:lang w:val="en-US" w:eastAsia="zh-CN"/>
        </w:rPr>
        <w:t>.4.2合同履约保证金在工程竣工验收合格后14日内退还中标人（不计息）。</w:t>
      </w:r>
    </w:p>
    <w:p>
      <w:pPr>
        <w:pStyle w:val="8"/>
        <w:tabs>
          <w:tab w:val="left" w:pos="567"/>
          <w:tab w:val="left" w:pos="1000"/>
        </w:tabs>
        <w:spacing w:line="360" w:lineRule="auto"/>
        <w:ind w:firstLine="480" w:firstLineChars="200"/>
        <w:rPr>
          <w:rFonts w:hint="eastAsia" w:hAnsi="宋体"/>
          <w:color w:val="auto"/>
          <w:sz w:val="24"/>
          <w:szCs w:val="24"/>
          <w:highlight w:val="none"/>
        </w:rPr>
      </w:pPr>
      <w:r>
        <w:rPr>
          <w:rFonts w:hint="eastAsia" w:ascii="宋体" w:hAnsi="宋体" w:cs="Arial"/>
          <w:bCs/>
          <w:color w:val="auto"/>
          <w:kern w:val="0"/>
          <w:sz w:val="24"/>
          <w:highlight w:val="none"/>
          <w:lang w:val="en-US" w:eastAsia="zh-CN"/>
        </w:rPr>
        <w:t>22</w:t>
      </w:r>
      <w:r>
        <w:rPr>
          <w:rFonts w:hint="eastAsia" w:ascii="宋体" w:hAnsi="宋体" w:eastAsia="宋体" w:cs="Arial"/>
          <w:bCs/>
          <w:color w:val="auto"/>
          <w:kern w:val="0"/>
          <w:sz w:val="24"/>
          <w:highlight w:val="none"/>
          <w:lang w:val="en-US" w:eastAsia="zh-CN"/>
        </w:rPr>
        <w:t>.4.3中标人在向招标人提交合同履约保证金的同时，招标人应向中标人提供一定的支付担保。</w:t>
      </w:r>
    </w:p>
    <w:p>
      <w:pPr>
        <w:pStyle w:val="4"/>
        <w:numPr>
          <w:ilvl w:val="3"/>
          <w:numId w:val="1"/>
        </w:numPr>
        <w:spacing w:line="360" w:lineRule="auto"/>
        <w:jc w:val="center"/>
        <w:rPr>
          <w:color w:val="auto"/>
          <w:highlight w:val="none"/>
        </w:rPr>
      </w:pPr>
      <w:bookmarkStart w:id="431" w:name="_Toc19233"/>
      <w:bookmarkStart w:id="432" w:name="_Toc22642"/>
      <w:bookmarkStart w:id="433" w:name="_Toc8213"/>
      <w:bookmarkStart w:id="434" w:name="_Toc24512"/>
      <w:bookmarkStart w:id="435" w:name="_Toc24620"/>
      <w:bookmarkStart w:id="436" w:name="_Toc21610"/>
      <w:bookmarkStart w:id="437" w:name="_Toc27287"/>
      <w:bookmarkStart w:id="438" w:name="_Toc21180"/>
      <w:bookmarkStart w:id="439" w:name="_Toc30993"/>
      <w:bookmarkStart w:id="440" w:name="_Toc29262"/>
      <w:bookmarkStart w:id="441" w:name="_Toc12186"/>
      <w:bookmarkStart w:id="442" w:name="_Toc1352"/>
      <w:bookmarkStart w:id="443" w:name="_Toc10667"/>
      <w:bookmarkStart w:id="444" w:name="_Toc29500"/>
      <w:bookmarkStart w:id="445" w:name="_Toc11869"/>
      <w:bookmarkStart w:id="446" w:name="_Toc9285"/>
      <w:bookmarkStart w:id="447" w:name="_Toc5136"/>
      <w:bookmarkStart w:id="448" w:name="_Toc8717"/>
      <w:bookmarkStart w:id="449" w:name="_Toc16962"/>
      <w:bookmarkStart w:id="450" w:name="_Toc23961"/>
      <w:bookmarkStart w:id="451" w:name="_Toc12638"/>
      <w:bookmarkStart w:id="452" w:name="_Toc4073"/>
      <w:bookmarkStart w:id="453" w:name="_Toc20556"/>
      <w:bookmarkStart w:id="454" w:name="_Toc3079"/>
      <w:bookmarkStart w:id="455" w:name="_Toc20279"/>
      <w:bookmarkStart w:id="456" w:name="_Toc15686"/>
      <w:bookmarkStart w:id="457" w:name="_Toc24743"/>
      <w:r>
        <w:rPr>
          <w:rFonts w:hint="eastAsia"/>
          <w:color w:val="auto"/>
          <w:highlight w:val="none"/>
        </w:rPr>
        <w:t>其他</w:t>
      </w:r>
      <w:bookmarkEnd w:id="381"/>
      <w:bookmarkEnd w:id="382"/>
      <w:bookmarkEnd w:id="383"/>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pPr>
        <w:pStyle w:val="6"/>
        <w:numPr>
          <w:ilvl w:val="0"/>
          <w:numId w:val="0"/>
        </w:numPr>
        <w:tabs>
          <w:tab w:val="clear" w:pos="510"/>
        </w:tabs>
        <w:spacing w:line="360" w:lineRule="auto"/>
        <w:ind w:left="510" w:leftChars="0"/>
        <w:rPr>
          <w:color w:val="auto"/>
          <w:highlight w:val="none"/>
        </w:rPr>
      </w:pPr>
      <w:bookmarkStart w:id="458" w:name="_Toc142138247"/>
      <w:bookmarkStart w:id="459" w:name="_Toc300038959"/>
      <w:r>
        <w:rPr>
          <w:rFonts w:hint="eastAsia"/>
          <w:color w:val="auto"/>
          <w:highlight w:val="none"/>
          <w:lang w:val="en-US" w:eastAsia="zh-CN"/>
        </w:rPr>
        <w:t>23</w:t>
      </w:r>
      <w:r>
        <w:rPr>
          <w:rFonts w:hint="eastAsia"/>
          <w:color w:val="auto"/>
          <w:highlight w:val="none"/>
        </w:rPr>
        <w:t>重新招标</w:t>
      </w:r>
      <w:bookmarkEnd w:id="458"/>
      <w:bookmarkEnd w:id="459"/>
    </w:p>
    <w:p>
      <w:pPr>
        <w:pStyle w:val="8"/>
        <w:numPr>
          <w:ilvl w:val="0"/>
          <w:numId w:val="0"/>
        </w:numPr>
        <w:tabs>
          <w:tab w:val="left" w:pos="1000"/>
        </w:tabs>
        <w:spacing w:line="360" w:lineRule="auto"/>
        <w:ind w:left="510" w:leftChars="0"/>
        <w:rPr>
          <w:color w:val="auto"/>
          <w:sz w:val="24"/>
          <w:szCs w:val="24"/>
          <w:highlight w:val="none"/>
        </w:rPr>
      </w:pPr>
      <w:r>
        <w:rPr>
          <w:rFonts w:hint="eastAsia"/>
          <w:color w:val="auto"/>
          <w:sz w:val="24"/>
          <w:szCs w:val="24"/>
          <w:highlight w:val="none"/>
          <w:lang w:val="en-US" w:eastAsia="zh-CN"/>
        </w:rPr>
        <w:t>23.1</w:t>
      </w:r>
      <w:r>
        <w:rPr>
          <w:rFonts w:hint="eastAsia"/>
          <w:color w:val="auto"/>
          <w:sz w:val="24"/>
          <w:szCs w:val="24"/>
          <w:highlight w:val="none"/>
        </w:rPr>
        <w:t>本项目招标出现下列情形时，</w:t>
      </w:r>
      <w:r>
        <w:rPr>
          <w:rFonts w:hint="eastAsia" w:ascii="宋体" w:hAnsi="宋体" w:cs="Arial"/>
          <w:bCs/>
          <w:color w:val="auto"/>
          <w:kern w:val="0"/>
          <w:sz w:val="24"/>
          <w:highlight w:val="none"/>
        </w:rPr>
        <w:t>招标人</w:t>
      </w:r>
      <w:r>
        <w:rPr>
          <w:rFonts w:hint="eastAsia"/>
          <w:color w:val="auto"/>
          <w:sz w:val="24"/>
          <w:szCs w:val="24"/>
          <w:highlight w:val="none"/>
        </w:rPr>
        <w:t>应当依法重新招标：</w:t>
      </w:r>
    </w:p>
    <w:p>
      <w:pPr>
        <w:pStyle w:val="8"/>
        <w:numPr>
          <w:ilvl w:val="0"/>
          <w:numId w:val="0"/>
        </w:numPr>
        <w:tabs>
          <w:tab w:val="left" w:pos="100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highlight w:val="none"/>
          <w:lang w:val="en-US" w:eastAsia="zh-CN"/>
        </w:rPr>
        <w:t>23.1.1</w:t>
      </w:r>
      <w:r>
        <w:rPr>
          <w:rFonts w:hint="eastAsia" w:ascii="宋体" w:hAnsi="宋体" w:cs="宋体"/>
          <w:color w:val="auto"/>
          <w:sz w:val="24"/>
          <w:highlight w:val="none"/>
        </w:rPr>
        <w:t>投标截止时间止，投标人少于</w:t>
      </w:r>
      <w:r>
        <w:rPr>
          <w:rFonts w:ascii="宋体" w:hAnsi="宋体" w:cs="宋体"/>
          <w:color w:val="auto"/>
          <w:sz w:val="24"/>
          <w:highlight w:val="none"/>
        </w:rPr>
        <w:t>3个的</w:t>
      </w:r>
      <w:r>
        <w:rPr>
          <w:rFonts w:hint="eastAsia" w:ascii="宋体" w:hAnsi="宋体" w:cs="宋体"/>
          <w:snapToGrid w:val="0"/>
          <w:color w:val="auto"/>
          <w:sz w:val="24"/>
          <w:szCs w:val="24"/>
          <w:highlight w:val="none"/>
        </w:rPr>
        <w:t>；</w:t>
      </w:r>
    </w:p>
    <w:p>
      <w:pPr>
        <w:pStyle w:val="8"/>
        <w:numPr>
          <w:ilvl w:val="2"/>
          <w:numId w:val="0"/>
        </w:numPr>
        <w:tabs>
          <w:tab w:val="left" w:pos="1000"/>
        </w:tabs>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2</w:t>
      </w:r>
      <w:r>
        <w:rPr>
          <w:rFonts w:hint="eastAsia" w:ascii="宋体" w:hAnsi="宋体" w:cs="宋体"/>
          <w:color w:val="auto"/>
          <w:sz w:val="24"/>
          <w:highlight w:val="none"/>
        </w:rPr>
        <w:t>经评标委员会评审后否决所有投标的</w:t>
      </w:r>
      <w:r>
        <w:rPr>
          <w:rFonts w:hint="eastAsia" w:ascii="宋体" w:hAnsi="宋体" w:cs="宋体"/>
          <w:snapToGrid w:val="0"/>
          <w:color w:val="auto"/>
          <w:sz w:val="24"/>
          <w:szCs w:val="24"/>
          <w:highlight w:val="none"/>
        </w:rPr>
        <w:t>；</w:t>
      </w:r>
    </w:p>
    <w:p>
      <w:pPr>
        <w:pStyle w:val="8"/>
        <w:numPr>
          <w:ilvl w:val="2"/>
          <w:numId w:val="0"/>
        </w:numPr>
        <w:tabs>
          <w:tab w:val="left" w:pos="1000"/>
        </w:tabs>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3</w:t>
      </w:r>
      <w:r>
        <w:rPr>
          <w:rFonts w:hint="eastAsia" w:ascii="宋体" w:hAnsi="宋体" w:cs="宋体"/>
          <w:color w:val="auto"/>
          <w:sz w:val="24"/>
          <w:highlight w:val="none"/>
        </w:rPr>
        <w:t>评标委员会否决不合格投标或者界定为废标后因有效投标不足</w:t>
      </w:r>
      <w:r>
        <w:rPr>
          <w:rFonts w:ascii="宋体" w:hAnsi="宋体" w:cs="宋体"/>
          <w:color w:val="auto"/>
          <w:sz w:val="24"/>
          <w:highlight w:val="none"/>
        </w:rPr>
        <w:t>3个使得投标明显缺乏竞争，评标委员会决定否决全部投标的；</w:t>
      </w:r>
    </w:p>
    <w:p>
      <w:pPr>
        <w:pStyle w:val="8"/>
        <w:numPr>
          <w:ilvl w:val="2"/>
          <w:numId w:val="0"/>
        </w:numPr>
        <w:tabs>
          <w:tab w:val="left" w:pos="1000"/>
        </w:tabs>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4</w:t>
      </w:r>
      <w:r>
        <w:rPr>
          <w:rFonts w:hint="eastAsia" w:ascii="宋体" w:hAnsi="宋体" w:cs="宋体"/>
          <w:color w:val="auto"/>
          <w:sz w:val="24"/>
          <w:highlight w:val="none"/>
        </w:rPr>
        <w:t>同意延长投标有效期的投标人少于</w:t>
      </w:r>
      <w:r>
        <w:rPr>
          <w:rFonts w:ascii="宋体" w:hAnsi="宋体" w:cs="宋体"/>
          <w:color w:val="auto"/>
          <w:sz w:val="24"/>
          <w:highlight w:val="none"/>
        </w:rPr>
        <w:t>3个的；</w:t>
      </w:r>
    </w:p>
    <w:p>
      <w:pPr>
        <w:pStyle w:val="8"/>
        <w:numPr>
          <w:ilvl w:val="2"/>
          <w:numId w:val="0"/>
        </w:numPr>
        <w:tabs>
          <w:tab w:val="left" w:pos="1000"/>
        </w:tabs>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5</w:t>
      </w:r>
      <w:r>
        <w:rPr>
          <w:rFonts w:hint="eastAsia" w:ascii="宋体" w:hAnsi="宋体" w:cs="宋体"/>
          <w:color w:val="auto"/>
          <w:sz w:val="24"/>
          <w:highlight w:val="none"/>
        </w:rPr>
        <w:t>中标人放弃中标或被取消中标资格的；</w:t>
      </w:r>
    </w:p>
    <w:p>
      <w:pPr>
        <w:pStyle w:val="8"/>
        <w:numPr>
          <w:ilvl w:val="2"/>
          <w:numId w:val="0"/>
        </w:numPr>
        <w:tabs>
          <w:tab w:val="left" w:pos="1000"/>
        </w:tabs>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6</w:t>
      </w:r>
      <w:r>
        <w:rPr>
          <w:rFonts w:hint="eastAsia" w:ascii="宋体" w:hAnsi="宋体" w:cs="宋体"/>
          <w:color w:val="auto"/>
          <w:sz w:val="24"/>
          <w:highlight w:val="none"/>
        </w:rPr>
        <w:t>中标人未与</w:t>
      </w:r>
      <w:r>
        <w:rPr>
          <w:rFonts w:hint="eastAsia" w:ascii="宋体" w:hAnsi="宋体" w:cs="Arial"/>
          <w:bCs/>
          <w:color w:val="auto"/>
          <w:kern w:val="0"/>
          <w:sz w:val="24"/>
          <w:highlight w:val="none"/>
        </w:rPr>
        <w:t>招标人</w:t>
      </w:r>
      <w:r>
        <w:rPr>
          <w:rFonts w:hint="eastAsia" w:ascii="宋体" w:hAnsi="宋体" w:cs="宋体"/>
          <w:color w:val="auto"/>
          <w:sz w:val="24"/>
          <w:highlight w:val="none"/>
        </w:rPr>
        <w:t>签订合同的；</w:t>
      </w:r>
    </w:p>
    <w:p>
      <w:pPr>
        <w:pStyle w:val="8"/>
        <w:numPr>
          <w:ilvl w:val="2"/>
          <w:numId w:val="0"/>
        </w:numPr>
        <w:tabs>
          <w:tab w:val="left" w:pos="1000"/>
        </w:tabs>
        <w:spacing w:line="360" w:lineRule="auto"/>
        <w:ind w:firstLine="480" w:firstLineChars="200"/>
        <w:rPr>
          <w:rFonts w:ascii="宋体" w:hAnsi="宋体" w:cs="宋体"/>
          <w:color w:val="auto"/>
          <w:sz w:val="24"/>
          <w:szCs w:val="22"/>
          <w:highlight w:val="none"/>
        </w:rPr>
      </w:pPr>
      <w:r>
        <w:rPr>
          <w:rFonts w:hint="eastAsia" w:ascii="宋体" w:hAnsi="宋体" w:eastAsia="宋体" w:cs="宋体"/>
          <w:color w:val="auto"/>
          <w:kern w:val="2"/>
          <w:sz w:val="24"/>
          <w:szCs w:val="22"/>
          <w:highlight w:val="none"/>
          <w:lang w:val="en-US" w:eastAsia="zh-CN" w:bidi="ar-SA"/>
        </w:rPr>
        <w:t>2</w:t>
      </w:r>
      <w:r>
        <w:rPr>
          <w:rFonts w:hint="eastAsia" w:ascii="宋体" w:hAnsi="宋体" w:cs="宋体"/>
          <w:color w:val="auto"/>
          <w:kern w:val="2"/>
          <w:sz w:val="24"/>
          <w:szCs w:val="22"/>
          <w:highlight w:val="none"/>
          <w:lang w:val="en-US" w:eastAsia="zh-CN" w:bidi="ar-SA"/>
        </w:rPr>
        <w:t>3</w:t>
      </w:r>
      <w:r>
        <w:rPr>
          <w:rFonts w:hint="eastAsia" w:ascii="宋体" w:hAnsi="宋体" w:eastAsia="宋体" w:cs="宋体"/>
          <w:color w:val="auto"/>
          <w:kern w:val="2"/>
          <w:sz w:val="24"/>
          <w:szCs w:val="22"/>
          <w:highlight w:val="none"/>
          <w:lang w:val="en-US" w:eastAsia="zh-CN" w:bidi="ar-SA"/>
        </w:rPr>
        <w:t>.1.</w:t>
      </w:r>
      <w:r>
        <w:rPr>
          <w:rFonts w:hint="eastAsia" w:ascii="宋体" w:hAnsi="宋体" w:cs="宋体"/>
          <w:color w:val="auto"/>
          <w:kern w:val="2"/>
          <w:sz w:val="24"/>
          <w:szCs w:val="22"/>
          <w:highlight w:val="none"/>
          <w:lang w:val="en-US" w:eastAsia="zh-CN" w:bidi="ar-SA"/>
        </w:rPr>
        <w:t>7</w:t>
      </w:r>
      <w:r>
        <w:rPr>
          <w:rFonts w:hint="eastAsia" w:ascii="宋体" w:hAnsi="宋体" w:cs="宋体"/>
          <w:color w:val="auto"/>
          <w:sz w:val="24"/>
          <w:szCs w:val="22"/>
          <w:highlight w:val="none"/>
        </w:rPr>
        <w:t>法律、法规规定需要重新招标的情形。</w:t>
      </w:r>
    </w:p>
    <w:p>
      <w:pPr>
        <w:pStyle w:val="6"/>
        <w:numPr>
          <w:ilvl w:val="0"/>
          <w:numId w:val="0"/>
        </w:numPr>
        <w:tabs>
          <w:tab w:val="clear" w:pos="510"/>
        </w:tabs>
        <w:spacing w:line="360" w:lineRule="auto"/>
        <w:ind w:left="0" w:leftChars="0" w:firstLine="510" w:firstLineChars="0"/>
        <w:rPr>
          <w:color w:val="auto"/>
          <w:highlight w:val="none"/>
        </w:rPr>
      </w:pPr>
      <w:bookmarkStart w:id="460" w:name="_Toc300038960"/>
      <w:bookmarkStart w:id="461" w:name="_Toc142138248"/>
      <w:r>
        <w:rPr>
          <w:rFonts w:hint="eastAsia" w:cs="Times New Roman"/>
          <w:b/>
          <w:bCs/>
          <w:color w:val="auto"/>
          <w:sz w:val="28"/>
          <w:szCs w:val="28"/>
          <w:highlight w:val="none"/>
          <w:lang w:val="en-US" w:eastAsia="zh-CN" w:bidi="ar-SA"/>
        </w:rPr>
        <w:t>24</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补偿</w:t>
      </w:r>
      <w:bookmarkEnd w:id="460"/>
    </w:p>
    <w:p>
      <w:pPr>
        <w:pStyle w:val="8"/>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不补偿。</w:t>
      </w:r>
    </w:p>
    <w:bookmarkEnd w:id="461"/>
    <w:p>
      <w:pPr>
        <w:pStyle w:val="6"/>
        <w:numPr>
          <w:ilvl w:val="0"/>
          <w:numId w:val="0"/>
        </w:numPr>
        <w:tabs>
          <w:tab w:val="clear" w:pos="510"/>
        </w:tabs>
        <w:spacing w:line="360" w:lineRule="auto"/>
        <w:ind w:left="0" w:leftChars="0" w:firstLine="510" w:firstLineChars="0"/>
        <w:rPr>
          <w:color w:val="auto"/>
          <w:highlight w:val="none"/>
        </w:rPr>
      </w:pPr>
      <w:bookmarkStart w:id="462" w:name="_Toc300038962"/>
      <w:r>
        <w:rPr>
          <w:rFonts w:hint="eastAsia" w:ascii="Times New Roman" w:hAnsi="Times New Roman" w:eastAsia="宋体" w:cs="Times New Roman"/>
          <w:b/>
          <w:bCs/>
          <w:color w:val="auto"/>
          <w:sz w:val="28"/>
          <w:szCs w:val="28"/>
          <w:highlight w:val="none"/>
          <w:lang w:val="en-US" w:eastAsia="zh-CN" w:bidi="ar-SA"/>
        </w:rPr>
        <w:t>2</w:t>
      </w:r>
      <w:r>
        <w:rPr>
          <w:rFonts w:hint="eastAsia" w:cs="Times New Roman"/>
          <w:b/>
          <w:bCs/>
          <w:color w:val="auto"/>
          <w:sz w:val="28"/>
          <w:szCs w:val="28"/>
          <w:highlight w:val="none"/>
          <w:lang w:val="en-US" w:eastAsia="zh-CN" w:bidi="ar-SA"/>
        </w:rPr>
        <w:t>5</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纪律和监督</w:t>
      </w:r>
    </w:p>
    <w:p>
      <w:pPr>
        <w:pStyle w:val="8"/>
        <w:numPr>
          <w:ilvl w:val="1"/>
          <w:numId w:val="0"/>
        </w:numPr>
        <w:tabs>
          <w:tab w:val="left" w:pos="1000"/>
        </w:tabs>
        <w:spacing w:line="360" w:lineRule="auto"/>
        <w:ind w:left="0" w:leftChars="0" w:firstLine="510" w:firstLineChars="0"/>
        <w:rPr>
          <w:rFonts w:ascii="宋体"/>
          <w:color w:val="auto"/>
          <w:sz w:val="24"/>
          <w:szCs w:val="24"/>
          <w:highlight w:val="none"/>
        </w:rPr>
      </w:pPr>
      <w:r>
        <w:rPr>
          <w:rFonts w:hint="eastAsia" w:ascii="宋体" w:hAnsi="Times New Roman" w:eastAsia="宋体" w:cs="Times New Roman"/>
          <w:b w:val="0"/>
          <w:color w:val="auto"/>
          <w:kern w:val="2"/>
          <w:sz w:val="24"/>
          <w:szCs w:val="24"/>
          <w:highlight w:val="none"/>
          <w:lang w:val="en-US" w:eastAsia="zh-CN" w:bidi="ar-SA"/>
        </w:rPr>
        <w:t>2</w:t>
      </w:r>
      <w:r>
        <w:rPr>
          <w:rFonts w:hint="eastAsia" w:ascii="宋体" w:cs="Times New Roman"/>
          <w:b w:val="0"/>
          <w:color w:val="auto"/>
          <w:kern w:val="2"/>
          <w:sz w:val="24"/>
          <w:szCs w:val="24"/>
          <w:highlight w:val="none"/>
          <w:lang w:val="en-US" w:eastAsia="zh-CN" w:bidi="ar-SA"/>
        </w:rPr>
        <w:t>5</w:t>
      </w:r>
      <w:r>
        <w:rPr>
          <w:rFonts w:hint="eastAsia" w:ascii="宋体" w:hAnsi="Times New Roman" w:eastAsia="宋体" w:cs="Times New Roman"/>
          <w:b w:val="0"/>
          <w:color w:val="auto"/>
          <w:kern w:val="2"/>
          <w:sz w:val="24"/>
          <w:szCs w:val="24"/>
          <w:highlight w:val="none"/>
          <w:lang w:val="en-US" w:eastAsia="zh-CN" w:bidi="ar-SA"/>
        </w:rPr>
        <w:t>.1</w:t>
      </w:r>
      <w:r>
        <w:rPr>
          <w:rFonts w:hint="eastAsia" w:ascii="宋体"/>
          <w:color w:val="auto"/>
          <w:sz w:val="24"/>
          <w:szCs w:val="24"/>
          <w:highlight w:val="none"/>
        </w:rPr>
        <w:t>对</w:t>
      </w:r>
      <w:r>
        <w:rPr>
          <w:rFonts w:hint="eastAsia" w:ascii="宋体" w:hAnsi="宋体" w:cs="Arial"/>
          <w:bCs/>
          <w:color w:val="auto"/>
          <w:kern w:val="0"/>
          <w:sz w:val="24"/>
          <w:highlight w:val="none"/>
        </w:rPr>
        <w:t>招标人</w:t>
      </w:r>
      <w:r>
        <w:rPr>
          <w:rFonts w:hint="eastAsia" w:ascii="宋体"/>
          <w:color w:val="auto"/>
          <w:sz w:val="24"/>
          <w:szCs w:val="24"/>
          <w:highlight w:val="none"/>
        </w:rPr>
        <w:t>的纪律要求</w:t>
      </w:r>
    </w:p>
    <w:p>
      <w:pPr>
        <w:pStyle w:val="8"/>
        <w:tabs>
          <w:tab w:val="left" w:pos="567"/>
          <w:tab w:val="left" w:pos="1000"/>
        </w:tabs>
        <w:spacing w:line="360" w:lineRule="auto"/>
        <w:ind w:firstLine="480" w:firstLineChars="200"/>
        <w:rPr>
          <w:rFonts w:ascii="宋体"/>
          <w:color w:val="auto"/>
          <w:sz w:val="24"/>
          <w:szCs w:val="24"/>
          <w:highlight w:val="none"/>
        </w:rPr>
      </w:pPr>
      <w:r>
        <w:rPr>
          <w:rFonts w:hint="eastAsia" w:ascii="宋体" w:hAnsi="宋体" w:cs="Arial"/>
          <w:bCs/>
          <w:color w:val="auto"/>
          <w:kern w:val="0"/>
          <w:sz w:val="24"/>
          <w:highlight w:val="none"/>
        </w:rPr>
        <w:t>招标人</w:t>
      </w:r>
      <w:r>
        <w:rPr>
          <w:rFonts w:hint="eastAsia" w:ascii="宋体"/>
          <w:color w:val="auto"/>
          <w:sz w:val="24"/>
          <w:szCs w:val="24"/>
          <w:highlight w:val="none"/>
        </w:rPr>
        <w:t>不得泄露招标投标活动中应当保密的情况和资料，不得与投标人串通损害国家利益、社会公共利益或者他人合法权益。</w:t>
      </w:r>
    </w:p>
    <w:p>
      <w:pPr>
        <w:pStyle w:val="8"/>
        <w:numPr>
          <w:ilvl w:val="1"/>
          <w:numId w:val="0"/>
        </w:numPr>
        <w:tabs>
          <w:tab w:val="left" w:pos="1000"/>
        </w:tabs>
        <w:spacing w:line="360" w:lineRule="auto"/>
        <w:ind w:left="0" w:leftChars="0" w:firstLine="510" w:firstLineChars="0"/>
        <w:rPr>
          <w:rFonts w:ascii="宋体"/>
          <w:color w:val="auto"/>
          <w:sz w:val="24"/>
          <w:szCs w:val="24"/>
          <w:highlight w:val="none"/>
        </w:rPr>
      </w:pPr>
      <w:r>
        <w:rPr>
          <w:rFonts w:hint="eastAsia" w:ascii="宋体" w:hAnsi="Times New Roman" w:eastAsia="宋体" w:cs="Times New Roman"/>
          <w:b w:val="0"/>
          <w:color w:val="auto"/>
          <w:kern w:val="2"/>
          <w:sz w:val="24"/>
          <w:szCs w:val="24"/>
          <w:highlight w:val="none"/>
          <w:lang w:val="en-US" w:eastAsia="zh-CN" w:bidi="ar-SA"/>
        </w:rPr>
        <w:t>2</w:t>
      </w:r>
      <w:r>
        <w:rPr>
          <w:rFonts w:hint="eastAsia" w:ascii="宋体" w:cs="Times New Roman"/>
          <w:b w:val="0"/>
          <w:color w:val="auto"/>
          <w:kern w:val="2"/>
          <w:sz w:val="24"/>
          <w:szCs w:val="24"/>
          <w:highlight w:val="none"/>
          <w:lang w:val="en-US" w:eastAsia="zh-CN" w:bidi="ar-SA"/>
        </w:rPr>
        <w:t>5</w:t>
      </w:r>
      <w:r>
        <w:rPr>
          <w:rFonts w:hint="eastAsia" w:ascii="宋体" w:hAnsi="Times New Roman" w:eastAsia="宋体" w:cs="Times New Roman"/>
          <w:b w:val="0"/>
          <w:color w:val="auto"/>
          <w:kern w:val="2"/>
          <w:sz w:val="24"/>
          <w:szCs w:val="24"/>
          <w:highlight w:val="none"/>
          <w:lang w:val="en-US" w:eastAsia="zh-CN" w:bidi="ar-SA"/>
        </w:rPr>
        <w:t>.2</w:t>
      </w:r>
      <w:r>
        <w:rPr>
          <w:rFonts w:hint="eastAsia" w:ascii="宋体"/>
          <w:color w:val="auto"/>
          <w:sz w:val="24"/>
          <w:szCs w:val="24"/>
          <w:highlight w:val="none"/>
        </w:rPr>
        <w:t>对投标人的纪律要求</w:t>
      </w:r>
    </w:p>
    <w:p>
      <w:pPr>
        <w:pStyle w:val="8"/>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投标人不得相互串通投标或者与</w:t>
      </w:r>
      <w:r>
        <w:rPr>
          <w:rFonts w:hint="eastAsia" w:ascii="宋体" w:hAnsi="宋体" w:cs="Arial"/>
          <w:bCs/>
          <w:color w:val="auto"/>
          <w:kern w:val="0"/>
          <w:sz w:val="24"/>
          <w:highlight w:val="none"/>
        </w:rPr>
        <w:t>招标人</w:t>
      </w:r>
      <w:r>
        <w:rPr>
          <w:rFonts w:hint="eastAsia" w:ascii="宋体"/>
          <w:color w:val="auto"/>
          <w:sz w:val="24"/>
          <w:szCs w:val="24"/>
          <w:highlight w:val="none"/>
        </w:rPr>
        <w:t>串通投标，不得向</w:t>
      </w:r>
      <w:r>
        <w:rPr>
          <w:rFonts w:hint="eastAsia" w:ascii="宋体" w:hAnsi="宋体" w:cs="Arial"/>
          <w:bCs/>
          <w:color w:val="auto"/>
          <w:kern w:val="0"/>
          <w:sz w:val="24"/>
          <w:highlight w:val="none"/>
        </w:rPr>
        <w:t>招标人</w:t>
      </w:r>
      <w:r>
        <w:rPr>
          <w:rFonts w:hint="eastAsia" w:ascii="宋体"/>
          <w:color w:val="auto"/>
          <w:sz w:val="24"/>
          <w:szCs w:val="24"/>
          <w:highlight w:val="none"/>
        </w:rPr>
        <w:t>或者评标委员会成员行贿谋取中标，不得以他人名义投标或者以其他方式弄虚作假骗取中标；投标人不得以任何方式干扰、影响评标工作。</w:t>
      </w:r>
    </w:p>
    <w:p>
      <w:pPr>
        <w:pStyle w:val="8"/>
        <w:numPr>
          <w:ilvl w:val="1"/>
          <w:numId w:val="0"/>
        </w:numPr>
        <w:tabs>
          <w:tab w:val="left" w:pos="1000"/>
        </w:tabs>
        <w:spacing w:line="360" w:lineRule="auto"/>
        <w:ind w:left="0" w:leftChars="0" w:firstLine="510" w:firstLineChars="0"/>
        <w:rPr>
          <w:rFonts w:ascii="宋体"/>
          <w:color w:val="auto"/>
          <w:sz w:val="24"/>
          <w:szCs w:val="24"/>
          <w:highlight w:val="none"/>
        </w:rPr>
      </w:pPr>
      <w:r>
        <w:rPr>
          <w:rFonts w:hint="eastAsia" w:ascii="宋体" w:cs="Times New Roman"/>
          <w:b w:val="0"/>
          <w:color w:val="auto"/>
          <w:kern w:val="2"/>
          <w:sz w:val="24"/>
          <w:szCs w:val="24"/>
          <w:highlight w:val="none"/>
          <w:lang w:val="en-US" w:eastAsia="zh-CN" w:bidi="ar-SA"/>
        </w:rPr>
        <w:t>25</w:t>
      </w:r>
      <w:r>
        <w:rPr>
          <w:rFonts w:hint="eastAsia" w:ascii="宋体" w:hAnsi="Times New Roman" w:eastAsia="宋体" w:cs="Times New Roman"/>
          <w:b w:val="0"/>
          <w:color w:val="auto"/>
          <w:kern w:val="2"/>
          <w:sz w:val="24"/>
          <w:szCs w:val="24"/>
          <w:highlight w:val="none"/>
          <w:lang w:val="en-US" w:eastAsia="zh-CN" w:bidi="ar-SA"/>
        </w:rPr>
        <w:t>.3</w:t>
      </w:r>
      <w:r>
        <w:rPr>
          <w:rFonts w:hint="eastAsia" w:ascii="宋体"/>
          <w:color w:val="auto"/>
          <w:sz w:val="24"/>
          <w:szCs w:val="24"/>
          <w:highlight w:val="none"/>
        </w:rPr>
        <w:t>对评标委员会成员的纪律要求</w:t>
      </w:r>
    </w:p>
    <w:p>
      <w:pPr>
        <w:pStyle w:val="8"/>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评标委员会成员不得收受他人的财物或者其他好处，不得向他人透漏对投标文件的评审和比较、</w:t>
      </w:r>
      <w:r>
        <w:rPr>
          <w:rFonts w:hint="eastAsia" w:ascii="宋体" w:hAnsi="宋体" w:cs="宋体"/>
          <w:color w:val="auto"/>
          <w:sz w:val="24"/>
          <w:szCs w:val="24"/>
          <w:highlight w:val="none"/>
        </w:rPr>
        <w:t>中标候选人</w:t>
      </w:r>
      <w:r>
        <w:rPr>
          <w:rFonts w:hint="eastAsia" w:ascii="宋体"/>
          <w:color w:val="auto"/>
          <w:sz w:val="24"/>
          <w:szCs w:val="24"/>
          <w:highlight w:val="none"/>
        </w:rPr>
        <w:t>的推荐情况以及评标有关的其他情况。在评标活动中，评标委员会成员不得擅离职守，影响评标程序正常进行。</w:t>
      </w:r>
    </w:p>
    <w:p>
      <w:pPr>
        <w:pStyle w:val="8"/>
        <w:numPr>
          <w:ilvl w:val="1"/>
          <w:numId w:val="0"/>
        </w:numPr>
        <w:tabs>
          <w:tab w:val="left" w:pos="1000"/>
        </w:tabs>
        <w:spacing w:line="360" w:lineRule="auto"/>
        <w:ind w:left="0" w:leftChars="0" w:firstLine="510" w:firstLineChars="0"/>
        <w:rPr>
          <w:rFonts w:ascii="宋体"/>
          <w:color w:val="auto"/>
          <w:sz w:val="24"/>
          <w:szCs w:val="24"/>
          <w:highlight w:val="none"/>
        </w:rPr>
      </w:pPr>
      <w:r>
        <w:rPr>
          <w:rFonts w:hint="eastAsia" w:ascii="宋体" w:hAnsi="Times New Roman" w:eastAsia="宋体" w:cs="Times New Roman"/>
          <w:b w:val="0"/>
          <w:color w:val="auto"/>
          <w:kern w:val="2"/>
          <w:sz w:val="24"/>
          <w:szCs w:val="24"/>
          <w:highlight w:val="none"/>
          <w:lang w:val="en-US" w:eastAsia="zh-CN" w:bidi="ar-SA"/>
        </w:rPr>
        <w:t>2</w:t>
      </w:r>
      <w:r>
        <w:rPr>
          <w:rFonts w:hint="eastAsia" w:ascii="宋体" w:cs="Times New Roman"/>
          <w:b w:val="0"/>
          <w:color w:val="auto"/>
          <w:kern w:val="2"/>
          <w:sz w:val="24"/>
          <w:szCs w:val="24"/>
          <w:highlight w:val="none"/>
          <w:lang w:val="en-US" w:eastAsia="zh-CN" w:bidi="ar-SA"/>
        </w:rPr>
        <w:t>5</w:t>
      </w:r>
      <w:r>
        <w:rPr>
          <w:rFonts w:hint="eastAsia" w:ascii="宋体" w:hAnsi="Times New Roman" w:eastAsia="宋体" w:cs="Times New Roman"/>
          <w:b w:val="0"/>
          <w:color w:val="auto"/>
          <w:kern w:val="2"/>
          <w:sz w:val="24"/>
          <w:szCs w:val="24"/>
          <w:highlight w:val="none"/>
          <w:lang w:val="en-US" w:eastAsia="zh-CN" w:bidi="ar-SA"/>
        </w:rPr>
        <w:t>.4</w:t>
      </w:r>
      <w:r>
        <w:rPr>
          <w:rFonts w:hint="eastAsia" w:ascii="宋体"/>
          <w:color w:val="auto"/>
          <w:sz w:val="24"/>
          <w:szCs w:val="24"/>
          <w:highlight w:val="none"/>
        </w:rPr>
        <w:t>对工作人员的纪律要求</w:t>
      </w:r>
    </w:p>
    <w:p>
      <w:pPr>
        <w:pStyle w:val="8"/>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工作人员不得收受他人的财物或者其他好处，不得向他人透漏对投标文件的评审和比较、</w:t>
      </w:r>
      <w:r>
        <w:rPr>
          <w:rFonts w:hint="eastAsia" w:ascii="宋体" w:hAnsi="宋体" w:cs="宋体"/>
          <w:color w:val="auto"/>
          <w:sz w:val="24"/>
          <w:szCs w:val="24"/>
          <w:highlight w:val="none"/>
        </w:rPr>
        <w:t>中标候选人</w:t>
      </w:r>
      <w:r>
        <w:rPr>
          <w:rFonts w:hint="eastAsia" w:ascii="宋体"/>
          <w:color w:val="auto"/>
          <w:sz w:val="24"/>
          <w:szCs w:val="24"/>
          <w:highlight w:val="none"/>
        </w:rPr>
        <w:t>的推荐情况以及评标有关的其他情况。工作人员不得擅离职守，影响评标程序正常进行。</w:t>
      </w:r>
    </w:p>
    <w:p>
      <w:pPr>
        <w:pStyle w:val="8"/>
        <w:numPr>
          <w:ilvl w:val="1"/>
          <w:numId w:val="0"/>
        </w:numPr>
        <w:tabs>
          <w:tab w:val="left" w:pos="1000"/>
        </w:tabs>
        <w:spacing w:line="360" w:lineRule="auto"/>
        <w:ind w:left="0" w:leftChars="0" w:firstLine="510" w:firstLineChars="0"/>
        <w:rPr>
          <w:rFonts w:ascii="宋体"/>
          <w:color w:val="auto"/>
          <w:sz w:val="24"/>
          <w:szCs w:val="24"/>
          <w:highlight w:val="none"/>
        </w:rPr>
      </w:pPr>
      <w:r>
        <w:rPr>
          <w:rFonts w:hint="eastAsia" w:ascii="宋体" w:cs="Times New Roman"/>
          <w:b w:val="0"/>
          <w:color w:val="auto"/>
          <w:kern w:val="2"/>
          <w:sz w:val="24"/>
          <w:szCs w:val="24"/>
          <w:highlight w:val="none"/>
          <w:lang w:val="en-US" w:eastAsia="zh-CN" w:bidi="ar-SA"/>
        </w:rPr>
        <w:t>25</w:t>
      </w:r>
      <w:r>
        <w:rPr>
          <w:rFonts w:hint="eastAsia" w:ascii="宋体" w:hAnsi="Times New Roman" w:eastAsia="宋体" w:cs="Times New Roman"/>
          <w:b w:val="0"/>
          <w:color w:val="auto"/>
          <w:kern w:val="2"/>
          <w:sz w:val="24"/>
          <w:szCs w:val="24"/>
          <w:highlight w:val="none"/>
          <w:lang w:val="en-US" w:eastAsia="zh-CN" w:bidi="ar-SA"/>
        </w:rPr>
        <w:t>.5</w:t>
      </w:r>
      <w:r>
        <w:rPr>
          <w:rFonts w:hint="eastAsia" w:ascii="宋体"/>
          <w:color w:val="auto"/>
          <w:sz w:val="24"/>
          <w:szCs w:val="24"/>
          <w:highlight w:val="none"/>
        </w:rPr>
        <w:t>投诉</w:t>
      </w:r>
    </w:p>
    <w:p>
      <w:pPr>
        <w:pStyle w:val="8"/>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投标人和其他利害关系人认为本次招标活动违反法律、法规和规章规定的，有权向有关行政监督部门投诉。</w:t>
      </w:r>
    </w:p>
    <w:p>
      <w:pPr>
        <w:pStyle w:val="6"/>
        <w:numPr>
          <w:ilvl w:val="0"/>
          <w:numId w:val="0"/>
        </w:numPr>
        <w:tabs>
          <w:tab w:val="clear" w:pos="510"/>
        </w:tabs>
        <w:spacing w:line="360" w:lineRule="auto"/>
        <w:ind w:left="0" w:leftChars="0" w:firstLine="510" w:firstLineChars="0"/>
        <w:rPr>
          <w:color w:val="auto"/>
          <w:highlight w:val="none"/>
        </w:rPr>
      </w:pPr>
      <w:r>
        <w:rPr>
          <w:rFonts w:hint="eastAsia" w:ascii="Times New Roman" w:hAnsi="Times New Roman" w:eastAsia="宋体" w:cs="Times New Roman"/>
          <w:b/>
          <w:bCs/>
          <w:color w:val="auto"/>
          <w:sz w:val="28"/>
          <w:szCs w:val="28"/>
          <w:highlight w:val="none"/>
          <w:lang w:val="en-US" w:eastAsia="zh-CN" w:bidi="ar-SA"/>
        </w:rPr>
        <w:t>2</w:t>
      </w:r>
      <w:r>
        <w:rPr>
          <w:rFonts w:hint="eastAsia" w:cs="Times New Roman"/>
          <w:b/>
          <w:bCs/>
          <w:color w:val="auto"/>
          <w:sz w:val="28"/>
          <w:szCs w:val="28"/>
          <w:highlight w:val="none"/>
          <w:lang w:val="en-US" w:eastAsia="zh-CN" w:bidi="ar-SA"/>
        </w:rPr>
        <w:t>6</w:t>
      </w:r>
      <w:r>
        <w:rPr>
          <w:rFonts w:hint="eastAsia" w:ascii="Times New Roman" w:hAnsi="Times New Roman" w:eastAsia="宋体" w:cs="Times New Roman"/>
          <w:b/>
          <w:bCs/>
          <w:color w:val="auto"/>
          <w:sz w:val="28"/>
          <w:szCs w:val="28"/>
          <w:highlight w:val="none"/>
          <w:lang w:val="en-US" w:eastAsia="zh-CN" w:bidi="ar-SA"/>
        </w:rPr>
        <w:t>.</w:t>
      </w:r>
      <w:r>
        <w:rPr>
          <w:rFonts w:hint="eastAsia"/>
          <w:color w:val="auto"/>
          <w:highlight w:val="none"/>
        </w:rPr>
        <w:t>其他</w:t>
      </w:r>
      <w:bookmarkEnd w:id="462"/>
      <w:r>
        <w:rPr>
          <w:rFonts w:hint="eastAsia"/>
          <w:color w:val="auto"/>
          <w:highlight w:val="none"/>
        </w:rPr>
        <w:t>内容</w:t>
      </w:r>
    </w:p>
    <w:p>
      <w:pPr>
        <w:pStyle w:val="8"/>
        <w:tabs>
          <w:tab w:val="left" w:pos="567"/>
          <w:tab w:val="left" w:pos="1000"/>
        </w:tabs>
        <w:spacing w:line="360" w:lineRule="auto"/>
        <w:ind w:left="510" w:firstLine="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lang w:val="en-US" w:eastAsia="zh-CN"/>
        </w:rPr>
        <w:t>6</w:t>
      </w:r>
      <w:r>
        <w:rPr>
          <w:rFonts w:ascii="宋体" w:hAnsi="宋体"/>
          <w:color w:val="auto"/>
          <w:sz w:val="24"/>
          <w:szCs w:val="24"/>
          <w:highlight w:val="none"/>
        </w:rPr>
        <w:t>.1详见投标人须知前附表</w:t>
      </w:r>
      <w:r>
        <w:rPr>
          <w:rFonts w:hint="eastAsia" w:ascii="宋体" w:hAnsi="宋体"/>
          <w:color w:val="auto"/>
          <w:sz w:val="24"/>
          <w:szCs w:val="24"/>
          <w:highlight w:val="none"/>
        </w:rPr>
        <w:t>（一）第</w:t>
      </w:r>
      <w:r>
        <w:rPr>
          <w:rFonts w:ascii="宋体" w:hAnsi="宋体"/>
          <w:color w:val="auto"/>
          <w:sz w:val="24"/>
          <w:szCs w:val="24"/>
          <w:highlight w:val="none"/>
        </w:rPr>
        <w:t>24</w:t>
      </w:r>
      <w:r>
        <w:rPr>
          <w:rFonts w:hint="eastAsia" w:ascii="宋体" w:hAnsi="宋体"/>
          <w:color w:val="auto"/>
          <w:sz w:val="24"/>
          <w:szCs w:val="24"/>
          <w:highlight w:val="none"/>
        </w:rPr>
        <w:t>项。</w:t>
      </w:r>
    </w:p>
    <w:p>
      <w:pPr>
        <w:pStyle w:val="8"/>
        <w:tabs>
          <w:tab w:val="left" w:pos="567"/>
          <w:tab w:val="left" w:pos="1000"/>
        </w:tabs>
        <w:spacing w:line="360" w:lineRule="auto"/>
        <w:ind w:left="510" w:firstLine="0"/>
        <w:rPr>
          <w:rFonts w:ascii="宋体" w:hAnsi="宋体"/>
          <w:color w:val="auto"/>
          <w:sz w:val="24"/>
          <w:szCs w:val="24"/>
          <w:highlight w:val="none"/>
        </w:rPr>
        <w:sectPr>
          <w:headerReference r:id="rId9" w:type="default"/>
          <w:footerReference r:id="rId10" w:type="default"/>
          <w:pgSz w:w="11906" w:h="16838"/>
          <w:pgMar w:top="1418" w:right="1418" w:bottom="1418" w:left="1418" w:header="851" w:footer="907" w:gutter="0"/>
          <w:pgNumType w:fmt="decimal"/>
          <w:cols w:space="720" w:num="1"/>
          <w:docGrid w:linePitch="312" w:charSpace="0"/>
        </w:sectPr>
      </w:pPr>
      <w:r>
        <w:rPr>
          <w:rFonts w:ascii="宋体" w:hAnsi="宋体"/>
          <w:color w:val="auto"/>
          <w:sz w:val="24"/>
          <w:szCs w:val="24"/>
          <w:highlight w:val="none"/>
        </w:rPr>
        <w:t>2</w:t>
      </w:r>
      <w:r>
        <w:rPr>
          <w:rFonts w:hint="eastAsia" w:ascii="宋体" w:hAnsi="宋体"/>
          <w:color w:val="auto"/>
          <w:sz w:val="24"/>
          <w:szCs w:val="24"/>
          <w:highlight w:val="none"/>
          <w:lang w:val="en-US" w:eastAsia="zh-CN"/>
        </w:rPr>
        <w:t>6</w:t>
      </w:r>
      <w:r>
        <w:rPr>
          <w:rFonts w:ascii="宋体" w:hAnsi="宋体"/>
          <w:color w:val="auto"/>
          <w:sz w:val="24"/>
          <w:szCs w:val="24"/>
          <w:highlight w:val="none"/>
        </w:rPr>
        <w:t>.2</w:t>
      </w:r>
      <w:r>
        <w:rPr>
          <w:rFonts w:hint="eastAsia" w:ascii="宋体" w:hAnsi="宋体"/>
          <w:color w:val="auto"/>
          <w:sz w:val="24"/>
          <w:szCs w:val="24"/>
          <w:highlight w:val="none"/>
        </w:rPr>
        <w:t>本招标文件解释权归招标人所有。</w:t>
      </w:r>
    </w:p>
    <w:p>
      <w:pPr>
        <w:pStyle w:val="19"/>
        <w:rPr>
          <w:color w:val="auto"/>
          <w:highlight w:val="none"/>
        </w:rPr>
      </w:pPr>
    </w:p>
    <w:p>
      <w:pPr>
        <w:pStyle w:val="2"/>
        <w:numPr>
          <w:ilvl w:val="0"/>
          <w:numId w:val="0"/>
        </w:numPr>
        <w:spacing w:before="0" w:after="0" w:line="360" w:lineRule="auto"/>
        <w:jc w:val="center"/>
        <w:rPr>
          <w:color w:val="auto"/>
          <w:sz w:val="30"/>
          <w:szCs w:val="30"/>
          <w:highlight w:val="none"/>
        </w:rPr>
      </w:pPr>
      <w:bookmarkStart w:id="463" w:name="_Toc10620"/>
      <w:bookmarkStart w:id="464" w:name="_Toc7151"/>
      <w:bookmarkStart w:id="465" w:name="_Toc25266"/>
      <w:bookmarkStart w:id="466" w:name="_Toc26528"/>
      <w:bookmarkStart w:id="467" w:name="_Toc6845"/>
      <w:bookmarkStart w:id="468" w:name="_Toc18644"/>
      <w:bookmarkStart w:id="469" w:name="_Toc10172"/>
      <w:bookmarkStart w:id="470" w:name="_Toc23379"/>
      <w:bookmarkStart w:id="471" w:name="_Toc300038964"/>
      <w:bookmarkStart w:id="472" w:name="_Toc24646"/>
      <w:bookmarkStart w:id="473" w:name="_Toc28531"/>
      <w:bookmarkStart w:id="474" w:name="_Toc6240"/>
      <w:bookmarkStart w:id="475" w:name="_Toc26772"/>
      <w:bookmarkStart w:id="476" w:name="_Toc28784"/>
      <w:bookmarkStart w:id="477" w:name="_Toc3410"/>
      <w:bookmarkStart w:id="478" w:name="_Toc17783"/>
      <w:bookmarkStart w:id="479" w:name="_Toc16448"/>
      <w:bookmarkStart w:id="480" w:name="_Toc16889"/>
      <w:bookmarkStart w:id="481" w:name="_Toc21856"/>
      <w:bookmarkStart w:id="482" w:name="_Toc32111"/>
      <w:bookmarkStart w:id="483" w:name="_Toc13163"/>
      <w:bookmarkStart w:id="484" w:name="_Toc30319"/>
      <w:bookmarkStart w:id="485" w:name="_Toc30494"/>
      <w:bookmarkStart w:id="486" w:name="_Toc17173"/>
      <w:bookmarkStart w:id="487" w:name="_Toc19183"/>
      <w:bookmarkStart w:id="488" w:name="_Toc11007"/>
      <w:bookmarkStart w:id="489" w:name="_Toc13162"/>
      <w:bookmarkStart w:id="490" w:name="_Toc573"/>
      <w:r>
        <w:rPr>
          <w:rFonts w:hint="eastAsia"/>
          <w:color w:val="auto"/>
          <w:highlight w:val="none"/>
        </w:rPr>
        <w:t>第三章评标办法和标准</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Start w:id="491" w:name="_Toc300038973"/>
    </w:p>
    <w:bookmarkEnd w:id="491"/>
    <w:p>
      <w:pPr>
        <w:adjustRightInd/>
        <w:spacing w:line="360" w:lineRule="auto"/>
        <w:ind w:left="510"/>
        <w:textAlignment w:val="auto"/>
        <w:outlineLvl w:val="1"/>
        <w:rPr>
          <w:rFonts w:ascii="Arial" w:hAnsi="Arial" w:eastAsia="黑体"/>
          <w:b/>
          <w:bCs/>
          <w:color w:val="auto"/>
          <w:sz w:val="32"/>
          <w:szCs w:val="32"/>
          <w:highlight w:val="none"/>
        </w:rPr>
      </w:pPr>
      <w:bookmarkStart w:id="492" w:name="_Toc21803"/>
      <w:bookmarkStart w:id="493" w:name="_Toc24648"/>
      <w:bookmarkStart w:id="494" w:name="_Toc28287"/>
      <w:bookmarkStart w:id="495" w:name="_Toc12166"/>
      <w:bookmarkStart w:id="496" w:name="_Toc23450"/>
      <w:bookmarkStart w:id="497" w:name="_Toc11512"/>
      <w:bookmarkStart w:id="498" w:name="_Toc2424"/>
      <w:bookmarkStart w:id="499" w:name="_Toc6401"/>
      <w:bookmarkStart w:id="500" w:name="_Toc13942"/>
      <w:bookmarkStart w:id="501" w:name="_Toc4752"/>
      <w:bookmarkStart w:id="502" w:name="_Toc19444"/>
      <w:bookmarkStart w:id="503" w:name="_Toc3002"/>
      <w:bookmarkStart w:id="504" w:name="_Toc15989"/>
      <w:bookmarkStart w:id="505" w:name="_Toc25984"/>
      <w:bookmarkStart w:id="506" w:name="_Toc30194"/>
      <w:bookmarkStart w:id="507" w:name="_Toc22997"/>
      <w:bookmarkStart w:id="508" w:name="_Toc6294"/>
      <w:bookmarkStart w:id="509" w:name="_Toc15723"/>
      <w:bookmarkStart w:id="510" w:name="_Toc15026"/>
      <w:bookmarkStart w:id="511" w:name="_Toc29188"/>
      <w:bookmarkStart w:id="512" w:name="_Toc32542"/>
      <w:bookmarkStart w:id="513" w:name="_Toc17504"/>
      <w:bookmarkStart w:id="514" w:name="_Toc28008"/>
      <w:bookmarkStart w:id="515" w:name="_Toc17348"/>
      <w:bookmarkStart w:id="516" w:name="_Toc4031"/>
      <w:bookmarkStart w:id="517" w:name="_Toc13227"/>
      <w:bookmarkStart w:id="518" w:name="_Toc7093"/>
      <w:r>
        <w:rPr>
          <w:rFonts w:hint="eastAsia" w:ascii="Arial" w:hAnsi="Arial" w:eastAsia="黑体"/>
          <w:b/>
          <w:bCs/>
          <w:color w:val="auto"/>
          <w:sz w:val="32"/>
          <w:szCs w:val="32"/>
          <w:highlight w:val="none"/>
        </w:rPr>
        <w:t>一、评标办法</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pPr>
        <w:adjustRightInd/>
        <w:spacing w:line="420" w:lineRule="exact"/>
        <w:ind w:left="510"/>
        <w:textAlignment w:val="auto"/>
        <w:outlineLvl w:val="2"/>
        <w:rPr>
          <w:rFonts w:hint="eastAsia"/>
          <w:b/>
          <w:color w:val="auto"/>
          <w:sz w:val="28"/>
          <w:highlight w:val="none"/>
        </w:rPr>
      </w:pPr>
      <w:bookmarkStart w:id="519" w:name="_Toc24996"/>
      <w:bookmarkStart w:id="520" w:name="_Toc19368"/>
      <w:bookmarkStart w:id="521" w:name="_Toc25876"/>
      <w:bookmarkStart w:id="522" w:name="_Toc31954"/>
      <w:bookmarkStart w:id="523" w:name="_Toc22633"/>
      <w:bookmarkStart w:id="524" w:name="_Toc9731"/>
      <w:bookmarkStart w:id="525" w:name="_Toc8280"/>
      <w:bookmarkStart w:id="526" w:name="_Toc27555"/>
      <w:bookmarkStart w:id="527" w:name="_Toc17315"/>
      <w:bookmarkStart w:id="528" w:name="_Toc19751"/>
      <w:bookmarkStart w:id="529" w:name="_Toc31604"/>
      <w:bookmarkStart w:id="530" w:name="_Toc2667"/>
      <w:bookmarkStart w:id="531" w:name="_Toc25193"/>
      <w:bookmarkStart w:id="532" w:name="_Toc29202"/>
      <w:bookmarkStart w:id="533" w:name="_Toc2445"/>
      <w:bookmarkStart w:id="534" w:name="_Toc10754"/>
      <w:bookmarkStart w:id="535" w:name="_Toc422"/>
      <w:bookmarkStart w:id="536" w:name="_Toc28752"/>
      <w:bookmarkStart w:id="537" w:name="_Toc26005"/>
      <w:bookmarkStart w:id="538" w:name="_Toc31236"/>
      <w:bookmarkStart w:id="539" w:name="_Toc20203"/>
      <w:bookmarkStart w:id="540" w:name="_Toc6979"/>
      <w:bookmarkStart w:id="541" w:name="_Toc31831"/>
      <w:bookmarkStart w:id="542" w:name="_Toc24939"/>
      <w:bookmarkStart w:id="543" w:name="_Toc31308"/>
      <w:bookmarkStart w:id="544" w:name="_Toc17704"/>
      <w:bookmarkStart w:id="545" w:name="_Toc4560"/>
      <w:bookmarkStart w:id="546" w:name="_Toc17218"/>
      <w:bookmarkStart w:id="547" w:name="_Toc20007"/>
      <w:r>
        <w:rPr>
          <w:b/>
          <w:color w:val="auto"/>
          <w:sz w:val="28"/>
          <w:highlight w:val="none"/>
        </w:rPr>
        <w:t>1.</w:t>
      </w:r>
      <w:r>
        <w:rPr>
          <w:rFonts w:hint="eastAsia"/>
          <w:b/>
          <w:color w:val="auto"/>
          <w:sz w:val="28"/>
          <w:highlight w:val="none"/>
        </w:rPr>
        <w:t>评标方法</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pPr>
        <w:adjustRightInd/>
        <w:spacing w:line="420" w:lineRule="exact"/>
        <w:ind w:firstLine="480" w:firstLineChars="200"/>
        <w:textAlignment w:val="auto"/>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1.1本招标项</w:t>
      </w:r>
      <w:r>
        <w:rPr>
          <w:rFonts w:hint="eastAsia" w:ascii="宋体" w:hAnsi="宋体" w:eastAsia="宋体" w:cs="宋体"/>
          <w:color w:val="auto"/>
          <w:sz w:val="24"/>
          <w:highlight w:val="none"/>
          <w:lang w:val="en-US" w:eastAsia="zh-CN"/>
        </w:rPr>
        <w:t>目采用综合评估法（评定分离）。评标委员会对满足招标文件实质性要求的投标文件，按照本章“第</w:t>
      </w:r>
      <w:r>
        <w:rPr>
          <w:rFonts w:ascii="宋体" w:hAnsi="宋体" w:eastAsia="宋体" w:cs="宋体"/>
          <w:color w:val="auto"/>
          <w:sz w:val="24"/>
          <w:highlight w:val="none"/>
          <w:lang w:val="en-US" w:eastAsia="zh-CN"/>
        </w:rPr>
        <w:t xml:space="preserve">2节 </w:t>
      </w:r>
      <w:r>
        <w:rPr>
          <w:rFonts w:hint="eastAsia" w:ascii="宋体" w:hAnsi="宋体" w:eastAsia="宋体" w:cs="宋体"/>
          <w:color w:val="auto"/>
          <w:sz w:val="24"/>
          <w:highlight w:val="none"/>
          <w:lang w:val="en-US" w:eastAsia="zh-CN"/>
        </w:rPr>
        <w:t>评分标准（综合评估法）规定的评分标准进行打分，并按最终得分由高到低顺序推荐推荐前 3 名或前5名（按投标人须知前附表第15条的确定原则），排名不分先后。</w:t>
      </w:r>
    </w:p>
    <w:p>
      <w:pPr>
        <w:adjustRightInd/>
        <w:spacing w:line="420" w:lineRule="exact"/>
        <w:ind w:left="510"/>
        <w:textAlignment w:val="auto"/>
        <w:outlineLvl w:val="2"/>
        <w:rPr>
          <w:b/>
          <w:color w:val="auto"/>
          <w:sz w:val="28"/>
          <w:highlight w:val="none"/>
        </w:rPr>
      </w:pPr>
      <w:bookmarkStart w:id="548" w:name="_Toc25844"/>
      <w:bookmarkStart w:id="549" w:name="_Toc26168"/>
      <w:bookmarkStart w:id="550" w:name="_Toc11862"/>
      <w:bookmarkStart w:id="551" w:name="_Toc17735"/>
      <w:bookmarkStart w:id="552" w:name="_Toc12952"/>
      <w:bookmarkStart w:id="553" w:name="_Toc4926"/>
      <w:bookmarkStart w:id="554" w:name="_Toc3886"/>
      <w:bookmarkStart w:id="555" w:name="_Toc16635"/>
      <w:bookmarkStart w:id="556" w:name="_Toc16056"/>
      <w:bookmarkStart w:id="557" w:name="_Toc18354"/>
      <w:bookmarkStart w:id="558" w:name="_Toc10591"/>
      <w:bookmarkStart w:id="559" w:name="_Toc18729"/>
      <w:bookmarkStart w:id="560" w:name="_Toc1314"/>
      <w:bookmarkStart w:id="561" w:name="_Toc23140"/>
      <w:bookmarkStart w:id="562" w:name="_Toc31386"/>
      <w:bookmarkStart w:id="563" w:name="_Toc29174"/>
      <w:bookmarkStart w:id="564" w:name="_Toc29825"/>
      <w:bookmarkStart w:id="565" w:name="_Toc11239"/>
      <w:bookmarkStart w:id="566" w:name="_Toc17707"/>
      <w:bookmarkStart w:id="567" w:name="_Toc10767"/>
      <w:bookmarkStart w:id="568" w:name="_Toc10028"/>
      <w:bookmarkStart w:id="569" w:name="_Toc11091"/>
      <w:bookmarkStart w:id="570" w:name="_Toc20713"/>
      <w:bookmarkStart w:id="571" w:name="_Toc12668"/>
      <w:bookmarkStart w:id="572" w:name="_Toc13902"/>
      <w:bookmarkStart w:id="573" w:name="_Toc18588"/>
      <w:bookmarkStart w:id="574" w:name="_Toc29530"/>
      <w:bookmarkStart w:id="575" w:name="_Toc7061"/>
      <w:bookmarkStart w:id="576" w:name="_Toc22449"/>
      <w:r>
        <w:rPr>
          <w:b/>
          <w:color w:val="auto"/>
          <w:sz w:val="28"/>
          <w:highlight w:val="none"/>
        </w:rPr>
        <w:t>2.</w:t>
      </w:r>
      <w:r>
        <w:rPr>
          <w:rFonts w:hint="eastAsia"/>
          <w:b/>
          <w:color w:val="auto"/>
          <w:sz w:val="28"/>
          <w:highlight w:val="none"/>
        </w:rPr>
        <w:t>评标委员会</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pPr>
        <w:adjustRightInd/>
        <w:spacing w:line="420" w:lineRule="exact"/>
        <w:ind w:left="510"/>
        <w:textAlignment w:val="auto"/>
        <w:rPr>
          <w:b/>
          <w:color w:val="auto"/>
          <w:sz w:val="28"/>
          <w:highlight w:val="none"/>
        </w:rPr>
      </w:pPr>
      <w:r>
        <w:rPr>
          <w:rFonts w:ascii="宋体" w:hAnsi="宋体" w:cs="宋体"/>
          <w:color w:val="auto"/>
          <w:sz w:val="24"/>
          <w:highlight w:val="none"/>
        </w:rPr>
        <w:t>2.1本招标项目的评标由评标委员会负责。</w:t>
      </w:r>
    </w:p>
    <w:p>
      <w:pPr>
        <w:adjustRightInd/>
        <w:spacing w:line="420" w:lineRule="exact"/>
        <w:ind w:left="510"/>
        <w:textAlignment w:val="auto"/>
        <w:outlineLvl w:val="2"/>
        <w:rPr>
          <w:rFonts w:ascii="宋体" w:hAnsi="宋体" w:cs="宋体"/>
          <w:color w:val="auto"/>
          <w:sz w:val="24"/>
          <w:highlight w:val="none"/>
        </w:rPr>
      </w:pPr>
      <w:bookmarkStart w:id="577" w:name="_Toc28635"/>
      <w:bookmarkStart w:id="578" w:name="_Toc2550"/>
      <w:bookmarkStart w:id="579" w:name="_Toc4170"/>
      <w:bookmarkStart w:id="580" w:name="_Toc16050"/>
      <w:bookmarkStart w:id="581" w:name="_Toc28796"/>
      <w:bookmarkStart w:id="582" w:name="_Toc6679"/>
      <w:bookmarkStart w:id="583" w:name="_Toc21264"/>
      <w:bookmarkStart w:id="584" w:name="_Toc7920"/>
      <w:bookmarkStart w:id="585" w:name="_Toc31457"/>
      <w:bookmarkStart w:id="586" w:name="_Toc3501"/>
      <w:bookmarkStart w:id="587" w:name="_Toc5488"/>
      <w:bookmarkStart w:id="588" w:name="_Toc31641"/>
      <w:bookmarkStart w:id="589" w:name="_Toc25311"/>
      <w:bookmarkStart w:id="590" w:name="_Toc17767"/>
      <w:bookmarkStart w:id="591" w:name="_Toc10273"/>
      <w:bookmarkStart w:id="592" w:name="_Toc18282"/>
      <w:bookmarkStart w:id="593" w:name="_Toc23843"/>
      <w:bookmarkStart w:id="594" w:name="_Toc19347"/>
      <w:bookmarkStart w:id="595" w:name="_Toc21146"/>
      <w:bookmarkStart w:id="596" w:name="_Toc21541"/>
      <w:bookmarkStart w:id="597" w:name="_Toc4248"/>
      <w:bookmarkStart w:id="598" w:name="_Toc20088"/>
      <w:bookmarkStart w:id="599" w:name="_Toc28706"/>
      <w:bookmarkStart w:id="600" w:name="_Toc21988"/>
      <w:bookmarkStart w:id="601" w:name="_Toc29081"/>
      <w:bookmarkStart w:id="602" w:name="_Toc4973"/>
      <w:bookmarkStart w:id="603" w:name="_Toc25381"/>
      <w:bookmarkStart w:id="604" w:name="_Toc6977"/>
      <w:bookmarkStart w:id="605" w:name="_Toc6538"/>
      <w:r>
        <w:rPr>
          <w:rFonts w:ascii="ˎ̥" w:hAnsi="ˎ̥"/>
          <w:b/>
          <w:color w:val="auto"/>
          <w:sz w:val="28"/>
          <w:szCs w:val="28"/>
          <w:highlight w:val="none"/>
        </w:rPr>
        <w:t>3.</w:t>
      </w:r>
      <w:r>
        <w:rPr>
          <w:rFonts w:hint="eastAsia" w:ascii="ˎ̥" w:hAnsi="ˎ̥"/>
          <w:b/>
          <w:color w:val="auto"/>
          <w:sz w:val="28"/>
          <w:szCs w:val="28"/>
          <w:highlight w:val="none"/>
        </w:rPr>
        <w:t>评标委员会</w:t>
      </w:r>
      <w:r>
        <w:rPr>
          <w:rFonts w:ascii="ˎ̥" w:hAnsi="ˎ̥"/>
          <w:b/>
          <w:color w:val="auto"/>
          <w:sz w:val="28"/>
          <w:szCs w:val="28"/>
          <w:highlight w:val="none"/>
        </w:rPr>
        <w:t>在评标过程中应当遵守下列规定</w:t>
      </w:r>
      <w:r>
        <w:rPr>
          <w:rFonts w:hint="eastAsia"/>
          <w:b/>
          <w:color w:val="auto"/>
          <w:sz w:val="28"/>
          <w:szCs w:val="28"/>
          <w:highlight w:val="none"/>
        </w:rPr>
        <w:t>：</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pPr>
        <w:adjustRightInd/>
        <w:spacing w:line="420" w:lineRule="exact"/>
        <w:ind w:firstLine="480" w:firstLineChars="200"/>
        <w:textAlignment w:val="auto"/>
        <w:rPr>
          <w:rFonts w:ascii="宋体" w:hAnsi="宋体" w:cs="宋体"/>
          <w:color w:val="auto"/>
          <w:sz w:val="24"/>
          <w:highlight w:val="none"/>
        </w:rPr>
      </w:pPr>
      <w:r>
        <w:rPr>
          <w:rFonts w:ascii="宋体" w:hAnsi="宋体" w:cs="宋体"/>
          <w:color w:val="auto"/>
          <w:sz w:val="24"/>
          <w:highlight w:val="none"/>
        </w:rPr>
        <w:t>3.1评标应严格按照招标文件中规定的评标标准和办法进行，除了有关法律、法规以及国家标准中规定的强制性条文外，不得引用招标文件规定以外的标准和办法进行评审。</w:t>
      </w:r>
    </w:p>
    <w:p>
      <w:pPr>
        <w:adjustRightInd/>
        <w:spacing w:line="420" w:lineRule="exact"/>
        <w:ind w:left="0" w:leftChars="0" w:firstLine="480" w:firstLineChars="200"/>
        <w:textAlignment w:val="auto"/>
        <w:rPr>
          <w:rFonts w:ascii="宋体" w:hAnsi="宋体" w:cs="宋体"/>
          <w:color w:val="auto"/>
          <w:sz w:val="24"/>
          <w:highlight w:val="none"/>
        </w:rPr>
      </w:pPr>
      <w:r>
        <w:rPr>
          <w:rFonts w:ascii="宋体" w:hAnsi="宋体" w:cs="宋体"/>
          <w:color w:val="auto"/>
          <w:sz w:val="24"/>
          <w:highlight w:val="none"/>
        </w:rPr>
        <w:t>3.2评标委员会可以</w:t>
      </w:r>
      <w:r>
        <w:rPr>
          <w:rFonts w:hint="default" w:ascii="宋体" w:hAnsi="宋体" w:cs="宋体"/>
          <w:color w:val="auto"/>
          <w:sz w:val="24"/>
          <w:highlight w:val="none"/>
        </w:rPr>
        <w:t>以</w:t>
      </w:r>
      <w:r>
        <w:rPr>
          <w:rFonts w:ascii="宋体" w:hAnsi="宋体" w:cs="宋体"/>
          <w:color w:val="auto"/>
          <w:sz w:val="24"/>
          <w:highlight w:val="none"/>
        </w:rPr>
        <w:t>书面方式要求投标人对投标文件中含义不明确、对同类问题表述不一致或者有明显文字和计算错误的内容作必要的澄清、说明或者补正。</w:t>
      </w:r>
      <w:r>
        <w:rPr>
          <w:rFonts w:hint="default" w:ascii="宋体" w:hAnsi="宋体" w:cs="宋体"/>
          <w:color w:val="auto"/>
          <w:sz w:val="24"/>
          <w:highlight w:val="none"/>
        </w:rPr>
        <w:t>评标委员会不接受投标人主动提出的</w:t>
      </w:r>
      <w:r>
        <w:rPr>
          <w:rFonts w:ascii="宋体" w:hAnsi="宋体" w:cs="宋体"/>
          <w:color w:val="auto"/>
          <w:sz w:val="24"/>
          <w:highlight w:val="none"/>
        </w:rPr>
        <w:t>澄清、说明或者补正</w:t>
      </w:r>
      <w:r>
        <w:rPr>
          <w:rFonts w:hint="default" w:ascii="宋体" w:hAnsi="宋体" w:cs="宋体"/>
          <w:color w:val="auto"/>
          <w:sz w:val="24"/>
          <w:highlight w:val="none"/>
        </w:rPr>
        <w:t>。</w:t>
      </w:r>
      <w:r>
        <w:rPr>
          <w:rFonts w:ascii="宋体" w:hAnsi="宋体" w:cs="宋体"/>
          <w:color w:val="auto"/>
          <w:sz w:val="24"/>
          <w:highlight w:val="none"/>
        </w:rPr>
        <w:t>澄清、说明或者补正应以书面方式进行并不得超出投标文件的范围或者改变投标文件的实质性内容。</w:t>
      </w:r>
      <w:r>
        <w:rPr>
          <w:rFonts w:hint="default" w:ascii="宋体" w:hAnsi="宋体" w:cs="宋体"/>
          <w:color w:val="auto"/>
          <w:sz w:val="24"/>
          <w:highlight w:val="none"/>
        </w:rPr>
        <w:t>投标人的书面</w:t>
      </w:r>
      <w:r>
        <w:rPr>
          <w:rFonts w:ascii="宋体" w:hAnsi="宋体" w:cs="宋体"/>
          <w:color w:val="auto"/>
          <w:sz w:val="24"/>
          <w:highlight w:val="none"/>
        </w:rPr>
        <w:t>澄清、说明或者补正</w:t>
      </w:r>
      <w:r>
        <w:rPr>
          <w:rFonts w:hint="default" w:ascii="宋体" w:hAnsi="宋体" w:cs="宋体"/>
          <w:color w:val="auto"/>
          <w:sz w:val="24"/>
          <w:highlight w:val="none"/>
        </w:rPr>
        <w:t>属于投标文件的组成部分。评标委员会对投标人提交的</w:t>
      </w:r>
      <w:r>
        <w:rPr>
          <w:rFonts w:ascii="宋体" w:hAnsi="宋体" w:cs="宋体"/>
          <w:color w:val="auto"/>
          <w:sz w:val="24"/>
          <w:highlight w:val="none"/>
        </w:rPr>
        <w:t>澄清、说明或者补正</w:t>
      </w:r>
      <w:r>
        <w:rPr>
          <w:rFonts w:hint="default" w:ascii="宋体" w:hAnsi="宋体" w:cs="宋体"/>
          <w:color w:val="auto"/>
          <w:sz w:val="24"/>
          <w:highlight w:val="none"/>
        </w:rPr>
        <w:t>有疑问的，可以要求投标人进一步</w:t>
      </w:r>
      <w:r>
        <w:rPr>
          <w:rFonts w:ascii="宋体" w:hAnsi="宋体" w:cs="宋体"/>
          <w:color w:val="auto"/>
          <w:sz w:val="24"/>
          <w:highlight w:val="none"/>
        </w:rPr>
        <w:t>澄清、说明或者补正</w:t>
      </w:r>
      <w:r>
        <w:rPr>
          <w:rFonts w:hint="default" w:ascii="宋体" w:hAnsi="宋体" w:cs="宋体"/>
          <w:color w:val="auto"/>
          <w:sz w:val="24"/>
          <w:highlight w:val="none"/>
        </w:rPr>
        <w:t>，直至满足评标委员会的要求。投标人</w:t>
      </w:r>
      <w:r>
        <w:rPr>
          <w:rFonts w:ascii="宋体" w:hAnsi="宋体" w:cs="宋体"/>
          <w:color w:val="auto"/>
          <w:sz w:val="24"/>
          <w:highlight w:val="none"/>
        </w:rPr>
        <w:t>拒不按照要求对投标文件进行澄清、说明或者补正的，</w:t>
      </w:r>
      <w:r>
        <w:rPr>
          <w:rFonts w:hint="default" w:ascii="宋体" w:hAnsi="宋体" w:cs="宋体"/>
          <w:color w:val="auto"/>
          <w:sz w:val="24"/>
          <w:highlight w:val="none"/>
        </w:rPr>
        <w:t>评标委员会可以作出不利于投标人的决定。</w:t>
      </w:r>
    </w:p>
    <w:p>
      <w:pPr>
        <w:adjustRightInd/>
        <w:spacing w:line="420" w:lineRule="exact"/>
        <w:ind w:left="0" w:leftChars="0" w:firstLine="480" w:firstLineChars="200"/>
        <w:textAlignment w:val="auto"/>
        <w:rPr>
          <w:rFonts w:ascii="宋体" w:hAnsi="宋体" w:cs="宋体"/>
          <w:color w:val="auto"/>
          <w:sz w:val="24"/>
          <w:highlight w:val="none"/>
        </w:rPr>
      </w:pPr>
      <w:r>
        <w:rPr>
          <w:rFonts w:ascii="宋体" w:hAnsi="宋体" w:cs="宋体"/>
          <w:color w:val="auto"/>
          <w:sz w:val="24"/>
          <w:highlight w:val="none"/>
        </w:rPr>
        <w:t>3.3招标文件条款存在含义不清或者相互矛盾的，评标委员会应当针对相应条款作出有利于投标人的结论。</w:t>
      </w:r>
    </w:p>
    <w:p>
      <w:pPr>
        <w:adjustRightInd/>
        <w:spacing w:line="420" w:lineRule="exact"/>
        <w:ind w:left="0" w:leftChars="0" w:firstLine="480" w:firstLineChars="200"/>
        <w:textAlignment w:val="auto"/>
        <w:rPr>
          <w:rFonts w:ascii="宋体" w:hAnsi="宋体" w:cs="宋体"/>
          <w:color w:val="auto"/>
          <w:sz w:val="24"/>
          <w:highlight w:val="none"/>
        </w:rPr>
      </w:pPr>
      <w:r>
        <w:rPr>
          <w:rFonts w:ascii="宋体" w:hAnsi="宋体" w:cs="宋体"/>
          <w:color w:val="auto"/>
          <w:sz w:val="24"/>
          <w:highlight w:val="none"/>
        </w:rPr>
        <w:t>3.4评委的评审意见不一致时，应以书面形式进行表决，并按照少数服从多数的原则处理。评审结束后，评标委员会应当对评标过程中的情况在评标报告中作详细说明。</w:t>
      </w:r>
    </w:p>
    <w:p>
      <w:pPr>
        <w:adjustRightInd/>
        <w:spacing w:line="420" w:lineRule="exact"/>
        <w:ind w:left="510"/>
        <w:textAlignment w:val="auto"/>
        <w:outlineLvl w:val="2"/>
        <w:rPr>
          <w:rFonts w:ascii="ˎ̥" w:hAnsi="ˎ̥"/>
          <w:b/>
          <w:color w:val="auto"/>
          <w:sz w:val="28"/>
          <w:szCs w:val="28"/>
          <w:highlight w:val="none"/>
        </w:rPr>
      </w:pPr>
      <w:bookmarkStart w:id="606" w:name="_Toc32225"/>
      <w:bookmarkStart w:id="607" w:name="_Toc29308"/>
      <w:bookmarkStart w:id="608" w:name="_Toc32535"/>
      <w:bookmarkStart w:id="609" w:name="_Toc25571"/>
      <w:bookmarkStart w:id="610" w:name="_Toc9678"/>
      <w:bookmarkStart w:id="611" w:name="_Toc31466"/>
      <w:bookmarkStart w:id="612" w:name="_Toc30542"/>
      <w:bookmarkStart w:id="613" w:name="_Toc32442"/>
      <w:bookmarkStart w:id="614" w:name="_Toc21681"/>
      <w:bookmarkStart w:id="615" w:name="_Toc32481"/>
      <w:bookmarkStart w:id="616" w:name="_Toc13744"/>
      <w:bookmarkStart w:id="617" w:name="_Toc28074"/>
      <w:bookmarkStart w:id="618" w:name="_Toc6326"/>
      <w:bookmarkStart w:id="619" w:name="_Toc15322"/>
      <w:bookmarkStart w:id="620" w:name="_Toc22243"/>
      <w:bookmarkStart w:id="621" w:name="_Toc25937"/>
      <w:bookmarkStart w:id="622" w:name="_Toc13438"/>
      <w:bookmarkStart w:id="623" w:name="_Toc29003"/>
      <w:bookmarkStart w:id="624" w:name="_Toc29018"/>
      <w:bookmarkStart w:id="625" w:name="_Toc22831"/>
      <w:bookmarkStart w:id="626" w:name="_Toc13296"/>
      <w:bookmarkStart w:id="627" w:name="_Toc13159"/>
      <w:bookmarkStart w:id="628" w:name="_Toc7110"/>
      <w:bookmarkStart w:id="629" w:name="_Toc8372"/>
      <w:bookmarkStart w:id="630" w:name="_Toc14563"/>
      <w:bookmarkStart w:id="631" w:name="_Toc9861"/>
      <w:bookmarkStart w:id="632" w:name="_Toc27459"/>
      <w:bookmarkStart w:id="633" w:name="_Toc31884"/>
      <w:bookmarkStart w:id="634" w:name="_Toc29924"/>
      <w:r>
        <w:rPr>
          <w:rFonts w:ascii="ˎ̥" w:hAnsi="ˎ̥"/>
          <w:b/>
          <w:color w:val="auto"/>
          <w:sz w:val="28"/>
          <w:szCs w:val="28"/>
          <w:highlight w:val="none"/>
        </w:rPr>
        <w:t>4.</w:t>
      </w:r>
      <w:r>
        <w:rPr>
          <w:rFonts w:hint="eastAsia" w:ascii="ˎ̥" w:hAnsi="ˎ̥"/>
          <w:b/>
          <w:color w:val="auto"/>
          <w:sz w:val="28"/>
          <w:szCs w:val="28"/>
          <w:highlight w:val="none"/>
        </w:rPr>
        <w:t>评标程序</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pPr>
        <w:adjustRightInd/>
        <w:spacing w:line="420" w:lineRule="exact"/>
        <w:ind w:left="510"/>
        <w:textAlignment w:val="auto"/>
        <w:rPr>
          <w:rFonts w:ascii="宋体" w:hAnsi="宋体" w:cs="宋体"/>
          <w:color w:val="auto"/>
          <w:sz w:val="24"/>
          <w:highlight w:val="none"/>
        </w:rPr>
      </w:pPr>
      <w:r>
        <w:rPr>
          <w:color w:val="auto"/>
          <w:sz w:val="24"/>
          <w:highlight w:val="none"/>
        </w:rPr>
        <w:t>4.1</w:t>
      </w:r>
      <w:r>
        <w:rPr>
          <w:rFonts w:hint="eastAsia"/>
          <w:color w:val="auto"/>
          <w:sz w:val="24"/>
          <w:highlight w:val="none"/>
        </w:rPr>
        <w:t>本招标项目评标将按以下程序进行：</w:t>
      </w:r>
    </w:p>
    <w:p>
      <w:pPr>
        <w:tabs>
          <w:tab w:val="left" w:pos="1050"/>
        </w:tabs>
        <w:adjustRightInd/>
        <w:spacing w:line="420" w:lineRule="exact"/>
        <w:ind w:left="510"/>
        <w:textAlignment w:val="auto"/>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）评标前准备工作；</w:t>
      </w:r>
    </w:p>
    <w:p>
      <w:pPr>
        <w:tabs>
          <w:tab w:val="left" w:pos="1050"/>
        </w:tabs>
        <w:adjustRightInd/>
        <w:spacing w:line="420" w:lineRule="exact"/>
        <w:ind w:left="510"/>
        <w:textAlignment w:val="auto"/>
        <w:rPr>
          <w:color w:val="auto"/>
          <w:sz w:val="24"/>
          <w:szCs w:val="22"/>
          <w:highlight w:val="none"/>
        </w:rPr>
      </w:pPr>
      <w:bookmarkStart w:id="635" w:name="_Toc12209"/>
      <w:bookmarkStart w:id="636" w:name="_Toc7896"/>
      <w:bookmarkStart w:id="637" w:name="_Toc28932"/>
      <w:r>
        <w:rPr>
          <w:rFonts w:hint="eastAsia"/>
          <w:color w:val="auto"/>
          <w:sz w:val="24"/>
          <w:szCs w:val="22"/>
          <w:highlight w:val="none"/>
        </w:rPr>
        <w:t>（</w:t>
      </w:r>
      <w:r>
        <w:rPr>
          <w:color w:val="auto"/>
          <w:sz w:val="24"/>
          <w:szCs w:val="22"/>
          <w:highlight w:val="none"/>
        </w:rPr>
        <w:t>2</w:t>
      </w:r>
      <w:r>
        <w:rPr>
          <w:rFonts w:hint="eastAsia"/>
          <w:color w:val="auto"/>
          <w:sz w:val="24"/>
          <w:szCs w:val="22"/>
          <w:highlight w:val="none"/>
        </w:rPr>
        <w:t>）资格审查文件进行详细评审；</w:t>
      </w:r>
      <w:bookmarkEnd w:id="635"/>
      <w:bookmarkEnd w:id="636"/>
      <w:bookmarkEnd w:id="637"/>
    </w:p>
    <w:p>
      <w:pPr>
        <w:tabs>
          <w:tab w:val="left" w:pos="1050"/>
        </w:tabs>
        <w:adjustRightInd/>
        <w:spacing w:line="420" w:lineRule="exact"/>
        <w:ind w:left="510"/>
        <w:textAlignment w:val="auto"/>
        <w:rPr>
          <w:color w:val="auto"/>
          <w:sz w:val="24"/>
          <w:highlight w:val="none"/>
        </w:rPr>
      </w:pPr>
      <w:r>
        <w:rPr>
          <w:rFonts w:hint="eastAsia"/>
          <w:color w:val="auto"/>
          <w:sz w:val="24"/>
          <w:highlight w:val="none"/>
        </w:rPr>
        <w:t>（</w:t>
      </w:r>
      <w:r>
        <w:rPr>
          <w:color w:val="auto"/>
          <w:sz w:val="24"/>
          <w:highlight w:val="none"/>
        </w:rPr>
        <w:t>3</w:t>
      </w:r>
      <w:r>
        <w:rPr>
          <w:rFonts w:hint="eastAsia"/>
          <w:color w:val="auto"/>
          <w:sz w:val="24"/>
          <w:highlight w:val="none"/>
        </w:rPr>
        <w:t>）技术文件进行详细评审；</w:t>
      </w:r>
    </w:p>
    <w:p>
      <w:pPr>
        <w:tabs>
          <w:tab w:val="left" w:pos="1050"/>
        </w:tabs>
        <w:adjustRightInd/>
        <w:spacing w:line="420" w:lineRule="exact"/>
        <w:ind w:firstLine="480" w:firstLineChars="200"/>
        <w:textAlignment w:val="auto"/>
        <w:rPr>
          <w:color w:val="auto"/>
          <w:sz w:val="24"/>
          <w:szCs w:val="22"/>
          <w:highlight w:val="none"/>
        </w:rPr>
      </w:pPr>
      <w:r>
        <w:rPr>
          <w:rFonts w:hint="eastAsia"/>
          <w:color w:val="auto"/>
          <w:sz w:val="24"/>
          <w:szCs w:val="22"/>
          <w:highlight w:val="none"/>
        </w:rPr>
        <w:t>（</w:t>
      </w:r>
      <w:r>
        <w:rPr>
          <w:color w:val="auto"/>
          <w:sz w:val="24"/>
          <w:szCs w:val="22"/>
          <w:highlight w:val="none"/>
        </w:rPr>
        <w:t>4</w:t>
      </w:r>
      <w:r>
        <w:rPr>
          <w:rFonts w:hint="eastAsia"/>
          <w:color w:val="auto"/>
          <w:sz w:val="24"/>
          <w:szCs w:val="22"/>
          <w:highlight w:val="none"/>
        </w:rPr>
        <w:t>）商务文件进行详细评审；</w:t>
      </w:r>
    </w:p>
    <w:p>
      <w:pPr>
        <w:tabs>
          <w:tab w:val="left" w:pos="1050"/>
        </w:tabs>
        <w:adjustRightInd/>
        <w:spacing w:line="420" w:lineRule="exact"/>
        <w:ind w:left="510"/>
        <w:textAlignment w:val="auto"/>
        <w:rPr>
          <w:color w:val="auto"/>
          <w:sz w:val="24"/>
          <w:highlight w:val="none"/>
        </w:rPr>
      </w:pPr>
      <w:r>
        <w:rPr>
          <w:rFonts w:hint="eastAsia"/>
          <w:color w:val="auto"/>
          <w:sz w:val="24"/>
          <w:highlight w:val="none"/>
        </w:rPr>
        <w:t>（</w:t>
      </w:r>
      <w:r>
        <w:rPr>
          <w:color w:val="auto"/>
          <w:sz w:val="24"/>
          <w:highlight w:val="none"/>
        </w:rPr>
        <w:t>5</w:t>
      </w:r>
      <w:r>
        <w:rPr>
          <w:rFonts w:hint="eastAsia"/>
          <w:color w:val="auto"/>
          <w:sz w:val="24"/>
          <w:highlight w:val="none"/>
        </w:rPr>
        <w:t>）投标文件的澄清和补正；</w:t>
      </w:r>
    </w:p>
    <w:p>
      <w:pPr>
        <w:tabs>
          <w:tab w:val="left" w:pos="1050"/>
        </w:tabs>
        <w:adjustRightInd/>
        <w:spacing w:line="420" w:lineRule="exact"/>
        <w:ind w:left="510"/>
        <w:textAlignment w:val="auto"/>
        <w:rPr>
          <w:color w:val="auto"/>
          <w:sz w:val="24"/>
          <w:highlight w:val="none"/>
        </w:rPr>
      </w:pPr>
      <w:r>
        <w:rPr>
          <w:rFonts w:hint="eastAsia"/>
          <w:color w:val="auto"/>
          <w:sz w:val="24"/>
          <w:highlight w:val="none"/>
        </w:rPr>
        <w:t>（</w:t>
      </w:r>
      <w:r>
        <w:rPr>
          <w:color w:val="auto"/>
          <w:sz w:val="24"/>
          <w:highlight w:val="none"/>
        </w:rPr>
        <w:t>6</w:t>
      </w:r>
      <w:r>
        <w:rPr>
          <w:rFonts w:hint="eastAsia"/>
          <w:color w:val="auto"/>
          <w:sz w:val="24"/>
          <w:highlight w:val="none"/>
        </w:rPr>
        <w:t>）推荐</w:t>
      </w:r>
      <w:r>
        <w:rPr>
          <w:rFonts w:hint="eastAsia" w:ascii="宋体" w:hAnsi="宋体" w:cs="宋体"/>
          <w:color w:val="auto"/>
          <w:sz w:val="24"/>
          <w:szCs w:val="24"/>
          <w:highlight w:val="none"/>
        </w:rPr>
        <w:t>中标候选人</w:t>
      </w:r>
      <w:r>
        <w:rPr>
          <w:rFonts w:hint="eastAsia"/>
          <w:color w:val="auto"/>
          <w:sz w:val="24"/>
          <w:highlight w:val="none"/>
        </w:rPr>
        <w:t>名单、提交评标报告。</w:t>
      </w:r>
    </w:p>
    <w:p>
      <w:pPr>
        <w:adjustRightInd/>
        <w:spacing w:line="420" w:lineRule="exact"/>
        <w:ind w:left="510"/>
        <w:textAlignment w:val="auto"/>
        <w:outlineLvl w:val="2"/>
        <w:rPr>
          <w:rFonts w:ascii="ˎ̥" w:hAnsi="ˎ̥"/>
          <w:b/>
          <w:color w:val="auto"/>
          <w:sz w:val="28"/>
          <w:szCs w:val="28"/>
          <w:highlight w:val="none"/>
        </w:rPr>
      </w:pPr>
      <w:bookmarkStart w:id="638" w:name="_Toc17222"/>
      <w:bookmarkStart w:id="639" w:name="_Toc28129"/>
      <w:bookmarkStart w:id="640" w:name="_Toc10446"/>
      <w:bookmarkStart w:id="641" w:name="_Toc28655"/>
      <w:bookmarkStart w:id="642" w:name="_Toc26387"/>
      <w:bookmarkStart w:id="643" w:name="_Toc9471"/>
      <w:bookmarkStart w:id="644" w:name="_Toc22335"/>
      <w:bookmarkStart w:id="645" w:name="_Toc10187"/>
      <w:bookmarkStart w:id="646" w:name="_Toc16411"/>
      <w:bookmarkStart w:id="647" w:name="_Toc22534"/>
      <w:bookmarkStart w:id="648" w:name="_Toc22404"/>
      <w:bookmarkStart w:id="649" w:name="_Toc26922"/>
      <w:bookmarkStart w:id="650" w:name="_Toc16224"/>
      <w:bookmarkStart w:id="651" w:name="_Toc23825"/>
      <w:bookmarkStart w:id="652" w:name="_Toc27081"/>
      <w:bookmarkStart w:id="653" w:name="_Toc29486"/>
      <w:bookmarkStart w:id="654" w:name="_Toc32677"/>
      <w:bookmarkStart w:id="655" w:name="_Toc21449"/>
      <w:bookmarkStart w:id="656" w:name="_Toc1669"/>
      <w:bookmarkStart w:id="657" w:name="_Toc8957"/>
      <w:bookmarkStart w:id="658" w:name="_Toc14916"/>
      <w:bookmarkStart w:id="659" w:name="_Toc8848"/>
      <w:bookmarkStart w:id="660" w:name="_Toc29143"/>
      <w:bookmarkStart w:id="661" w:name="_Toc31138"/>
      <w:bookmarkStart w:id="662" w:name="_Toc27558"/>
      <w:bookmarkStart w:id="663" w:name="_Toc22147"/>
      <w:bookmarkStart w:id="664" w:name="_Toc1990"/>
      <w:bookmarkStart w:id="665" w:name="_Toc13313"/>
      <w:bookmarkStart w:id="666" w:name="_Toc12849"/>
      <w:r>
        <w:rPr>
          <w:rFonts w:ascii="ˎ̥" w:hAnsi="ˎ̥"/>
          <w:b/>
          <w:color w:val="auto"/>
          <w:sz w:val="28"/>
          <w:szCs w:val="28"/>
          <w:highlight w:val="none"/>
        </w:rPr>
        <w:t>5.</w:t>
      </w:r>
      <w:r>
        <w:rPr>
          <w:rFonts w:hint="eastAsia" w:ascii="ˎ̥" w:hAnsi="ˎ̥"/>
          <w:b/>
          <w:color w:val="auto"/>
          <w:sz w:val="28"/>
          <w:szCs w:val="28"/>
          <w:highlight w:val="none"/>
        </w:rPr>
        <w:t>评标前的准备工作</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adjustRightInd/>
        <w:spacing w:line="420" w:lineRule="exact"/>
        <w:ind w:left="30" w:leftChars="15" w:firstLine="480" w:firstLineChars="200"/>
        <w:textAlignment w:val="auto"/>
        <w:rPr>
          <w:rFonts w:ascii="宋体" w:hAnsi="宋体"/>
          <w:color w:val="auto"/>
          <w:sz w:val="24"/>
          <w:szCs w:val="24"/>
          <w:highlight w:val="none"/>
        </w:rPr>
      </w:pPr>
      <w:r>
        <w:rPr>
          <w:rFonts w:ascii="宋体" w:hAnsi="宋体" w:cs="Arial"/>
          <w:bCs/>
          <w:color w:val="auto"/>
          <w:sz w:val="24"/>
          <w:highlight w:val="none"/>
        </w:rPr>
        <w:t>5.1招标人</w:t>
      </w:r>
      <w:r>
        <w:rPr>
          <w:rFonts w:hint="eastAsia"/>
          <w:color w:val="auto"/>
          <w:sz w:val="24"/>
          <w:highlight w:val="none"/>
        </w:rPr>
        <w:t>或者其委托的招标代理机构应当向评标委员会提供评标所需的资料。</w:t>
      </w:r>
    </w:p>
    <w:p>
      <w:pPr>
        <w:adjustRightInd/>
        <w:spacing w:line="420" w:lineRule="exact"/>
        <w:ind w:left="30" w:firstLine="480"/>
        <w:textAlignment w:val="auto"/>
        <w:rPr>
          <w:color w:val="auto"/>
          <w:sz w:val="24"/>
          <w:highlight w:val="none"/>
        </w:rPr>
      </w:pPr>
      <w:r>
        <w:rPr>
          <w:color w:val="auto"/>
          <w:sz w:val="24"/>
          <w:highlight w:val="none"/>
        </w:rPr>
        <w:t>5.2</w:t>
      </w:r>
      <w:r>
        <w:rPr>
          <w:rFonts w:hint="eastAsia"/>
          <w:color w:val="auto"/>
          <w:sz w:val="24"/>
          <w:highlight w:val="none"/>
        </w:rPr>
        <w:t>评标委员会成员在评标前应当认真研究招标文件，了解和熟悉本项目招标的目标、范围、性质、主要技术要求、评标方法和标准以及评标过程中考虑的相关因素。</w:t>
      </w:r>
    </w:p>
    <w:p>
      <w:pPr>
        <w:adjustRightInd/>
        <w:spacing w:line="400" w:lineRule="exact"/>
        <w:ind w:left="510"/>
        <w:textAlignment w:val="auto"/>
        <w:outlineLvl w:val="2"/>
        <w:rPr>
          <w:color w:val="auto"/>
          <w:highlight w:val="none"/>
        </w:rPr>
      </w:pPr>
      <w:bookmarkStart w:id="667" w:name="_Toc823"/>
      <w:bookmarkStart w:id="668" w:name="_Toc15435"/>
      <w:bookmarkStart w:id="669" w:name="_Toc9662"/>
      <w:bookmarkStart w:id="670" w:name="_Toc7116"/>
      <w:bookmarkStart w:id="671" w:name="_Toc15729"/>
      <w:bookmarkStart w:id="672" w:name="_Toc26026"/>
      <w:bookmarkStart w:id="673" w:name="_Toc736"/>
      <w:bookmarkStart w:id="674" w:name="_Toc5704"/>
      <w:bookmarkStart w:id="675" w:name="_Toc11332"/>
      <w:bookmarkStart w:id="676" w:name="_Toc24236"/>
      <w:bookmarkStart w:id="677" w:name="_Toc23429"/>
      <w:bookmarkStart w:id="678" w:name="_Toc3515"/>
      <w:bookmarkStart w:id="679" w:name="_Toc4534"/>
      <w:bookmarkStart w:id="680" w:name="_Toc16880"/>
      <w:bookmarkStart w:id="681" w:name="_Toc3617"/>
      <w:bookmarkStart w:id="682" w:name="_Toc6835"/>
      <w:bookmarkStart w:id="683" w:name="_Toc3754"/>
      <w:bookmarkStart w:id="684" w:name="_Toc15417"/>
      <w:bookmarkStart w:id="685" w:name="_Toc2467"/>
      <w:bookmarkStart w:id="686" w:name="_Toc24108"/>
      <w:bookmarkStart w:id="687" w:name="_Toc3486"/>
      <w:bookmarkStart w:id="688" w:name="_Toc19882"/>
      <w:bookmarkStart w:id="689" w:name="_Toc32559"/>
      <w:bookmarkStart w:id="690" w:name="_Toc13796"/>
      <w:bookmarkStart w:id="691" w:name="_Toc4397"/>
      <w:bookmarkStart w:id="692" w:name="_Toc16896"/>
      <w:bookmarkStart w:id="693" w:name="_Toc446"/>
      <w:bookmarkStart w:id="694" w:name="_Toc20236"/>
      <w:bookmarkStart w:id="695" w:name="_Toc10874"/>
      <w:r>
        <w:rPr>
          <w:rFonts w:hint="eastAsia" w:ascii="宋体"/>
          <w:b/>
          <w:color w:val="auto"/>
          <w:kern w:val="2"/>
          <w:sz w:val="28"/>
          <w:szCs w:val="28"/>
          <w:highlight w:val="none"/>
        </w:rPr>
        <w:t>6.详细评审</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tabs>
          <w:tab w:val="left" w:pos="510"/>
        </w:tabs>
        <w:adjustRightInd/>
        <w:spacing w:line="40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6.1评标委员会对投标文件进行详细评审。</w:t>
      </w:r>
    </w:p>
    <w:p>
      <w:pPr>
        <w:tabs>
          <w:tab w:val="left" w:pos="510"/>
        </w:tabs>
        <w:adjustRightInd/>
        <w:spacing w:line="40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6.2评标委员会成员应当按照招标文件所规定的评标办法和标准进行独立、客观、公正地进行量化打分。</w:t>
      </w:r>
    </w:p>
    <w:p>
      <w:pPr>
        <w:tabs>
          <w:tab w:val="left" w:pos="510"/>
        </w:tabs>
        <w:adjustRightInd/>
        <w:spacing w:line="40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6.3本次招标确定的方案的评分标准详见“评分标准（综合评估法）”。</w:t>
      </w:r>
    </w:p>
    <w:p>
      <w:pPr>
        <w:tabs>
          <w:tab w:val="left" w:pos="510"/>
        </w:tabs>
        <w:adjustRightInd/>
        <w:spacing w:line="40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6.4根据评标委员会成员的打分情况，去掉一个最高得分和最低得分的算术平均值作为投标人得分，分数值保留两位小数。</w:t>
      </w:r>
    </w:p>
    <w:p>
      <w:pPr>
        <w:tabs>
          <w:tab w:val="left" w:pos="510"/>
        </w:tabs>
        <w:adjustRightInd/>
        <w:spacing w:line="400" w:lineRule="exact"/>
        <w:ind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6.5评标委员会按照最终得分【技术标得分+商务文件得分】从高到低的顺序对投标人进行排名。</w:t>
      </w:r>
    </w:p>
    <w:p>
      <w:pPr>
        <w:adjustRightInd/>
        <w:spacing w:line="400" w:lineRule="exact"/>
        <w:ind w:left="510"/>
        <w:textAlignment w:val="auto"/>
        <w:outlineLvl w:val="2"/>
        <w:rPr>
          <w:rFonts w:ascii="宋体"/>
          <w:b/>
          <w:color w:val="auto"/>
          <w:kern w:val="2"/>
          <w:sz w:val="28"/>
          <w:szCs w:val="28"/>
          <w:highlight w:val="none"/>
        </w:rPr>
      </w:pPr>
      <w:bookmarkStart w:id="696" w:name="_Toc20481"/>
      <w:bookmarkStart w:id="697" w:name="_Toc13398"/>
      <w:bookmarkStart w:id="698" w:name="_Toc9552"/>
      <w:bookmarkStart w:id="699" w:name="_Toc29594"/>
      <w:bookmarkStart w:id="700" w:name="_Toc3910"/>
      <w:bookmarkStart w:id="701" w:name="_Toc13895"/>
      <w:bookmarkStart w:id="702" w:name="_Toc21615"/>
      <w:bookmarkStart w:id="703" w:name="_Toc18945"/>
      <w:bookmarkStart w:id="704" w:name="_Toc15828"/>
      <w:bookmarkStart w:id="705" w:name="_Toc32138"/>
      <w:bookmarkStart w:id="706" w:name="_Toc11423"/>
      <w:bookmarkStart w:id="707" w:name="_Toc8455"/>
      <w:bookmarkStart w:id="708" w:name="_Toc23353"/>
      <w:bookmarkStart w:id="709" w:name="_Toc3337"/>
      <w:bookmarkStart w:id="710" w:name="_Toc17310"/>
      <w:bookmarkStart w:id="711" w:name="_Toc21545"/>
      <w:bookmarkStart w:id="712" w:name="_Toc24144"/>
      <w:bookmarkStart w:id="713" w:name="_Toc7342"/>
      <w:bookmarkStart w:id="714" w:name="_Toc2433"/>
      <w:bookmarkStart w:id="715" w:name="_Toc13455"/>
      <w:bookmarkStart w:id="716" w:name="_Toc20355"/>
      <w:bookmarkStart w:id="717" w:name="_Toc418"/>
      <w:bookmarkStart w:id="718" w:name="_Toc11615"/>
      <w:bookmarkStart w:id="719" w:name="_Toc8981"/>
      <w:bookmarkStart w:id="720" w:name="_Toc25377"/>
      <w:bookmarkStart w:id="721" w:name="_Toc6956"/>
      <w:bookmarkStart w:id="722" w:name="_Toc13862"/>
      <w:bookmarkStart w:id="723" w:name="_Toc21993"/>
      <w:bookmarkStart w:id="724" w:name="_Toc4980"/>
      <w:r>
        <w:rPr>
          <w:rFonts w:hint="eastAsia" w:ascii="宋体"/>
          <w:b/>
          <w:color w:val="auto"/>
          <w:kern w:val="2"/>
          <w:sz w:val="28"/>
          <w:szCs w:val="28"/>
          <w:highlight w:val="none"/>
        </w:rPr>
        <w:t>7.澄清和补正</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pPr>
        <w:tabs>
          <w:tab w:val="left" w:pos="510"/>
        </w:tabs>
        <w:adjustRightInd/>
        <w:spacing w:line="40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7.1投标文件的澄清</w:t>
      </w:r>
    </w:p>
    <w:p>
      <w:pPr>
        <w:adjustRightInd/>
        <w:spacing w:line="40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为了有助于投标文件的评审和比较，根据需要，可以要求投标人对投标文件含义不明确的内容作必要的澄清或说明。有关澄清的要求与答复应采用书面形式，但不应寻求、提出或允许更改投标文件的实质性内容。按照本评标办法和标准第7.2款的规定对评委会在评标时发现的错误所进行的核实补正除外。</w:t>
      </w:r>
    </w:p>
    <w:p>
      <w:pPr>
        <w:tabs>
          <w:tab w:val="left" w:pos="510"/>
        </w:tabs>
        <w:adjustRightInd/>
        <w:spacing w:line="40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7.2细微偏差补正</w:t>
      </w:r>
    </w:p>
    <w:p>
      <w:pPr>
        <w:adjustRightInd/>
        <w:spacing w:line="40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adjustRightInd/>
        <w:spacing w:line="400" w:lineRule="exact"/>
        <w:ind w:firstLine="511" w:firstLineChars="213"/>
        <w:textAlignment w:val="auto"/>
        <w:rPr>
          <w:rFonts w:ascii="宋体"/>
          <w:color w:val="auto"/>
          <w:kern w:val="2"/>
          <w:sz w:val="24"/>
          <w:szCs w:val="24"/>
          <w:highlight w:val="none"/>
        </w:rPr>
      </w:pPr>
      <w:r>
        <w:rPr>
          <w:rFonts w:hint="eastAsia" w:ascii="宋体"/>
          <w:color w:val="auto"/>
          <w:kern w:val="2"/>
          <w:sz w:val="24"/>
          <w:szCs w:val="24"/>
          <w:highlight w:val="none"/>
        </w:rPr>
        <w:t>按照本约定进行补正后的数据经投标人的法定代表人或其委托代理人或拟担任的设计负责人确认后产生约束力。</w:t>
      </w:r>
    </w:p>
    <w:p>
      <w:pPr>
        <w:adjustRightInd/>
        <w:spacing w:line="400" w:lineRule="exact"/>
        <w:ind w:left="510"/>
        <w:textAlignment w:val="auto"/>
        <w:outlineLvl w:val="2"/>
        <w:rPr>
          <w:rFonts w:hint="eastAsia" w:ascii="宋体"/>
          <w:color w:val="auto"/>
          <w:kern w:val="2"/>
          <w:sz w:val="24"/>
          <w:szCs w:val="24"/>
          <w:highlight w:val="none"/>
          <w:lang w:val="en-US" w:eastAsia="zh-CN"/>
        </w:rPr>
      </w:pPr>
      <w:bookmarkStart w:id="725" w:name="_Toc10726"/>
      <w:bookmarkStart w:id="726" w:name="_Toc30306"/>
      <w:bookmarkStart w:id="727" w:name="_Toc15951"/>
      <w:bookmarkStart w:id="728" w:name="_Toc15125"/>
      <w:bookmarkStart w:id="729" w:name="_Toc117"/>
      <w:bookmarkStart w:id="730" w:name="_Toc25011"/>
      <w:bookmarkStart w:id="731" w:name="_Toc10991"/>
      <w:bookmarkStart w:id="732" w:name="_Toc5909"/>
      <w:bookmarkStart w:id="733" w:name="_Toc5432"/>
      <w:bookmarkStart w:id="734" w:name="_Toc21124"/>
      <w:bookmarkStart w:id="735" w:name="_Toc23659"/>
      <w:bookmarkStart w:id="736" w:name="_Toc16325"/>
      <w:bookmarkStart w:id="737" w:name="_Toc17894"/>
      <w:bookmarkStart w:id="738" w:name="_Toc22719"/>
      <w:bookmarkStart w:id="739" w:name="_Toc13953"/>
      <w:bookmarkStart w:id="740" w:name="_Toc2248"/>
      <w:bookmarkStart w:id="741" w:name="_Toc29689"/>
      <w:bookmarkStart w:id="742" w:name="_Toc23699"/>
      <w:bookmarkStart w:id="743" w:name="_Toc4728"/>
      <w:bookmarkStart w:id="744" w:name="_Toc6920"/>
      <w:bookmarkStart w:id="745" w:name="_Toc27385"/>
      <w:bookmarkStart w:id="746" w:name="_Toc15567"/>
      <w:bookmarkStart w:id="747" w:name="_Toc23949"/>
      <w:bookmarkStart w:id="748" w:name="_Toc32108"/>
      <w:bookmarkStart w:id="749" w:name="_Toc1275"/>
      <w:bookmarkStart w:id="750" w:name="_Toc24688"/>
      <w:bookmarkStart w:id="751" w:name="_Toc22244"/>
      <w:bookmarkStart w:id="752" w:name="_Toc26503"/>
      <w:bookmarkStart w:id="753" w:name="_Toc20460"/>
      <w:r>
        <w:rPr>
          <w:rFonts w:hint="eastAsia" w:ascii="宋体"/>
          <w:b/>
          <w:color w:val="auto"/>
          <w:kern w:val="2"/>
          <w:sz w:val="28"/>
          <w:szCs w:val="28"/>
          <w:highlight w:val="none"/>
        </w:rPr>
        <w:t>8.推荐中标候选人名单</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Fonts w:hint="eastAsia" w:ascii="宋体" w:hAnsi="Times New Roman" w:eastAsia="宋体" w:cs="Times New Roman"/>
          <w:b/>
          <w:color w:val="auto"/>
          <w:kern w:val="2"/>
          <w:sz w:val="28"/>
          <w:szCs w:val="28"/>
          <w:highlight w:val="none"/>
        </w:rPr>
        <w:t>（排名不分先后）</w:t>
      </w:r>
      <w:bookmarkEnd w:id="753"/>
    </w:p>
    <w:p>
      <w:pPr>
        <w:adjustRightInd/>
        <w:spacing w:line="400" w:lineRule="exact"/>
        <w:ind w:firstLine="511" w:firstLineChars="213"/>
        <w:textAlignment w:val="auto"/>
        <w:rPr>
          <w:rFonts w:hint="eastAsia" w:ascii="宋体" w:hAnsi="Times New Roman" w:eastAsia="宋体" w:cs="Times New Roman"/>
          <w:color w:val="auto"/>
          <w:kern w:val="2"/>
          <w:sz w:val="24"/>
          <w:szCs w:val="24"/>
          <w:highlight w:val="none"/>
        </w:rPr>
      </w:pPr>
      <w:r>
        <w:rPr>
          <w:rFonts w:hint="eastAsia" w:ascii="宋体" w:hAnsi="Times New Roman" w:eastAsia="宋体" w:cs="Times New Roman"/>
          <w:color w:val="auto"/>
          <w:kern w:val="2"/>
          <w:sz w:val="24"/>
          <w:szCs w:val="24"/>
          <w:highlight w:val="none"/>
        </w:rPr>
        <w:t>评标委员会对投标人按总得分从高到低进行排序，</w:t>
      </w:r>
      <w:r>
        <w:rPr>
          <w:rFonts w:hint="eastAsia" w:ascii="宋体" w:cs="Times New Roman"/>
          <w:color w:val="auto"/>
          <w:kern w:val="2"/>
          <w:sz w:val="24"/>
          <w:szCs w:val="24"/>
          <w:highlight w:val="none"/>
          <w:lang w:val="en-US" w:eastAsia="zh-CN"/>
        </w:rPr>
        <w:t>按投标人须知前附表第15项规定推荐中标候选人。</w:t>
      </w:r>
      <w:r>
        <w:rPr>
          <w:rFonts w:hint="eastAsia" w:ascii="宋体" w:hAnsi="Times New Roman" w:eastAsia="宋体" w:cs="Times New Roman"/>
          <w:color w:val="auto"/>
          <w:kern w:val="2"/>
          <w:sz w:val="24"/>
          <w:szCs w:val="24"/>
          <w:highlight w:val="none"/>
        </w:rPr>
        <w:t>如出现总得分并列的，以投标</w:t>
      </w:r>
      <w:r>
        <w:rPr>
          <w:rFonts w:hint="eastAsia" w:ascii="宋体" w:hAnsi="宋体"/>
          <w:color w:val="auto"/>
          <w:sz w:val="24"/>
          <w:szCs w:val="24"/>
          <w:highlight w:val="none"/>
        </w:rPr>
        <w:t>报价下浮率大</w:t>
      </w:r>
      <w:r>
        <w:rPr>
          <w:rFonts w:hint="eastAsia" w:ascii="宋体" w:hAnsi="Times New Roman" w:eastAsia="宋体" w:cs="Times New Roman"/>
          <w:color w:val="auto"/>
          <w:kern w:val="2"/>
          <w:sz w:val="24"/>
          <w:szCs w:val="24"/>
          <w:highlight w:val="none"/>
        </w:rPr>
        <w:t>的优先；投标</w:t>
      </w:r>
      <w:r>
        <w:rPr>
          <w:rFonts w:hint="eastAsia" w:ascii="宋体" w:hAnsi="宋体"/>
          <w:color w:val="auto"/>
          <w:sz w:val="24"/>
          <w:szCs w:val="24"/>
          <w:highlight w:val="none"/>
        </w:rPr>
        <w:t>报价下浮率</w:t>
      </w:r>
      <w:r>
        <w:rPr>
          <w:rFonts w:hint="eastAsia" w:ascii="宋体" w:hAnsi="Times New Roman" w:eastAsia="宋体" w:cs="Times New Roman"/>
          <w:color w:val="auto"/>
          <w:kern w:val="2"/>
          <w:sz w:val="24"/>
          <w:szCs w:val="24"/>
          <w:highlight w:val="none"/>
        </w:rPr>
        <w:t>仍相同的，以技术标排名靠前的优先；上述均相同的由招标人当场抽签确定排序。</w:t>
      </w:r>
    </w:p>
    <w:p>
      <w:pPr>
        <w:adjustRightInd/>
        <w:spacing w:line="400" w:lineRule="exact"/>
        <w:ind w:firstLine="562" w:firstLineChars="200"/>
        <w:textAlignment w:val="auto"/>
        <w:outlineLvl w:val="2"/>
        <w:rPr>
          <w:rFonts w:ascii="宋体"/>
          <w:b/>
          <w:color w:val="auto"/>
          <w:kern w:val="2"/>
          <w:sz w:val="28"/>
          <w:szCs w:val="28"/>
          <w:highlight w:val="none"/>
        </w:rPr>
      </w:pPr>
      <w:bookmarkStart w:id="754" w:name="_Toc16693"/>
      <w:bookmarkStart w:id="755" w:name="_Toc21219"/>
      <w:bookmarkStart w:id="756" w:name="_Toc2579"/>
      <w:bookmarkStart w:id="757" w:name="_Toc7270"/>
      <w:bookmarkStart w:id="758" w:name="_Toc18705"/>
      <w:bookmarkStart w:id="759" w:name="_Toc23944"/>
      <w:bookmarkStart w:id="760" w:name="_Toc7002"/>
      <w:bookmarkStart w:id="761" w:name="_Toc13486"/>
      <w:bookmarkStart w:id="762" w:name="_Toc20858"/>
      <w:bookmarkStart w:id="763" w:name="_Toc25720"/>
      <w:bookmarkStart w:id="764" w:name="_Toc21820"/>
      <w:bookmarkStart w:id="765" w:name="_Toc19461"/>
      <w:bookmarkStart w:id="766" w:name="_Toc25521"/>
      <w:bookmarkStart w:id="767" w:name="_Toc4580"/>
      <w:bookmarkStart w:id="768" w:name="_Toc15874"/>
      <w:bookmarkStart w:id="769" w:name="_Toc3648"/>
      <w:bookmarkStart w:id="770" w:name="_Toc31902"/>
      <w:bookmarkStart w:id="771" w:name="_Toc2548"/>
      <w:bookmarkStart w:id="772" w:name="_Toc32382"/>
      <w:bookmarkStart w:id="773" w:name="_Toc15501"/>
      <w:bookmarkStart w:id="774" w:name="_Toc17095"/>
      <w:bookmarkStart w:id="775" w:name="_Toc571"/>
      <w:bookmarkStart w:id="776" w:name="_Toc1014"/>
      <w:bookmarkStart w:id="777" w:name="_Toc26187"/>
      <w:bookmarkStart w:id="778" w:name="_Toc32700"/>
      <w:bookmarkStart w:id="779" w:name="_Toc5610"/>
      <w:bookmarkStart w:id="780" w:name="_Toc3205"/>
      <w:bookmarkStart w:id="781" w:name="_Toc31119"/>
      <w:bookmarkStart w:id="782" w:name="_Toc21522"/>
      <w:r>
        <w:rPr>
          <w:rFonts w:hint="eastAsia" w:ascii="宋体"/>
          <w:b/>
          <w:color w:val="auto"/>
          <w:kern w:val="2"/>
          <w:sz w:val="28"/>
          <w:szCs w:val="28"/>
          <w:highlight w:val="none"/>
        </w:rPr>
        <w:t>9.评标报告</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pPr>
        <w:tabs>
          <w:tab w:val="left" w:pos="510"/>
        </w:tabs>
        <w:adjustRightInd/>
        <w:spacing w:line="40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9.1评标委员会完成评标后，应当向</w:t>
      </w:r>
      <w:r>
        <w:rPr>
          <w:rFonts w:hint="eastAsia" w:ascii="宋体" w:hAnsi="宋体" w:cs="Arial"/>
          <w:bCs/>
          <w:color w:val="auto"/>
          <w:sz w:val="24"/>
          <w:highlight w:val="none"/>
        </w:rPr>
        <w:t>招标人</w:t>
      </w:r>
      <w:r>
        <w:rPr>
          <w:rFonts w:hint="eastAsia" w:ascii="宋体"/>
          <w:color w:val="auto"/>
          <w:kern w:val="2"/>
          <w:sz w:val="24"/>
          <w:szCs w:val="24"/>
          <w:highlight w:val="none"/>
        </w:rPr>
        <w:t xml:space="preserve">提交记载以下内容的书面评标报告： </w:t>
      </w:r>
    </w:p>
    <w:p>
      <w:pPr>
        <w:numPr>
          <w:ilvl w:val="5"/>
          <w:numId w:val="4"/>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本项目的基本情况；</w:t>
      </w:r>
    </w:p>
    <w:p>
      <w:pPr>
        <w:numPr>
          <w:ilvl w:val="5"/>
          <w:numId w:val="4"/>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评标委员会成员名单；</w:t>
      </w:r>
    </w:p>
    <w:p>
      <w:pPr>
        <w:numPr>
          <w:ilvl w:val="5"/>
          <w:numId w:val="4"/>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评标标准、方法或者评标因素一览表；</w:t>
      </w:r>
    </w:p>
    <w:p>
      <w:pPr>
        <w:numPr>
          <w:ilvl w:val="5"/>
          <w:numId w:val="4"/>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经评审的评分一览表； </w:t>
      </w:r>
    </w:p>
    <w:p>
      <w:pPr>
        <w:numPr>
          <w:ilvl w:val="5"/>
          <w:numId w:val="4"/>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推荐的</w:t>
      </w:r>
      <w:r>
        <w:rPr>
          <w:rFonts w:hint="eastAsia" w:ascii="宋体" w:hAnsi="宋体" w:cs="宋体"/>
          <w:color w:val="auto"/>
          <w:sz w:val="24"/>
          <w:szCs w:val="24"/>
          <w:highlight w:val="none"/>
        </w:rPr>
        <w:t>中标候选人</w:t>
      </w:r>
      <w:r>
        <w:rPr>
          <w:rFonts w:hint="eastAsia" w:ascii="宋体"/>
          <w:color w:val="auto"/>
          <w:kern w:val="2"/>
          <w:sz w:val="24"/>
          <w:szCs w:val="24"/>
          <w:highlight w:val="none"/>
        </w:rPr>
        <w:t xml:space="preserve">及其他事宜； </w:t>
      </w:r>
    </w:p>
    <w:p>
      <w:pPr>
        <w:numPr>
          <w:ilvl w:val="5"/>
          <w:numId w:val="4"/>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澄清、说明、补正事项的纪要。 </w:t>
      </w:r>
    </w:p>
    <w:p>
      <w:pPr>
        <w:tabs>
          <w:tab w:val="left" w:pos="510"/>
        </w:tabs>
        <w:adjustRightInd/>
        <w:spacing w:line="420" w:lineRule="exact"/>
        <w:ind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9.2评标报告由评标委员会全体成员签字。对评标结论持有异议的，评标委员会成员可以书面方式阐述其不同意见和理由。评标委员会成员拒绝在评标报告上签字且不陈述其不同意见和理由的，视为同意评标结论，并由评标委员会作出书面说明并存档。</w:t>
      </w:r>
    </w:p>
    <w:p>
      <w:pPr>
        <w:adjustRightInd/>
        <w:spacing w:line="420" w:lineRule="exact"/>
        <w:ind w:left="510"/>
        <w:textAlignment w:val="auto"/>
        <w:outlineLvl w:val="2"/>
        <w:rPr>
          <w:rFonts w:ascii="宋体"/>
          <w:b/>
          <w:color w:val="auto"/>
          <w:kern w:val="2"/>
          <w:sz w:val="28"/>
          <w:szCs w:val="28"/>
          <w:highlight w:val="none"/>
        </w:rPr>
      </w:pPr>
      <w:bookmarkStart w:id="783" w:name="_Toc25532"/>
      <w:bookmarkStart w:id="784" w:name="_Toc2979"/>
      <w:bookmarkStart w:id="785" w:name="_Toc29613"/>
      <w:bookmarkStart w:id="786" w:name="_Toc25602"/>
      <w:bookmarkStart w:id="787" w:name="_Toc16732"/>
      <w:bookmarkStart w:id="788" w:name="_Toc174"/>
      <w:bookmarkStart w:id="789" w:name="_Toc31693"/>
      <w:bookmarkStart w:id="790" w:name="_Toc5459"/>
      <w:bookmarkStart w:id="791" w:name="_Toc21537"/>
      <w:bookmarkStart w:id="792" w:name="_Toc27051"/>
      <w:bookmarkStart w:id="793" w:name="_Toc23291"/>
      <w:bookmarkStart w:id="794" w:name="_Toc10920"/>
      <w:bookmarkStart w:id="795" w:name="_Toc27331"/>
      <w:bookmarkStart w:id="796" w:name="_Toc272"/>
      <w:bookmarkStart w:id="797" w:name="_Toc3260"/>
      <w:bookmarkStart w:id="798" w:name="_Toc15948"/>
      <w:bookmarkStart w:id="799" w:name="_Toc27982"/>
      <w:bookmarkStart w:id="800" w:name="_Toc19925"/>
      <w:bookmarkStart w:id="801" w:name="_Toc5727"/>
      <w:bookmarkStart w:id="802" w:name="_Toc31758"/>
      <w:bookmarkStart w:id="803" w:name="_Toc4175"/>
      <w:bookmarkStart w:id="804" w:name="_Toc2019"/>
      <w:bookmarkStart w:id="805" w:name="_Toc31036"/>
      <w:bookmarkStart w:id="806" w:name="_Toc7690"/>
      <w:bookmarkStart w:id="807" w:name="_Toc32453"/>
      <w:bookmarkStart w:id="808" w:name="_Toc26979"/>
      <w:bookmarkStart w:id="809" w:name="_Toc12842"/>
      <w:bookmarkStart w:id="810" w:name="_Toc226"/>
      <w:bookmarkStart w:id="811" w:name="_Toc8141"/>
      <w:r>
        <w:rPr>
          <w:rFonts w:hint="eastAsia" w:ascii="宋体"/>
          <w:b/>
          <w:color w:val="auto"/>
          <w:kern w:val="2"/>
          <w:sz w:val="28"/>
          <w:szCs w:val="28"/>
          <w:highlight w:val="none"/>
        </w:rPr>
        <w:t>10.附则</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tabs>
          <w:tab w:val="left" w:pos="510"/>
        </w:tabs>
        <w:adjustRightInd/>
        <w:spacing w:line="420" w:lineRule="exact"/>
        <w:ind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10.1在评标过程中，有关评标委员会要求投标人作出澄清的，授权委托书中联系及传真方式作为投标单位未派人员到场的询标联系方式，投标人应在收到询标函后30分钟内作出书面回复，联系不上或逾期未回复视作自动放弃澄清和说明的权利，评标委员会可以作出不利于投标人的决定。</w:t>
      </w:r>
    </w:p>
    <w:p>
      <w:pPr>
        <w:tabs>
          <w:tab w:val="left" w:pos="510"/>
        </w:tabs>
        <w:adjustRightInd/>
        <w:spacing w:line="420" w:lineRule="exact"/>
        <w:ind w:left="30" w:firstLine="480"/>
        <w:textAlignment w:val="auto"/>
        <w:rPr>
          <w:rFonts w:hint="eastAsia" w:ascii="宋体"/>
          <w:color w:val="auto"/>
          <w:kern w:val="2"/>
          <w:sz w:val="24"/>
          <w:szCs w:val="24"/>
          <w:highlight w:val="none"/>
        </w:rPr>
      </w:pPr>
      <w:r>
        <w:rPr>
          <w:rFonts w:hint="eastAsia" w:ascii="宋体"/>
          <w:color w:val="auto"/>
          <w:kern w:val="2"/>
          <w:sz w:val="24"/>
          <w:szCs w:val="24"/>
          <w:highlight w:val="none"/>
        </w:rPr>
        <w:t>10.2投标人应对所递交的投标文件以及与投标有关的证明资料的真实性合法性负责，若以弄虚作假骗取中标的，中标无效，给</w:t>
      </w:r>
      <w:r>
        <w:rPr>
          <w:rFonts w:hint="eastAsia" w:ascii="宋体" w:hAnsi="宋体" w:cs="Arial"/>
          <w:bCs/>
          <w:color w:val="auto"/>
          <w:sz w:val="24"/>
          <w:highlight w:val="none"/>
        </w:rPr>
        <w:t>招标人</w:t>
      </w:r>
      <w:r>
        <w:rPr>
          <w:rFonts w:hint="eastAsia" w:ascii="宋体"/>
          <w:color w:val="auto"/>
          <w:kern w:val="2"/>
          <w:sz w:val="24"/>
          <w:szCs w:val="24"/>
          <w:highlight w:val="none"/>
        </w:rPr>
        <w:t>造成损失的依法承担赔偿责任。</w:t>
      </w:r>
    </w:p>
    <w:p>
      <w:pPr>
        <w:tabs>
          <w:tab w:val="left" w:pos="510"/>
        </w:tabs>
        <w:adjustRightInd/>
        <w:spacing w:line="420" w:lineRule="exact"/>
        <w:ind w:left="30" w:firstLine="480"/>
        <w:textAlignment w:val="auto"/>
        <w:rPr>
          <w:rFonts w:hint="eastAsia" w:ascii="宋体"/>
          <w:color w:val="auto"/>
          <w:kern w:val="2"/>
          <w:sz w:val="24"/>
          <w:szCs w:val="24"/>
          <w:highlight w:val="none"/>
        </w:rPr>
      </w:pPr>
    </w:p>
    <w:p>
      <w:pPr>
        <w:adjustRightInd/>
        <w:spacing w:line="360" w:lineRule="auto"/>
        <w:textAlignment w:val="auto"/>
        <w:outlineLvl w:val="1"/>
        <w:rPr>
          <w:rFonts w:ascii="Arial" w:hAnsi="Arial" w:eastAsia="黑体"/>
          <w:b/>
          <w:bCs/>
          <w:color w:val="auto"/>
          <w:sz w:val="32"/>
          <w:szCs w:val="32"/>
          <w:highlight w:val="none"/>
        </w:rPr>
      </w:pPr>
      <w:bookmarkStart w:id="812" w:name="_Toc3333"/>
      <w:bookmarkStart w:id="813" w:name="_Toc274"/>
      <w:bookmarkStart w:id="814" w:name="_Toc19640"/>
      <w:bookmarkStart w:id="815" w:name="_Toc14800"/>
      <w:bookmarkStart w:id="816" w:name="_Toc22033"/>
      <w:bookmarkStart w:id="817" w:name="_Toc5645"/>
      <w:bookmarkStart w:id="818" w:name="_Toc10647"/>
      <w:bookmarkStart w:id="819" w:name="_Toc1457"/>
      <w:bookmarkStart w:id="820" w:name="_Toc279"/>
      <w:bookmarkStart w:id="821" w:name="_Toc29491"/>
      <w:bookmarkStart w:id="822" w:name="_Toc30038"/>
      <w:bookmarkStart w:id="823" w:name="_Toc25656"/>
      <w:bookmarkStart w:id="824" w:name="_Toc15175"/>
      <w:bookmarkStart w:id="825" w:name="_Toc10436"/>
      <w:bookmarkStart w:id="826" w:name="_Toc13520"/>
      <w:bookmarkStart w:id="827" w:name="_Toc24700"/>
      <w:bookmarkStart w:id="828" w:name="_Toc20284"/>
      <w:bookmarkStart w:id="829" w:name="_Toc28195"/>
      <w:bookmarkStart w:id="830" w:name="_Toc7108"/>
      <w:bookmarkStart w:id="831" w:name="_Toc27198"/>
      <w:bookmarkStart w:id="832" w:name="_Toc28539"/>
      <w:bookmarkStart w:id="833" w:name="_Toc30972"/>
      <w:bookmarkStart w:id="834" w:name="_Toc2079"/>
      <w:bookmarkStart w:id="835" w:name="_Toc3634"/>
      <w:bookmarkStart w:id="836" w:name="_Toc24465"/>
      <w:bookmarkStart w:id="837" w:name="_Toc16183"/>
      <w:bookmarkStart w:id="838" w:name="_Toc18070"/>
      <w:bookmarkStart w:id="839" w:name="_Toc519114466"/>
      <w:bookmarkStart w:id="840" w:name="_Toc300038986"/>
      <w:bookmarkStart w:id="841" w:name="_Toc300038997"/>
      <w:r>
        <w:rPr>
          <w:rFonts w:hint="eastAsia" w:ascii="Arial" w:hAnsi="Arial" w:eastAsia="黑体"/>
          <w:b/>
          <w:bCs/>
          <w:color w:val="auto"/>
          <w:sz w:val="32"/>
          <w:szCs w:val="32"/>
          <w:highlight w:val="none"/>
        </w:rPr>
        <w:t>二、评分标准（综合评估法）</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pPr>
        <w:adjustRightInd/>
        <w:spacing w:line="420" w:lineRule="exact"/>
        <w:textAlignment w:val="auto"/>
        <w:outlineLvl w:val="2"/>
        <w:rPr>
          <w:rFonts w:ascii="宋体"/>
          <w:b/>
          <w:color w:val="auto"/>
          <w:kern w:val="2"/>
          <w:sz w:val="28"/>
          <w:szCs w:val="28"/>
          <w:highlight w:val="none"/>
        </w:rPr>
      </w:pPr>
      <w:bookmarkStart w:id="842" w:name="_Toc61367721"/>
      <w:bookmarkStart w:id="843" w:name="_Toc19939"/>
      <w:bookmarkStart w:id="844" w:name="_Toc14947"/>
      <w:bookmarkStart w:id="845" w:name="_Toc23352"/>
      <w:bookmarkStart w:id="846" w:name="_Toc25209"/>
      <w:bookmarkStart w:id="847" w:name="_Toc5354"/>
      <w:bookmarkStart w:id="848" w:name="_Toc8265"/>
      <w:bookmarkStart w:id="849" w:name="_Toc10398"/>
      <w:bookmarkStart w:id="850" w:name="_Toc29185"/>
      <w:bookmarkStart w:id="851" w:name="_Toc15978"/>
      <w:bookmarkStart w:id="852" w:name="_Toc23096"/>
      <w:bookmarkStart w:id="853" w:name="_Toc14922"/>
      <w:bookmarkStart w:id="854" w:name="_Toc23907"/>
      <w:bookmarkStart w:id="855" w:name="_Toc2106"/>
      <w:bookmarkStart w:id="856" w:name="_Toc22047"/>
      <w:bookmarkStart w:id="857" w:name="_Toc1922"/>
      <w:bookmarkStart w:id="858" w:name="_Toc29073"/>
      <w:bookmarkStart w:id="859" w:name="_Toc22626"/>
      <w:bookmarkStart w:id="860" w:name="_Toc2297"/>
      <w:bookmarkStart w:id="861" w:name="_Toc26202"/>
      <w:bookmarkStart w:id="862" w:name="_Toc25462"/>
      <w:bookmarkStart w:id="863" w:name="_Toc15867"/>
      <w:bookmarkStart w:id="864" w:name="_Toc30776"/>
      <w:bookmarkStart w:id="865" w:name="_Toc27869"/>
      <w:bookmarkStart w:id="866" w:name="_Toc16149"/>
      <w:bookmarkStart w:id="867" w:name="_Toc25042"/>
      <w:bookmarkStart w:id="868" w:name="_Toc32023"/>
      <w:bookmarkStart w:id="869" w:name="_Toc10830"/>
      <w:r>
        <w:rPr>
          <w:rFonts w:hint="eastAsia" w:ascii="宋体"/>
          <w:b/>
          <w:color w:val="auto"/>
          <w:kern w:val="2"/>
          <w:sz w:val="28"/>
          <w:szCs w:val="28"/>
          <w:highlight w:val="none"/>
        </w:rPr>
        <w:t>（一）技术标评分标准</w:t>
      </w:r>
      <w:bookmarkEnd w:id="842"/>
      <w:r>
        <w:rPr>
          <w:rFonts w:hint="eastAsia" w:ascii="宋体"/>
          <w:b/>
          <w:color w:val="auto"/>
          <w:kern w:val="2"/>
          <w:sz w:val="28"/>
          <w:szCs w:val="28"/>
          <w:highlight w:val="none"/>
        </w:rPr>
        <w:t>（</w:t>
      </w:r>
      <w:r>
        <w:rPr>
          <w:rFonts w:hint="eastAsia" w:ascii="宋体"/>
          <w:b/>
          <w:color w:val="auto"/>
          <w:kern w:val="2"/>
          <w:sz w:val="28"/>
          <w:szCs w:val="28"/>
          <w:highlight w:val="none"/>
          <w:lang w:val="en-US" w:eastAsia="zh-CN"/>
        </w:rPr>
        <w:t>51</w:t>
      </w:r>
      <w:r>
        <w:rPr>
          <w:rFonts w:hint="eastAsia" w:ascii="宋体"/>
          <w:b/>
          <w:color w:val="auto"/>
          <w:kern w:val="2"/>
          <w:sz w:val="28"/>
          <w:szCs w:val="28"/>
          <w:highlight w:val="none"/>
        </w:rPr>
        <w:t>分）</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tbl>
      <w:tblPr>
        <w:tblStyle w:val="26"/>
        <w:tblpPr w:leftFromText="180" w:rightFromText="180" w:vertAnchor="text" w:horzAnchor="margin" w:tblpX="1" w:tblpY="324"/>
        <w:tblOverlap w:val="never"/>
        <w:tblW w:w="100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1987"/>
        <w:gridCol w:w="5013"/>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blHeader/>
        </w:trPr>
        <w:tc>
          <w:tcPr>
            <w:tcW w:w="1027" w:type="dxa"/>
            <w:vAlign w:val="center"/>
          </w:tcPr>
          <w:p>
            <w:pPr>
              <w:snapToGrid w:val="0"/>
              <w:jc w:val="center"/>
              <w:rPr>
                <w:rFonts w:hint="eastAsia" w:asciiTheme="minorEastAsia" w:hAnsiTheme="minorEastAsia" w:eastAsiaTheme="minorEastAsia"/>
                <w:b/>
                <w:bCs/>
                <w:color w:val="auto"/>
                <w:sz w:val="24"/>
                <w:szCs w:val="24"/>
                <w:highlight w:val="none"/>
                <w:lang w:val="en-US" w:eastAsia="zh-CN"/>
              </w:rPr>
            </w:pPr>
            <w:r>
              <w:rPr>
                <w:rFonts w:hint="eastAsia" w:asciiTheme="minorEastAsia" w:hAnsiTheme="minorEastAsia" w:eastAsiaTheme="minorEastAsia"/>
                <w:b/>
                <w:bCs/>
                <w:color w:val="auto"/>
                <w:sz w:val="24"/>
                <w:szCs w:val="24"/>
                <w:highlight w:val="none"/>
                <w:lang w:val="en-US" w:eastAsia="zh-CN"/>
              </w:rPr>
              <w:t>序号</w:t>
            </w:r>
          </w:p>
        </w:tc>
        <w:tc>
          <w:tcPr>
            <w:tcW w:w="1987" w:type="dxa"/>
            <w:vAlign w:val="center"/>
          </w:tcPr>
          <w:p>
            <w:pPr>
              <w:snapToGrid w:val="0"/>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评审内容</w:t>
            </w:r>
          </w:p>
        </w:tc>
        <w:tc>
          <w:tcPr>
            <w:tcW w:w="5013" w:type="dxa"/>
            <w:vAlign w:val="center"/>
          </w:tcPr>
          <w:p>
            <w:pPr>
              <w:snapToGrid w:val="0"/>
              <w:ind w:firstLine="723" w:firstLineChars="300"/>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评分标准</w:t>
            </w:r>
          </w:p>
        </w:tc>
        <w:tc>
          <w:tcPr>
            <w:tcW w:w="1980" w:type="dxa"/>
            <w:vAlign w:val="center"/>
          </w:tcPr>
          <w:p>
            <w:pPr>
              <w:snapToGrid w:val="0"/>
              <w:ind w:firstLine="241" w:firstLineChars="100"/>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分 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5" w:hRule="atLeast"/>
        </w:trPr>
        <w:tc>
          <w:tcPr>
            <w:tcW w:w="1027" w:type="dxa"/>
            <w:vAlign w:val="center"/>
          </w:tcPr>
          <w:p>
            <w:pPr>
              <w:jc w:val="center"/>
              <w:rPr>
                <w:rFonts w:hint="eastAsia" w:ascii="宋体" w:hAnsi="宋体" w:eastAsia="宋体" w:cs="宋体"/>
                <w:b/>
                <w:bCs/>
                <w:snapToGrid w:val="0"/>
                <w:color w:val="auto"/>
                <w:sz w:val="24"/>
                <w:szCs w:val="24"/>
                <w:highlight w:val="none"/>
                <w:lang w:val="en-US" w:eastAsia="zh-CN"/>
              </w:rPr>
            </w:pPr>
            <w:r>
              <w:rPr>
                <w:rFonts w:hint="eastAsia" w:ascii="宋体" w:hAnsi="宋体" w:cs="宋体"/>
                <w:b/>
                <w:bCs/>
                <w:snapToGrid w:val="0"/>
                <w:color w:val="auto"/>
                <w:sz w:val="24"/>
                <w:szCs w:val="24"/>
                <w:highlight w:val="none"/>
                <w:lang w:val="en-US" w:eastAsia="zh-CN"/>
              </w:rPr>
              <w:t>1</w:t>
            </w:r>
          </w:p>
        </w:tc>
        <w:tc>
          <w:tcPr>
            <w:tcW w:w="1987" w:type="dxa"/>
            <w:vAlign w:val="center"/>
          </w:tcPr>
          <w:p>
            <w:pPr>
              <w:jc w:val="center"/>
              <w:rPr>
                <w:rFonts w:hint="eastAsia" w:ascii="宋体" w:hAnsi="宋体" w:cs="宋体"/>
                <w:b/>
                <w:bCs/>
                <w:snapToGrid w:val="0"/>
                <w:color w:val="auto"/>
                <w:sz w:val="24"/>
                <w:szCs w:val="24"/>
                <w:highlight w:val="none"/>
              </w:rPr>
            </w:pPr>
            <w:r>
              <w:rPr>
                <w:rFonts w:hint="eastAsia" w:ascii="宋体" w:hAnsi="宋体" w:cs="宋体"/>
                <w:b/>
                <w:bCs/>
                <w:snapToGrid w:val="0"/>
                <w:color w:val="auto"/>
                <w:sz w:val="24"/>
                <w:szCs w:val="24"/>
                <w:highlight w:val="none"/>
              </w:rPr>
              <w:t xml:space="preserve">全过程工程咨询服务总纲 </w:t>
            </w:r>
          </w:p>
          <w:p>
            <w:pPr>
              <w:jc w:val="center"/>
              <w:rPr>
                <w:rFonts w:ascii="宋体" w:hAnsi="宋体" w:cs="宋体"/>
                <w:b/>
                <w:bCs/>
                <w:snapToGrid w:val="0"/>
                <w:color w:val="auto"/>
                <w:sz w:val="24"/>
                <w:szCs w:val="24"/>
                <w:highlight w:val="none"/>
              </w:rPr>
            </w:pPr>
            <w:r>
              <w:rPr>
                <w:rFonts w:hint="eastAsia" w:ascii="宋体" w:hAnsi="宋体" w:cs="宋体"/>
                <w:b/>
                <w:bCs/>
                <w:snapToGrid w:val="0"/>
                <w:color w:val="auto"/>
                <w:sz w:val="24"/>
                <w:szCs w:val="24"/>
                <w:highlight w:val="none"/>
              </w:rPr>
              <w:t>（方案）</w:t>
            </w:r>
          </w:p>
          <w:p>
            <w:pPr>
              <w:jc w:val="center"/>
              <w:rPr>
                <w:rFonts w:asciiTheme="minorEastAsia" w:hAnsiTheme="minorEastAsia" w:eastAsiaTheme="minorEastAsia"/>
                <w:b/>
                <w:color w:val="auto"/>
                <w:sz w:val="24"/>
                <w:szCs w:val="24"/>
                <w:highlight w:val="none"/>
              </w:rPr>
            </w:pPr>
            <w:r>
              <w:rPr>
                <w:rFonts w:hint="eastAsia" w:ascii="宋体" w:hAnsi="宋体" w:cs="宋体"/>
                <w:b/>
                <w:bCs/>
                <w:snapToGrid w:val="0"/>
                <w:color w:val="auto"/>
                <w:sz w:val="24"/>
                <w:szCs w:val="24"/>
                <w:highlight w:val="none"/>
              </w:rPr>
              <w:t>（8分）</w:t>
            </w:r>
          </w:p>
        </w:tc>
        <w:tc>
          <w:tcPr>
            <w:tcW w:w="5013" w:type="dxa"/>
            <w:vAlign w:val="center"/>
          </w:tcPr>
          <w:p>
            <w:pPr>
              <w:pStyle w:val="39"/>
              <w:spacing w:line="0" w:lineRule="atLeast"/>
              <w:jc w:val="both"/>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针对本项</w:t>
            </w:r>
            <w:r>
              <w:rPr>
                <w:rFonts w:hint="eastAsia" w:cs="宋体"/>
                <w:snapToGrid w:val="0"/>
                <w:color w:val="auto"/>
                <w:szCs w:val="24"/>
                <w:highlight w:val="none"/>
              </w:rPr>
              <w:t>目</w:t>
            </w:r>
            <w:r>
              <w:rPr>
                <w:rFonts w:hint="eastAsia" w:asciiTheme="minorEastAsia" w:hAnsiTheme="minorEastAsia" w:eastAsiaTheme="minorEastAsia"/>
                <w:color w:val="auto"/>
                <w:szCs w:val="24"/>
                <w:highlight w:val="none"/>
              </w:rPr>
              <w:t>全过程工程咨询服务总纲（方案）内容的齐全性、结构的完整性、是否突出重点、是否符合规范、针对性方面。</w:t>
            </w:r>
          </w:p>
          <w:p>
            <w:pPr>
              <w:pStyle w:val="39"/>
              <w:snapToGrid w:val="0"/>
              <w:spacing w:line="0" w:lineRule="atLeas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Cs w:val="24"/>
                <w:highlight w:val="none"/>
              </w:rPr>
              <w:t>满分8分，由专家综合评审打分。</w:t>
            </w:r>
          </w:p>
        </w:tc>
        <w:tc>
          <w:tcPr>
            <w:tcW w:w="1980" w:type="dxa"/>
            <w:vAlign w:val="center"/>
          </w:tcPr>
          <w:p>
            <w:pPr>
              <w:pStyle w:val="39"/>
              <w:widowControl w:val="0"/>
              <w:spacing w:line="380" w:lineRule="exact"/>
              <w:jc w:val="center"/>
              <w:rPr>
                <w:color w:val="auto"/>
                <w:highlight w:val="none"/>
                <w:lang w:val="en-US"/>
              </w:rPr>
            </w:pPr>
            <w:r>
              <w:rPr>
                <w:color w:val="auto"/>
                <w:highlight w:val="none"/>
              </w:rPr>
              <w:t>优</w:t>
            </w:r>
            <w:r>
              <w:rPr>
                <w:rFonts w:hint="eastAsia"/>
                <w:color w:val="auto"/>
                <w:highlight w:val="none"/>
                <w:lang w:val="en-US"/>
              </w:rPr>
              <w:t>［6.0</w:t>
            </w:r>
            <w:r>
              <w:rPr>
                <w:color w:val="auto"/>
                <w:highlight w:val="none"/>
                <w:lang w:val="en-US"/>
              </w:rPr>
              <w:t>-</w:t>
            </w:r>
            <w:r>
              <w:rPr>
                <w:rFonts w:hint="eastAsia"/>
                <w:color w:val="auto"/>
                <w:highlight w:val="none"/>
                <w:lang w:val="en-US"/>
              </w:rPr>
              <w:t>8.0</w:t>
            </w:r>
            <w:r>
              <w:rPr>
                <w:color w:val="auto"/>
                <w:sz w:val="28"/>
                <w:szCs w:val="24"/>
                <w:highlight w:val="none"/>
                <w:lang w:val="en-US"/>
              </w:rPr>
              <w:t>]</w:t>
            </w:r>
            <w:r>
              <w:rPr>
                <w:color w:val="auto"/>
                <w:highlight w:val="none"/>
              </w:rPr>
              <w:t>分</w:t>
            </w:r>
          </w:p>
          <w:p>
            <w:pPr>
              <w:pStyle w:val="39"/>
              <w:widowControl w:val="0"/>
              <w:spacing w:line="380" w:lineRule="exact"/>
              <w:jc w:val="center"/>
              <w:rPr>
                <w:color w:val="auto"/>
                <w:highlight w:val="none"/>
                <w:lang w:val="en-US"/>
              </w:rPr>
            </w:pPr>
            <w:r>
              <w:rPr>
                <w:color w:val="auto"/>
                <w:highlight w:val="none"/>
              </w:rPr>
              <w:t>良</w:t>
            </w:r>
            <w:r>
              <w:rPr>
                <w:rFonts w:hint="eastAsia"/>
                <w:color w:val="auto"/>
                <w:highlight w:val="none"/>
                <w:lang w:val="en-US"/>
              </w:rPr>
              <w:t>［4.0</w:t>
            </w:r>
            <w:r>
              <w:rPr>
                <w:color w:val="auto"/>
                <w:highlight w:val="none"/>
                <w:lang w:val="en-US"/>
              </w:rPr>
              <w:t>-</w:t>
            </w:r>
            <w:r>
              <w:rPr>
                <w:rFonts w:hint="eastAsia"/>
                <w:color w:val="auto"/>
                <w:highlight w:val="none"/>
                <w:lang w:val="en-US" w:eastAsia="zh-CN"/>
              </w:rPr>
              <w:t>6.0</w:t>
            </w:r>
            <w:r>
              <w:rPr>
                <w:color w:val="auto"/>
                <w:highlight w:val="none"/>
                <w:lang w:val="en-US"/>
              </w:rPr>
              <w:t>]</w:t>
            </w:r>
            <w:r>
              <w:rPr>
                <w:color w:val="auto"/>
                <w:highlight w:val="none"/>
              </w:rPr>
              <w:t>分</w:t>
            </w:r>
          </w:p>
          <w:p>
            <w:pPr>
              <w:pStyle w:val="39"/>
              <w:widowControl w:val="0"/>
              <w:spacing w:line="380" w:lineRule="exact"/>
              <w:jc w:val="center"/>
              <w:rPr>
                <w:color w:val="auto"/>
                <w:highlight w:val="none"/>
                <w:lang w:val="en-US"/>
              </w:rPr>
            </w:pPr>
            <w:r>
              <w:rPr>
                <w:rFonts w:hint="eastAsia"/>
                <w:color w:val="auto"/>
                <w:highlight w:val="none"/>
                <w:lang w:val="en-US"/>
              </w:rPr>
              <w:t>差［2.0</w:t>
            </w:r>
            <w:r>
              <w:rPr>
                <w:color w:val="auto"/>
                <w:highlight w:val="none"/>
                <w:lang w:val="en-US"/>
              </w:rPr>
              <w:t>-</w:t>
            </w:r>
            <w:r>
              <w:rPr>
                <w:rFonts w:hint="eastAsia"/>
                <w:color w:val="auto"/>
                <w:highlight w:val="none"/>
                <w:lang w:val="en-US" w:eastAsia="zh-CN"/>
              </w:rPr>
              <w:t>4.0</w:t>
            </w:r>
            <w:r>
              <w:rPr>
                <w:color w:val="auto"/>
                <w:highlight w:val="none"/>
                <w:lang w:val="en-US"/>
              </w:rPr>
              <w:t>]</w:t>
            </w:r>
            <w:r>
              <w:rPr>
                <w:color w:val="auto"/>
                <w:highlight w:val="none"/>
              </w:rPr>
              <w:t>分</w:t>
            </w:r>
          </w:p>
          <w:p>
            <w:pPr>
              <w:snapToGrid w:val="0"/>
              <w:rPr>
                <w:rFonts w:ascii="宋体" w:hAnsi="宋体" w:cs="宋体"/>
                <w:snapToGrid w:val="0"/>
                <w:color w:val="auto"/>
                <w:sz w:val="24"/>
                <w:szCs w:val="24"/>
                <w:highlight w:val="none"/>
              </w:rPr>
            </w:pPr>
            <w:r>
              <w:rPr>
                <w:rFonts w:hint="eastAsia" w:ascii="宋体" w:hAnsi="宋体"/>
                <w:color w:val="auto"/>
                <w:sz w:val="24"/>
                <w:szCs w:val="22"/>
                <w:highlight w:val="none"/>
              </w:rPr>
              <w:t>未提供的</w:t>
            </w:r>
            <w:r>
              <w:rPr>
                <w:rFonts w:hint="eastAsia" w:ascii="宋体" w:hAnsi="宋体"/>
                <w:color w:val="auto"/>
                <w:sz w:val="24"/>
                <w:szCs w:val="22"/>
                <w:highlight w:val="none"/>
                <w:lang w:val="zh-CN"/>
              </w:rPr>
              <w:t>得</w:t>
            </w:r>
            <w:r>
              <w:rPr>
                <w:rFonts w:ascii="宋体" w:hAnsi="宋体"/>
                <w:color w:val="auto"/>
                <w:sz w:val="24"/>
                <w:szCs w:val="22"/>
                <w:highlight w:val="none"/>
              </w:rPr>
              <w:t>0</w:t>
            </w:r>
            <w:r>
              <w:rPr>
                <w:rFonts w:hint="eastAsia" w:ascii="宋体" w:hAnsi="宋体"/>
                <w:color w:val="auto"/>
                <w:sz w:val="24"/>
                <w:szCs w:val="22"/>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4" w:hRule="atLeast"/>
        </w:trPr>
        <w:tc>
          <w:tcPr>
            <w:tcW w:w="1027" w:type="dxa"/>
            <w:vAlign w:val="center"/>
          </w:tcPr>
          <w:p>
            <w:pPr>
              <w:spacing w:line="360" w:lineRule="exact"/>
              <w:jc w:val="center"/>
              <w:rPr>
                <w:rFonts w:hint="eastAsia" w:ascii="宋体" w:hAnsi="宋体" w:eastAsia="宋体" w:cs="宋体"/>
                <w:b/>
                <w:bCs/>
                <w:snapToGrid w:val="0"/>
                <w:color w:val="auto"/>
                <w:sz w:val="24"/>
                <w:szCs w:val="24"/>
                <w:highlight w:val="none"/>
                <w:lang w:val="en-US" w:eastAsia="zh-CN"/>
              </w:rPr>
            </w:pPr>
            <w:r>
              <w:rPr>
                <w:rFonts w:hint="eastAsia" w:ascii="宋体" w:hAnsi="宋体" w:cs="宋体"/>
                <w:b/>
                <w:bCs/>
                <w:snapToGrid w:val="0"/>
                <w:color w:val="auto"/>
                <w:sz w:val="24"/>
                <w:szCs w:val="24"/>
                <w:highlight w:val="none"/>
                <w:lang w:val="en-US" w:eastAsia="zh-CN"/>
              </w:rPr>
              <w:t>2</w:t>
            </w:r>
          </w:p>
        </w:tc>
        <w:tc>
          <w:tcPr>
            <w:tcW w:w="1987" w:type="dxa"/>
            <w:vAlign w:val="center"/>
          </w:tcPr>
          <w:p>
            <w:pPr>
              <w:jc w:val="center"/>
              <w:rPr>
                <w:rFonts w:ascii="宋体" w:hAnsi="宋体" w:cs="宋体"/>
                <w:b/>
                <w:bCs/>
                <w:snapToGrid w:val="0"/>
                <w:color w:val="auto"/>
                <w:sz w:val="24"/>
                <w:szCs w:val="24"/>
                <w:highlight w:val="none"/>
              </w:rPr>
            </w:pPr>
            <w:r>
              <w:rPr>
                <w:rFonts w:hint="eastAsia" w:ascii="宋体" w:hAnsi="宋体" w:cs="宋体"/>
                <w:b/>
                <w:bCs/>
                <w:snapToGrid w:val="0"/>
                <w:color w:val="auto"/>
                <w:sz w:val="24"/>
                <w:szCs w:val="24"/>
                <w:highlight w:val="none"/>
              </w:rPr>
              <w:sym w:font="Wingdings 2" w:char="0052"/>
            </w:r>
            <w:r>
              <w:rPr>
                <w:rFonts w:hint="eastAsia" w:ascii="宋体" w:hAnsi="宋体" w:cs="宋体"/>
                <w:b/>
                <w:bCs/>
                <w:snapToGrid w:val="0"/>
                <w:color w:val="auto"/>
                <w:sz w:val="24"/>
                <w:szCs w:val="24"/>
                <w:highlight w:val="none"/>
              </w:rPr>
              <w:t>项目管理工作方案</w:t>
            </w:r>
          </w:p>
          <w:p>
            <w:pPr>
              <w:spacing w:line="360" w:lineRule="exact"/>
              <w:jc w:val="center"/>
              <w:rPr>
                <w:rFonts w:asciiTheme="minorEastAsia" w:hAnsiTheme="minorEastAsia" w:eastAsiaTheme="minorEastAsia"/>
                <w:b/>
                <w:color w:val="auto"/>
                <w:sz w:val="24"/>
                <w:szCs w:val="24"/>
                <w:highlight w:val="none"/>
              </w:rPr>
            </w:pPr>
            <w:r>
              <w:rPr>
                <w:rFonts w:hint="eastAsia" w:ascii="宋体" w:hAnsi="宋体" w:cs="宋体"/>
                <w:b/>
                <w:bCs/>
                <w:snapToGrid w:val="0"/>
                <w:color w:val="auto"/>
                <w:sz w:val="24"/>
                <w:szCs w:val="24"/>
                <w:highlight w:val="none"/>
              </w:rPr>
              <w:t>（8分）</w:t>
            </w:r>
          </w:p>
        </w:tc>
        <w:tc>
          <w:tcPr>
            <w:tcW w:w="5013" w:type="dxa"/>
            <w:vAlign w:val="center"/>
          </w:tcPr>
          <w:p>
            <w:pPr>
              <w:pStyle w:val="39"/>
              <w:spacing w:line="0" w:lineRule="atLeast"/>
              <w:jc w:val="both"/>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针对本项目全过程工程咨询服务项目策划管理、报建报批</w:t>
            </w:r>
            <w:r>
              <w:rPr>
                <w:rFonts w:hint="eastAsia" w:asciiTheme="minorEastAsia" w:hAnsiTheme="minorEastAsia" w:eastAsiaTheme="minorEastAsia"/>
                <w:color w:val="auto"/>
                <w:szCs w:val="24"/>
                <w:highlight w:val="none"/>
                <w:lang w:eastAsia="zh-CN"/>
              </w:rPr>
              <w:t>、</w:t>
            </w:r>
            <w:r>
              <w:rPr>
                <w:rFonts w:hint="eastAsia" w:asciiTheme="minorEastAsia" w:hAnsiTheme="minorEastAsia" w:eastAsiaTheme="minorEastAsia"/>
                <w:color w:val="auto"/>
                <w:szCs w:val="24"/>
                <w:highlight w:val="none"/>
              </w:rPr>
              <w:t>合同管理、投资管理、招标采购管理、参建单位管理、验收管理以及质量、投资、计划、安全、信息、沟通、风险、人力资源等管理与协调等情况。</w:t>
            </w:r>
          </w:p>
          <w:p>
            <w:pPr>
              <w:pStyle w:val="39"/>
              <w:spacing w:line="0" w:lineRule="atLeast"/>
              <w:jc w:val="both"/>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满分8分，由专家综合评审打分。</w:t>
            </w:r>
          </w:p>
        </w:tc>
        <w:tc>
          <w:tcPr>
            <w:tcW w:w="1980" w:type="dxa"/>
            <w:vAlign w:val="center"/>
          </w:tcPr>
          <w:p>
            <w:pPr>
              <w:pStyle w:val="39"/>
              <w:widowControl w:val="0"/>
              <w:spacing w:line="380" w:lineRule="exact"/>
              <w:jc w:val="center"/>
              <w:rPr>
                <w:color w:val="auto"/>
                <w:highlight w:val="none"/>
                <w:lang w:val="en-US"/>
              </w:rPr>
            </w:pPr>
            <w:r>
              <w:rPr>
                <w:color w:val="auto"/>
                <w:highlight w:val="none"/>
              </w:rPr>
              <w:t>优</w:t>
            </w:r>
            <w:r>
              <w:rPr>
                <w:rFonts w:hint="eastAsia"/>
                <w:color w:val="auto"/>
                <w:highlight w:val="none"/>
                <w:lang w:val="en-US"/>
              </w:rPr>
              <w:t>［6.0</w:t>
            </w:r>
            <w:r>
              <w:rPr>
                <w:color w:val="auto"/>
                <w:highlight w:val="none"/>
                <w:lang w:val="en-US"/>
              </w:rPr>
              <w:t>-</w:t>
            </w:r>
            <w:r>
              <w:rPr>
                <w:rFonts w:hint="eastAsia"/>
                <w:color w:val="auto"/>
                <w:highlight w:val="none"/>
                <w:lang w:val="en-US"/>
              </w:rPr>
              <w:t>8.0</w:t>
            </w:r>
            <w:r>
              <w:rPr>
                <w:color w:val="auto"/>
                <w:sz w:val="28"/>
                <w:szCs w:val="24"/>
                <w:highlight w:val="none"/>
                <w:lang w:val="en-US"/>
              </w:rPr>
              <w:t>]</w:t>
            </w:r>
            <w:r>
              <w:rPr>
                <w:color w:val="auto"/>
                <w:highlight w:val="none"/>
              </w:rPr>
              <w:t>分</w:t>
            </w:r>
          </w:p>
          <w:p>
            <w:pPr>
              <w:pStyle w:val="39"/>
              <w:widowControl w:val="0"/>
              <w:spacing w:line="380" w:lineRule="exact"/>
              <w:jc w:val="center"/>
              <w:rPr>
                <w:color w:val="auto"/>
                <w:highlight w:val="none"/>
                <w:lang w:val="en-US"/>
              </w:rPr>
            </w:pPr>
            <w:r>
              <w:rPr>
                <w:color w:val="auto"/>
                <w:highlight w:val="none"/>
              </w:rPr>
              <w:t>良</w:t>
            </w:r>
            <w:r>
              <w:rPr>
                <w:rFonts w:hint="eastAsia"/>
                <w:color w:val="auto"/>
                <w:highlight w:val="none"/>
                <w:lang w:val="en-US"/>
              </w:rPr>
              <w:t>［4.0</w:t>
            </w:r>
            <w:r>
              <w:rPr>
                <w:color w:val="auto"/>
                <w:highlight w:val="none"/>
                <w:lang w:val="en-US"/>
              </w:rPr>
              <w:t>-</w:t>
            </w:r>
            <w:r>
              <w:rPr>
                <w:rFonts w:hint="eastAsia"/>
                <w:color w:val="auto"/>
                <w:highlight w:val="none"/>
                <w:lang w:val="en-US" w:eastAsia="zh-CN"/>
              </w:rPr>
              <w:t>6.0</w:t>
            </w:r>
            <w:r>
              <w:rPr>
                <w:color w:val="auto"/>
                <w:highlight w:val="none"/>
                <w:lang w:val="en-US"/>
              </w:rPr>
              <w:t>]</w:t>
            </w:r>
            <w:r>
              <w:rPr>
                <w:color w:val="auto"/>
                <w:highlight w:val="none"/>
              </w:rPr>
              <w:t>分</w:t>
            </w:r>
          </w:p>
          <w:p>
            <w:pPr>
              <w:pStyle w:val="39"/>
              <w:widowControl w:val="0"/>
              <w:spacing w:line="380" w:lineRule="exact"/>
              <w:jc w:val="center"/>
              <w:rPr>
                <w:color w:val="auto"/>
                <w:highlight w:val="none"/>
                <w:lang w:val="en-US"/>
              </w:rPr>
            </w:pPr>
            <w:r>
              <w:rPr>
                <w:rFonts w:hint="eastAsia"/>
                <w:color w:val="auto"/>
                <w:highlight w:val="none"/>
                <w:lang w:val="en-US"/>
              </w:rPr>
              <w:t>差［2.0</w:t>
            </w:r>
            <w:r>
              <w:rPr>
                <w:color w:val="auto"/>
                <w:highlight w:val="none"/>
                <w:lang w:val="en-US"/>
              </w:rPr>
              <w:t>-</w:t>
            </w:r>
            <w:r>
              <w:rPr>
                <w:rFonts w:hint="eastAsia"/>
                <w:color w:val="auto"/>
                <w:highlight w:val="none"/>
                <w:lang w:val="en-US" w:eastAsia="zh-CN"/>
              </w:rPr>
              <w:t>4.0</w:t>
            </w:r>
            <w:r>
              <w:rPr>
                <w:color w:val="auto"/>
                <w:highlight w:val="none"/>
                <w:lang w:val="en-US"/>
              </w:rPr>
              <w:t>]</w:t>
            </w:r>
            <w:r>
              <w:rPr>
                <w:color w:val="auto"/>
                <w:highlight w:val="none"/>
              </w:rPr>
              <w:t>分</w:t>
            </w:r>
          </w:p>
          <w:p>
            <w:pPr>
              <w:spacing w:line="288" w:lineRule="auto"/>
              <w:jc w:val="left"/>
              <w:rPr>
                <w:rFonts w:ascii="宋体" w:hAnsi="宋体" w:cs="宋体"/>
                <w:snapToGrid w:val="0"/>
                <w:color w:val="auto"/>
                <w:sz w:val="24"/>
                <w:szCs w:val="24"/>
                <w:highlight w:val="none"/>
              </w:rPr>
            </w:pPr>
            <w:r>
              <w:rPr>
                <w:rFonts w:hint="eastAsia" w:ascii="宋体" w:hAnsi="宋体"/>
                <w:color w:val="auto"/>
                <w:sz w:val="24"/>
                <w:szCs w:val="22"/>
                <w:highlight w:val="none"/>
              </w:rPr>
              <w:t>未提供的</w:t>
            </w:r>
            <w:r>
              <w:rPr>
                <w:rFonts w:hint="eastAsia" w:ascii="宋体" w:hAnsi="宋体"/>
                <w:color w:val="auto"/>
                <w:sz w:val="24"/>
                <w:szCs w:val="22"/>
                <w:highlight w:val="none"/>
                <w:lang w:val="zh-CN"/>
              </w:rPr>
              <w:t>得</w:t>
            </w:r>
            <w:r>
              <w:rPr>
                <w:rFonts w:ascii="宋体" w:hAnsi="宋体"/>
                <w:color w:val="auto"/>
                <w:sz w:val="24"/>
                <w:szCs w:val="22"/>
                <w:highlight w:val="none"/>
                <w:lang w:val="zh-CN"/>
              </w:rPr>
              <w:t>0</w:t>
            </w:r>
            <w:r>
              <w:rPr>
                <w:rFonts w:hint="eastAsia" w:ascii="宋体" w:hAnsi="宋体"/>
                <w:color w:val="auto"/>
                <w:sz w:val="24"/>
                <w:szCs w:val="22"/>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trPr>
        <w:tc>
          <w:tcPr>
            <w:tcW w:w="1027" w:type="dxa"/>
            <w:vAlign w:val="center"/>
          </w:tcPr>
          <w:p>
            <w:pPr>
              <w:jc w:val="center"/>
              <w:rPr>
                <w:rFonts w:hint="eastAsia" w:ascii="宋体" w:hAnsi="宋体" w:eastAsia="宋体" w:cs="宋体"/>
                <w:b/>
                <w:bCs/>
                <w:snapToGrid w:val="0"/>
                <w:color w:val="auto"/>
                <w:sz w:val="24"/>
                <w:szCs w:val="24"/>
                <w:highlight w:val="none"/>
                <w:lang w:val="en-US" w:eastAsia="zh-CN"/>
              </w:rPr>
            </w:pPr>
            <w:r>
              <w:rPr>
                <w:rFonts w:hint="eastAsia" w:ascii="宋体" w:hAnsi="宋体" w:cs="宋体"/>
                <w:b/>
                <w:bCs/>
                <w:snapToGrid w:val="0"/>
                <w:color w:val="auto"/>
                <w:sz w:val="24"/>
                <w:szCs w:val="24"/>
                <w:highlight w:val="none"/>
                <w:lang w:val="en-US" w:eastAsia="zh-CN"/>
              </w:rPr>
              <w:t>3</w:t>
            </w:r>
          </w:p>
        </w:tc>
        <w:tc>
          <w:tcPr>
            <w:tcW w:w="1987" w:type="dxa"/>
            <w:vAlign w:val="center"/>
          </w:tcPr>
          <w:p>
            <w:pPr>
              <w:jc w:val="left"/>
              <w:rPr>
                <w:rFonts w:asciiTheme="minorEastAsia" w:hAnsiTheme="minorEastAsia" w:eastAsiaTheme="minorEastAsia"/>
                <w:color w:val="auto"/>
                <w:sz w:val="24"/>
                <w:szCs w:val="24"/>
                <w:highlight w:val="none"/>
              </w:rPr>
            </w:pPr>
            <w:r>
              <w:rPr>
                <w:rFonts w:hint="eastAsia" w:ascii="宋体" w:hAnsi="宋体" w:cs="宋体"/>
                <w:b/>
                <w:bCs/>
                <w:snapToGrid w:val="0"/>
                <w:color w:val="auto"/>
                <w:sz w:val="24"/>
                <w:szCs w:val="24"/>
                <w:highlight w:val="none"/>
              </w:rPr>
              <w:sym w:font="Wingdings 2" w:char="0052"/>
            </w:r>
            <w:r>
              <w:rPr>
                <w:rFonts w:hint="eastAsia" w:ascii="宋体" w:hAnsi="宋体" w:cs="宋体"/>
                <w:b/>
                <w:bCs/>
                <w:snapToGrid w:val="0"/>
                <w:color w:val="auto"/>
                <w:sz w:val="24"/>
                <w:szCs w:val="24"/>
                <w:highlight w:val="none"/>
              </w:rPr>
              <w:t>工程监理工作方案 （8分）</w:t>
            </w:r>
          </w:p>
        </w:tc>
        <w:tc>
          <w:tcPr>
            <w:tcW w:w="5013" w:type="dxa"/>
            <w:vAlign w:val="center"/>
          </w:tcPr>
          <w:p>
            <w:pPr>
              <w:spacing w:line="288" w:lineRule="auto"/>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针对本项目全过程工程咨询服务项目监理大纲内容是否齐全、结构完整、重点突出、符合规范等情况；以及质量控制方案、进度控制方案、投资控制方案、安全控制方案</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lang w:val="en-US" w:eastAsia="zh-CN"/>
              </w:rPr>
              <w:t>含桥梁拆除及重建</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、合同与信息管理方案、工程建设相关方的关系协调方案、</w:t>
            </w:r>
            <w:r>
              <w:rPr>
                <w:color w:val="auto"/>
                <w:sz w:val="24"/>
                <w:szCs w:val="24"/>
                <w:highlight w:val="none"/>
              </w:rPr>
              <w:t>规范围挡、控制扬尘、治污减排、 降低噪音等安全生产和文明施工控制方案</w:t>
            </w:r>
            <w:r>
              <w:rPr>
                <w:rFonts w:hint="eastAsia"/>
                <w:color w:val="auto"/>
                <w:sz w:val="24"/>
                <w:szCs w:val="24"/>
                <w:highlight w:val="none"/>
              </w:rPr>
              <w:t>等</w:t>
            </w:r>
            <w:r>
              <w:rPr>
                <w:color w:val="auto"/>
                <w:sz w:val="24"/>
                <w:szCs w:val="24"/>
                <w:highlight w:val="none"/>
              </w:rPr>
              <w:t>措施严谨</w:t>
            </w:r>
            <w:r>
              <w:rPr>
                <w:rFonts w:hint="eastAsia"/>
                <w:color w:val="auto"/>
                <w:sz w:val="24"/>
                <w:szCs w:val="24"/>
                <w:highlight w:val="none"/>
              </w:rPr>
              <w:t>、</w:t>
            </w:r>
            <w:r>
              <w:rPr>
                <w:rFonts w:hint="eastAsia" w:ascii="宋体" w:hAnsi="宋体" w:cs="宋体"/>
                <w:snapToGrid w:val="0"/>
                <w:color w:val="auto"/>
                <w:sz w:val="24"/>
                <w:szCs w:val="24"/>
                <w:highlight w:val="none"/>
              </w:rPr>
              <w:t>针对性强、要点明确、措施得当等情况。</w:t>
            </w:r>
          </w:p>
          <w:p>
            <w:pPr>
              <w:spacing w:line="288" w:lineRule="auto"/>
              <w:rPr>
                <w:rFonts w:asciiTheme="minorEastAsia" w:hAnsiTheme="minorEastAsia"/>
                <w:color w:val="auto"/>
                <w:sz w:val="24"/>
                <w:szCs w:val="24"/>
                <w:highlight w:val="none"/>
              </w:rPr>
            </w:pPr>
            <w:r>
              <w:rPr>
                <w:rFonts w:hint="eastAsia" w:ascii="宋体" w:hAnsi="宋体" w:cs="宋体"/>
                <w:snapToGrid w:val="0"/>
                <w:color w:val="auto"/>
                <w:sz w:val="24"/>
                <w:szCs w:val="24"/>
                <w:highlight w:val="none"/>
              </w:rPr>
              <w:t>满分 8 分，由专家综合评审打分。</w:t>
            </w:r>
          </w:p>
        </w:tc>
        <w:tc>
          <w:tcPr>
            <w:tcW w:w="1980" w:type="dxa"/>
            <w:vAlign w:val="center"/>
          </w:tcPr>
          <w:p>
            <w:pPr>
              <w:pStyle w:val="39"/>
              <w:widowControl w:val="0"/>
              <w:spacing w:line="380" w:lineRule="exact"/>
              <w:jc w:val="center"/>
              <w:rPr>
                <w:color w:val="auto"/>
                <w:highlight w:val="none"/>
                <w:lang w:val="en-US"/>
              </w:rPr>
            </w:pPr>
            <w:r>
              <w:rPr>
                <w:color w:val="auto"/>
                <w:highlight w:val="none"/>
              </w:rPr>
              <w:t>优</w:t>
            </w:r>
            <w:r>
              <w:rPr>
                <w:rFonts w:hint="eastAsia"/>
                <w:color w:val="auto"/>
                <w:highlight w:val="none"/>
                <w:lang w:val="en-US"/>
              </w:rPr>
              <w:t>［6.0</w:t>
            </w:r>
            <w:r>
              <w:rPr>
                <w:color w:val="auto"/>
                <w:highlight w:val="none"/>
                <w:lang w:val="en-US"/>
              </w:rPr>
              <w:t>-</w:t>
            </w:r>
            <w:r>
              <w:rPr>
                <w:rFonts w:hint="eastAsia"/>
                <w:color w:val="auto"/>
                <w:highlight w:val="none"/>
                <w:lang w:val="en-US"/>
              </w:rPr>
              <w:t>8.0</w:t>
            </w:r>
            <w:r>
              <w:rPr>
                <w:color w:val="auto"/>
                <w:sz w:val="28"/>
                <w:szCs w:val="24"/>
                <w:highlight w:val="none"/>
                <w:lang w:val="en-US"/>
              </w:rPr>
              <w:t>]</w:t>
            </w:r>
            <w:r>
              <w:rPr>
                <w:color w:val="auto"/>
                <w:highlight w:val="none"/>
              </w:rPr>
              <w:t>分</w:t>
            </w:r>
          </w:p>
          <w:p>
            <w:pPr>
              <w:pStyle w:val="39"/>
              <w:widowControl w:val="0"/>
              <w:spacing w:line="380" w:lineRule="exact"/>
              <w:jc w:val="center"/>
              <w:rPr>
                <w:color w:val="auto"/>
                <w:highlight w:val="none"/>
                <w:lang w:val="en-US"/>
              </w:rPr>
            </w:pPr>
            <w:r>
              <w:rPr>
                <w:color w:val="auto"/>
                <w:highlight w:val="none"/>
              </w:rPr>
              <w:t>良</w:t>
            </w:r>
            <w:r>
              <w:rPr>
                <w:rFonts w:hint="eastAsia"/>
                <w:color w:val="auto"/>
                <w:highlight w:val="none"/>
                <w:lang w:val="en-US"/>
              </w:rPr>
              <w:t>［4.0</w:t>
            </w:r>
            <w:r>
              <w:rPr>
                <w:color w:val="auto"/>
                <w:highlight w:val="none"/>
                <w:lang w:val="en-US"/>
              </w:rPr>
              <w:t>-</w:t>
            </w:r>
            <w:r>
              <w:rPr>
                <w:rFonts w:hint="eastAsia"/>
                <w:color w:val="auto"/>
                <w:highlight w:val="none"/>
                <w:lang w:val="en-US" w:eastAsia="zh-CN"/>
              </w:rPr>
              <w:t>6.0</w:t>
            </w:r>
            <w:r>
              <w:rPr>
                <w:color w:val="auto"/>
                <w:highlight w:val="none"/>
                <w:lang w:val="en-US"/>
              </w:rPr>
              <w:t>]</w:t>
            </w:r>
            <w:r>
              <w:rPr>
                <w:color w:val="auto"/>
                <w:highlight w:val="none"/>
              </w:rPr>
              <w:t>分</w:t>
            </w:r>
          </w:p>
          <w:p>
            <w:pPr>
              <w:pStyle w:val="39"/>
              <w:widowControl w:val="0"/>
              <w:spacing w:line="380" w:lineRule="exact"/>
              <w:jc w:val="center"/>
              <w:rPr>
                <w:color w:val="auto"/>
                <w:highlight w:val="none"/>
                <w:lang w:val="en-US"/>
              </w:rPr>
            </w:pPr>
            <w:r>
              <w:rPr>
                <w:rFonts w:hint="eastAsia"/>
                <w:color w:val="auto"/>
                <w:highlight w:val="none"/>
                <w:lang w:val="en-US"/>
              </w:rPr>
              <w:t>差［2.0</w:t>
            </w:r>
            <w:r>
              <w:rPr>
                <w:color w:val="auto"/>
                <w:highlight w:val="none"/>
                <w:lang w:val="en-US"/>
              </w:rPr>
              <w:t>-</w:t>
            </w:r>
            <w:r>
              <w:rPr>
                <w:rFonts w:hint="eastAsia"/>
                <w:color w:val="auto"/>
                <w:highlight w:val="none"/>
                <w:lang w:val="en-US" w:eastAsia="zh-CN"/>
              </w:rPr>
              <w:t>4.0</w:t>
            </w:r>
            <w:r>
              <w:rPr>
                <w:color w:val="auto"/>
                <w:highlight w:val="none"/>
                <w:lang w:val="en-US"/>
              </w:rPr>
              <w:t>]</w:t>
            </w:r>
            <w:r>
              <w:rPr>
                <w:color w:val="auto"/>
                <w:highlight w:val="none"/>
              </w:rPr>
              <w:t>分</w:t>
            </w:r>
          </w:p>
          <w:p>
            <w:pPr>
              <w:spacing w:line="288" w:lineRule="auto"/>
              <w:rPr>
                <w:rFonts w:ascii="宋体" w:hAnsi="宋体" w:cs="宋体"/>
                <w:snapToGrid w:val="0"/>
                <w:color w:val="auto"/>
                <w:sz w:val="24"/>
                <w:szCs w:val="24"/>
                <w:highlight w:val="none"/>
              </w:rPr>
            </w:pPr>
            <w:r>
              <w:rPr>
                <w:rFonts w:hint="eastAsia" w:ascii="宋体" w:hAnsi="宋体"/>
                <w:color w:val="auto"/>
                <w:sz w:val="24"/>
                <w:szCs w:val="22"/>
                <w:highlight w:val="none"/>
              </w:rPr>
              <w:t>未提供的</w:t>
            </w:r>
            <w:r>
              <w:rPr>
                <w:rFonts w:hint="eastAsia" w:ascii="宋体" w:hAnsi="宋体"/>
                <w:color w:val="auto"/>
                <w:sz w:val="24"/>
                <w:szCs w:val="22"/>
                <w:highlight w:val="none"/>
                <w:lang w:val="zh-CN"/>
              </w:rPr>
              <w:t>得</w:t>
            </w:r>
            <w:r>
              <w:rPr>
                <w:rFonts w:ascii="宋体" w:hAnsi="宋体"/>
                <w:color w:val="auto"/>
                <w:sz w:val="24"/>
                <w:szCs w:val="22"/>
                <w:highlight w:val="none"/>
              </w:rPr>
              <w:t>0</w:t>
            </w:r>
            <w:r>
              <w:rPr>
                <w:rFonts w:hint="eastAsia" w:ascii="宋体" w:hAnsi="宋体"/>
                <w:color w:val="auto"/>
                <w:sz w:val="24"/>
                <w:szCs w:val="22"/>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2" w:hRule="atLeast"/>
        </w:trPr>
        <w:tc>
          <w:tcPr>
            <w:tcW w:w="1027" w:type="dxa"/>
            <w:vAlign w:val="center"/>
          </w:tcPr>
          <w:p>
            <w:pPr>
              <w:spacing w:line="360" w:lineRule="exact"/>
              <w:jc w:val="center"/>
              <w:rPr>
                <w:rFonts w:hint="eastAsia"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val="en-US" w:eastAsia="zh-CN"/>
              </w:rPr>
              <w:t>4</w:t>
            </w:r>
          </w:p>
        </w:tc>
        <w:tc>
          <w:tcPr>
            <w:tcW w:w="1987" w:type="dxa"/>
            <w:vAlign w:val="center"/>
          </w:tcPr>
          <w:p>
            <w:pPr>
              <w:spacing w:line="360" w:lineRule="exact"/>
              <w:jc w:val="left"/>
              <w:rPr>
                <w:rFonts w:asciiTheme="minorEastAsia" w:hAnsiTheme="minorEastAsia" w:eastAsiaTheme="minorEastAsia"/>
                <w:b/>
                <w:color w:val="auto"/>
                <w:sz w:val="24"/>
                <w:szCs w:val="24"/>
                <w:highlight w:val="none"/>
              </w:rPr>
            </w:pPr>
            <w:r>
              <w:rPr>
                <w:rFonts w:hint="eastAsia" w:ascii="宋体" w:hAnsi="宋体" w:cs="宋体"/>
                <w:snapToGrid w:val="0"/>
                <w:color w:val="auto"/>
                <w:sz w:val="24"/>
                <w:szCs w:val="24"/>
                <w:highlight w:val="none"/>
              </w:rPr>
              <w:sym w:font="Wingdings 2" w:char="0052"/>
            </w:r>
            <w:r>
              <w:rPr>
                <w:rFonts w:hint="eastAsia" w:ascii="宋体" w:hAnsi="宋体"/>
                <w:bCs/>
                <w:color w:val="auto"/>
                <w:szCs w:val="21"/>
                <w:highlight w:val="none"/>
              </w:rPr>
              <w:t xml:space="preserve"> </w:t>
            </w:r>
            <w:r>
              <w:rPr>
                <w:rFonts w:hint="eastAsia" w:asciiTheme="minorEastAsia" w:hAnsiTheme="minorEastAsia" w:eastAsiaTheme="minorEastAsia"/>
                <w:b/>
                <w:color w:val="auto"/>
                <w:sz w:val="24"/>
                <w:szCs w:val="24"/>
                <w:highlight w:val="none"/>
              </w:rPr>
              <w:t>造价咨询工作方案（4分）</w:t>
            </w:r>
          </w:p>
        </w:tc>
        <w:tc>
          <w:tcPr>
            <w:tcW w:w="5013" w:type="dxa"/>
            <w:vAlign w:val="center"/>
          </w:tcPr>
          <w:p>
            <w:pPr>
              <w:spacing w:line="288"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根据投标单位针对本项目造价咨询（全过程跟踪审计）整体方案、造价咨询主要工作内容、造价咨询团队的组成、造价咨询工作流程、造价咨询文件管理与编制要求等情况。</w:t>
            </w:r>
          </w:p>
          <w:p>
            <w:pPr>
              <w:spacing w:line="288" w:lineRule="auto"/>
              <w:jc w:val="left"/>
              <w:rPr>
                <w:rFonts w:asciiTheme="minorEastAsia" w:hAnsiTheme="minorEastAsia" w:eastAsiaTheme="minorEastAsia"/>
                <w:color w:val="auto"/>
                <w:sz w:val="24"/>
                <w:szCs w:val="24"/>
                <w:highlight w:val="none"/>
              </w:rPr>
            </w:pPr>
            <w:r>
              <w:rPr>
                <w:rFonts w:hint="eastAsia" w:ascii="宋体" w:hAnsi="宋体" w:cs="宋体"/>
                <w:snapToGrid w:val="0"/>
                <w:color w:val="auto"/>
                <w:sz w:val="24"/>
                <w:szCs w:val="24"/>
                <w:highlight w:val="none"/>
              </w:rPr>
              <w:t>满分4 分，由专家综合评审打分。</w:t>
            </w:r>
          </w:p>
        </w:tc>
        <w:tc>
          <w:tcPr>
            <w:tcW w:w="1980" w:type="dxa"/>
            <w:vAlign w:val="center"/>
          </w:tcPr>
          <w:p>
            <w:pPr>
              <w:pStyle w:val="39"/>
              <w:widowControl w:val="0"/>
              <w:spacing w:line="380" w:lineRule="exact"/>
              <w:jc w:val="center"/>
              <w:rPr>
                <w:color w:val="auto"/>
                <w:highlight w:val="none"/>
                <w:lang w:val="en-US"/>
              </w:rPr>
            </w:pPr>
            <w:r>
              <w:rPr>
                <w:color w:val="auto"/>
                <w:highlight w:val="none"/>
              </w:rPr>
              <w:t>优</w:t>
            </w:r>
            <w:r>
              <w:rPr>
                <w:rFonts w:hint="eastAsia"/>
                <w:color w:val="auto"/>
                <w:highlight w:val="none"/>
                <w:lang w:val="en-US"/>
              </w:rPr>
              <w:t>［3.0</w:t>
            </w:r>
            <w:r>
              <w:rPr>
                <w:color w:val="auto"/>
                <w:highlight w:val="none"/>
                <w:lang w:val="en-US"/>
              </w:rPr>
              <w:t>-</w:t>
            </w:r>
            <w:r>
              <w:rPr>
                <w:rFonts w:hint="eastAsia"/>
                <w:color w:val="auto"/>
                <w:highlight w:val="none"/>
                <w:lang w:val="en-US"/>
              </w:rPr>
              <w:t>4.0</w:t>
            </w:r>
            <w:r>
              <w:rPr>
                <w:color w:val="auto"/>
                <w:sz w:val="28"/>
                <w:szCs w:val="24"/>
                <w:highlight w:val="none"/>
                <w:lang w:val="en-US"/>
              </w:rPr>
              <w:t>]</w:t>
            </w:r>
            <w:r>
              <w:rPr>
                <w:color w:val="auto"/>
                <w:highlight w:val="none"/>
              </w:rPr>
              <w:t>分</w:t>
            </w:r>
          </w:p>
          <w:p>
            <w:pPr>
              <w:pStyle w:val="39"/>
              <w:widowControl w:val="0"/>
              <w:spacing w:line="380" w:lineRule="exact"/>
              <w:jc w:val="center"/>
              <w:rPr>
                <w:color w:val="auto"/>
                <w:highlight w:val="none"/>
                <w:lang w:val="en-US"/>
              </w:rPr>
            </w:pPr>
            <w:r>
              <w:rPr>
                <w:color w:val="auto"/>
                <w:highlight w:val="none"/>
              </w:rPr>
              <w:t>良</w:t>
            </w:r>
            <w:r>
              <w:rPr>
                <w:rFonts w:hint="eastAsia"/>
                <w:color w:val="auto"/>
                <w:highlight w:val="none"/>
                <w:lang w:val="en-US"/>
              </w:rPr>
              <w:t>［2.0</w:t>
            </w:r>
            <w:r>
              <w:rPr>
                <w:color w:val="auto"/>
                <w:highlight w:val="none"/>
                <w:lang w:val="en-US"/>
              </w:rPr>
              <w:t>-</w:t>
            </w:r>
            <w:r>
              <w:rPr>
                <w:rFonts w:hint="eastAsia"/>
                <w:color w:val="auto"/>
                <w:highlight w:val="none"/>
                <w:lang w:val="en-US" w:eastAsia="zh-CN"/>
              </w:rPr>
              <w:t>3.0</w:t>
            </w:r>
            <w:r>
              <w:rPr>
                <w:color w:val="auto"/>
                <w:highlight w:val="none"/>
                <w:lang w:val="en-US"/>
              </w:rPr>
              <w:t>]</w:t>
            </w:r>
            <w:r>
              <w:rPr>
                <w:color w:val="auto"/>
                <w:highlight w:val="none"/>
              </w:rPr>
              <w:t>分</w:t>
            </w:r>
          </w:p>
          <w:p>
            <w:pPr>
              <w:pStyle w:val="39"/>
              <w:widowControl w:val="0"/>
              <w:spacing w:line="380" w:lineRule="exact"/>
              <w:jc w:val="center"/>
              <w:rPr>
                <w:color w:val="auto"/>
                <w:highlight w:val="none"/>
                <w:lang w:val="en-US"/>
              </w:rPr>
            </w:pPr>
            <w:r>
              <w:rPr>
                <w:rFonts w:hint="eastAsia"/>
                <w:color w:val="auto"/>
                <w:highlight w:val="none"/>
                <w:lang w:val="en-US"/>
              </w:rPr>
              <w:t>差［1.0</w:t>
            </w:r>
            <w:r>
              <w:rPr>
                <w:color w:val="auto"/>
                <w:highlight w:val="none"/>
                <w:lang w:val="en-US"/>
              </w:rPr>
              <w:t>-</w:t>
            </w:r>
            <w:r>
              <w:rPr>
                <w:rFonts w:hint="eastAsia"/>
                <w:color w:val="auto"/>
                <w:highlight w:val="none"/>
                <w:lang w:val="en-US" w:eastAsia="zh-CN"/>
              </w:rPr>
              <w:t>2.0</w:t>
            </w:r>
            <w:r>
              <w:rPr>
                <w:color w:val="auto"/>
                <w:highlight w:val="none"/>
                <w:lang w:val="en-US"/>
              </w:rPr>
              <w:t>]</w:t>
            </w:r>
            <w:r>
              <w:rPr>
                <w:color w:val="auto"/>
                <w:highlight w:val="none"/>
              </w:rPr>
              <w:t>分</w:t>
            </w:r>
          </w:p>
          <w:p>
            <w:pPr>
              <w:spacing w:line="288" w:lineRule="auto"/>
              <w:jc w:val="left"/>
              <w:rPr>
                <w:rFonts w:ascii="宋体" w:hAnsi="宋体" w:cs="宋体"/>
                <w:color w:val="auto"/>
                <w:sz w:val="24"/>
                <w:szCs w:val="24"/>
                <w:highlight w:val="none"/>
              </w:rPr>
            </w:pPr>
            <w:r>
              <w:rPr>
                <w:rFonts w:hint="eastAsia" w:ascii="宋体" w:hAnsi="宋体"/>
                <w:color w:val="auto"/>
                <w:sz w:val="24"/>
                <w:szCs w:val="22"/>
                <w:highlight w:val="none"/>
              </w:rPr>
              <w:t>未提供的</w:t>
            </w:r>
            <w:r>
              <w:rPr>
                <w:rFonts w:hint="eastAsia" w:ascii="宋体" w:hAnsi="宋体"/>
                <w:color w:val="auto"/>
                <w:sz w:val="24"/>
                <w:szCs w:val="22"/>
                <w:highlight w:val="none"/>
                <w:lang w:val="zh-CN"/>
              </w:rPr>
              <w:t>得</w:t>
            </w:r>
            <w:r>
              <w:rPr>
                <w:rFonts w:ascii="宋体" w:hAnsi="宋体"/>
                <w:color w:val="auto"/>
                <w:sz w:val="24"/>
                <w:szCs w:val="22"/>
                <w:highlight w:val="none"/>
              </w:rPr>
              <w:t>0</w:t>
            </w:r>
            <w:r>
              <w:rPr>
                <w:rFonts w:hint="eastAsia" w:ascii="宋体" w:hAnsi="宋体"/>
                <w:color w:val="auto"/>
                <w:sz w:val="24"/>
                <w:szCs w:val="22"/>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trPr>
        <w:tc>
          <w:tcPr>
            <w:tcW w:w="10007" w:type="dxa"/>
            <w:gridSpan w:val="4"/>
            <w:vAlign w:val="center"/>
          </w:tcPr>
          <w:p>
            <w:pPr>
              <w:spacing w:line="288" w:lineRule="auto"/>
              <w:jc w:val="left"/>
              <w:rPr>
                <w:rFonts w:hint="eastAsia" w:ascii="宋体" w:hAnsi="宋体"/>
                <w:color w:val="auto"/>
                <w:sz w:val="24"/>
                <w:szCs w:val="22"/>
                <w:highlight w:val="none"/>
              </w:rPr>
            </w:pPr>
            <w:bookmarkStart w:id="870" w:name="_Toc12039"/>
            <w:r>
              <w:rPr>
                <w:rFonts w:hint="eastAsia" w:ascii="宋体" w:hAnsi="宋体" w:eastAsia="宋体" w:cs="宋体"/>
                <w:color w:val="auto"/>
                <w:sz w:val="24"/>
                <w:szCs w:val="24"/>
                <w:highlight w:val="none"/>
                <w:lang w:val="en-US" w:eastAsia="zh-CN"/>
              </w:rPr>
              <w:t>注：得分值</w:t>
            </w:r>
            <w:r>
              <w:rPr>
                <w:rFonts w:hint="eastAsia" w:ascii="宋体" w:hAnsi="宋体" w:eastAsia="宋体" w:cs="宋体"/>
                <w:color w:val="auto"/>
                <w:kern w:val="0"/>
                <w:sz w:val="24"/>
                <w:szCs w:val="24"/>
                <w:highlight w:val="none"/>
                <w:lang w:val="en-US" w:eastAsia="zh-CN" w:bidi="ar"/>
              </w:rPr>
              <w:t>上限值包含本数，下限值不包含本数。</w:t>
            </w:r>
          </w:p>
        </w:tc>
      </w:tr>
      <w:bookmarkEnd w:id="870"/>
    </w:tbl>
    <w:tbl>
      <w:tblPr>
        <w:tblStyle w:val="26"/>
        <w:tblW w:w="10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556"/>
        <w:gridCol w:w="1578"/>
        <w:gridCol w:w="6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blHeader/>
        </w:trPr>
        <w:tc>
          <w:tcPr>
            <w:tcW w:w="787" w:type="dxa"/>
            <w:vAlign w:val="center"/>
          </w:tcPr>
          <w:p>
            <w:pPr>
              <w:spacing w:line="400" w:lineRule="exact"/>
              <w:jc w:val="center"/>
              <w:rPr>
                <w:rFonts w:hint="eastAsia" w:ascii="宋体" w:hAnsi="宋体" w:eastAsia="宋体" w:cs="宋体"/>
                <w:b/>
                <w:bCs w:val="0"/>
                <w:snapToGrid w:val="0"/>
                <w:color w:val="auto"/>
                <w:sz w:val="24"/>
                <w:szCs w:val="24"/>
                <w:highlight w:val="none"/>
                <w:lang w:val="en-US" w:eastAsia="zh-CN"/>
              </w:rPr>
            </w:pPr>
            <w:r>
              <w:rPr>
                <w:rFonts w:hint="eastAsia" w:ascii="宋体" w:hAnsi="宋体" w:cs="宋体"/>
                <w:b/>
                <w:bCs w:val="0"/>
                <w:snapToGrid w:val="0"/>
                <w:color w:val="auto"/>
                <w:sz w:val="24"/>
                <w:szCs w:val="24"/>
                <w:highlight w:val="none"/>
                <w:lang w:val="en-US" w:eastAsia="zh-CN"/>
              </w:rPr>
              <w:t>序号</w:t>
            </w:r>
          </w:p>
        </w:tc>
        <w:tc>
          <w:tcPr>
            <w:tcW w:w="1556" w:type="dxa"/>
            <w:vAlign w:val="center"/>
          </w:tcPr>
          <w:p>
            <w:pPr>
              <w:spacing w:line="400" w:lineRule="exact"/>
              <w:jc w:val="center"/>
              <w:rPr>
                <w:rFonts w:ascii="宋体" w:hAnsi="宋体" w:cs="宋体"/>
                <w:b/>
                <w:bCs w:val="0"/>
                <w:snapToGrid w:val="0"/>
                <w:color w:val="auto"/>
                <w:sz w:val="24"/>
                <w:szCs w:val="24"/>
                <w:highlight w:val="none"/>
              </w:rPr>
            </w:pPr>
            <w:r>
              <w:rPr>
                <w:rFonts w:hint="eastAsia" w:ascii="宋体" w:hAnsi="宋体" w:cs="宋体"/>
                <w:b/>
                <w:bCs w:val="0"/>
                <w:snapToGrid w:val="0"/>
                <w:color w:val="auto"/>
                <w:sz w:val="24"/>
                <w:szCs w:val="24"/>
                <w:highlight w:val="none"/>
              </w:rPr>
              <w:t>评审项目</w:t>
            </w:r>
          </w:p>
        </w:tc>
        <w:tc>
          <w:tcPr>
            <w:tcW w:w="1578" w:type="dxa"/>
            <w:vAlign w:val="center"/>
          </w:tcPr>
          <w:p>
            <w:pPr>
              <w:spacing w:line="400" w:lineRule="exact"/>
              <w:jc w:val="center"/>
              <w:rPr>
                <w:rFonts w:hint="default" w:ascii="宋体" w:hAnsi="宋体" w:cs="宋体"/>
                <w:b/>
                <w:bCs w:val="0"/>
                <w:snapToGrid w:val="0"/>
                <w:color w:val="auto"/>
                <w:sz w:val="24"/>
                <w:szCs w:val="24"/>
                <w:highlight w:val="none"/>
              </w:rPr>
            </w:pPr>
            <w:r>
              <w:rPr>
                <w:rFonts w:hint="eastAsia" w:ascii="宋体" w:hAnsi="宋体" w:cs="宋体"/>
                <w:b/>
                <w:bCs w:val="0"/>
                <w:snapToGrid w:val="0"/>
                <w:color w:val="auto"/>
                <w:sz w:val="24"/>
                <w:szCs w:val="24"/>
                <w:highlight w:val="none"/>
                <w:lang w:val="en-US" w:eastAsia="zh-CN"/>
              </w:rPr>
              <w:t>评审内容</w:t>
            </w:r>
          </w:p>
        </w:tc>
        <w:tc>
          <w:tcPr>
            <w:tcW w:w="6105" w:type="dxa"/>
            <w:vAlign w:val="center"/>
          </w:tcPr>
          <w:p>
            <w:pPr>
              <w:spacing w:line="400" w:lineRule="exact"/>
              <w:jc w:val="center"/>
              <w:rPr>
                <w:rFonts w:ascii="宋体" w:hAnsi="宋体" w:cs="宋体"/>
                <w:b/>
                <w:bCs w:val="0"/>
                <w:snapToGrid w:val="0"/>
                <w:color w:val="auto"/>
                <w:sz w:val="24"/>
                <w:szCs w:val="24"/>
                <w:highlight w:val="none"/>
              </w:rPr>
            </w:pPr>
            <w:r>
              <w:rPr>
                <w:rFonts w:hint="eastAsia" w:ascii="宋体" w:hAnsi="宋体" w:cs="宋体"/>
                <w:b/>
                <w:bCs w:val="0"/>
                <w:snapToGrid w:val="0"/>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7" w:hRule="atLeast"/>
        </w:trPr>
        <w:tc>
          <w:tcPr>
            <w:tcW w:w="787" w:type="dxa"/>
            <w:vAlign w:val="center"/>
          </w:tcPr>
          <w:p>
            <w:pPr>
              <w:jc w:val="center"/>
              <w:rPr>
                <w:rFonts w:hint="eastAsia" w:ascii="宋体" w:hAnsi="宋体" w:eastAsia="宋体" w:cs="宋体"/>
                <w:b/>
                <w:bCs/>
                <w:snapToGrid w:val="0"/>
                <w:color w:val="auto"/>
                <w:sz w:val="24"/>
                <w:szCs w:val="24"/>
                <w:highlight w:val="none"/>
                <w:lang w:val="en-US" w:eastAsia="zh-CN"/>
              </w:rPr>
            </w:pPr>
            <w:r>
              <w:rPr>
                <w:rFonts w:hint="eastAsia" w:ascii="宋体" w:hAnsi="宋体" w:cs="宋体"/>
                <w:b/>
                <w:bCs/>
                <w:snapToGrid w:val="0"/>
                <w:color w:val="auto"/>
                <w:sz w:val="24"/>
                <w:szCs w:val="24"/>
                <w:highlight w:val="none"/>
                <w:lang w:val="en-US" w:eastAsia="zh-CN"/>
              </w:rPr>
              <w:t>5</w:t>
            </w:r>
          </w:p>
        </w:tc>
        <w:tc>
          <w:tcPr>
            <w:tcW w:w="1556" w:type="dxa"/>
            <w:vAlign w:val="center"/>
          </w:tcPr>
          <w:p>
            <w:pPr>
              <w:jc w:val="center"/>
              <w:rPr>
                <w:rFonts w:ascii="宋体" w:hAnsi="宋体" w:cs="宋体"/>
                <w:snapToGrid w:val="0"/>
                <w:color w:val="auto"/>
                <w:sz w:val="24"/>
                <w:szCs w:val="24"/>
                <w:highlight w:val="none"/>
              </w:rPr>
            </w:pPr>
            <w:r>
              <w:rPr>
                <w:rFonts w:hint="eastAsia" w:ascii="宋体" w:hAnsi="宋体" w:cs="宋体"/>
                <w:b/>
                <w:bCs/>
                <w:snapToGrid w:val="0"/>
                <w:color w:val="auto"/>
                <w:sz w:val="24"/>
                <w:szCs w:val="24"/>
                <w:highlight w:val="none"/>
              </w:rPr>
              <w:t>全过程工程咨询服务团队（</w:t>
            </w:r>
            <w:r>
              <w:rPr>
                <w:rFonts w:hint="eastAsia" w:ascii="宋体" w:hAnsi="宋体" w:cs="宋体"/>
                <w:b/>
                <w:bCs/>
                <w:snapToGrid w:val="0"/>
                <w:color w:val="auto"/>
                <w:sz w:val="24"/>
                <w:szCs w:val="24"/>
                <w:highlight w:val="none"/>
                <w:lang w:val="en-US" w:eastAsia="zh-CN"/>
              </w:rPr>
              <w:t>15</w:t>
            </w:r>
            <w:r>
              <w:rPr>
                <w:rFonts w:hint="eastAsia" w:ascii="宋体" w:hAnsi="宋体" w:cs="宋体"/>
                <w:b/>
                <w:bCs/>
                <w:snapToGrid w:val="0"/>
                <w:color w:val="auto"/>
                <w:sz w:val="24"/>
                <w:szCs w:val="24"/>
                <w:highlight w:val="none"/>
              </w:rPr>
              <w:t>分）</w:t>
            </w:r>
          </w:p>
        </w:tc>
        <w:tc>
          <w:tcPr>
            <w:tcW w:w="1578" w:type="dxa"/>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项目负责人</w:t>
            </w:r>
          </w:p>
          <w:p>
            <w:pPr>
              <w:jc w:val="center"/>
              <w:rPr>
                <w:rFonts w:ascii="宋体" w:hAnsi="宋体" w:cs="宋体"/>
                <w:snapToGrid w:val="0"/>
                <w:color w:val="auto"/>
                <w:sz w:val="24"/>
                <w:szCs w:val="24"/>
                <w:highlight w:val="none"/>
              </w:rPr>
            </w:pPr>
            <w:r>
              <w:rPr>
                <w:rFonts w:hint="eastAsia" w:ascii="宋体" w:hAnsi="宋体" w:cs="宋体"/>
                <w:color w:val="auto"/>
                <w:sz w:val="24"/>
                <w:szCs w:val="24"/>
                <w:highlight w:val="none"/>
              </w:rPr>
              <w:t>（5分）</w:t>
            </w:r>
          </w:p>
        </w:tc>
        <w:tc>
          <w:tcPr>
            <w:tcW w:w="6105" w:type="dxa"/>
          </w:tcPr>
          <w:p>
            <w:pPr>
              <w:tabs>
                <w:tab w:val="left" w:pos="51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lang w:val="en-US" w:eastAsia="zh-CN"/>
              </w:rPr>
              <w:t>拟派</w:t>
            </w:r>
            <w:r>
              <w:rPr>
                <w:rFonts w:hint="eastAsia" w:ascii="宋体"/>
                <w:color w:val="auto"/>
                <w:kern w:val="2"/>
                <w:sz w:val="24"/>
                <w:szCs w:val="24"/>
                <w:highlight w:val="none"/>
              </w:rPr>
              <w:t>项目负责人具有如下条件情况</w:t>
            </w:r>
            <w:r>
              <w:rPr>
                <w:rFonts w:hint="eastAsia" w:ascii="宋体"/>
                <w:color w:val="auto"/>
                <w:kern w:val="2"/>
                <w:sz w:val="24"/>
                <w:szCs w:val="24"/>
                <w:highlight w:val="none"/>
                <w:lang w:val="en-US" w:eastAsia="zh-CN"/>
              </w:rPr>
              <w:t>(5分)</w:t>
            </w:r>
            <w:r>
              <w:rPr>
                <w:rFonts w:hint="eastAsia" w:ascii="宋体"/>
                <w:color w:val="auto"/>
                <w:kern w:val="2"/>
                <w:sz w:val="24"/>
                <w:szCs w:val="24"/>
                <w:highlight w:val="none"/>
              </w:rPr>
              <w:t>：</w:t>
            </w:r>
          </w:p>
          <w:p>
            <w:pPr>
              <w:adjustRightInd/>
              <w:spacing w:line="380" w:lineRule="exact"/>
              <w:textAlignment w:val="auto"/>
              <w:rPr>
                <w:rFonts w:hint="eastAsia" w:ascii="宋体" w:hAnsi="宋体" w:eastAsia="宋体" w:cs="宋体"/>
                <w:color w:val="auto"/>
                <w:kern w:val="0"/>
                <w:sz w:val="24"/>
                <w:szCs w:val="24"/>
                <w:highlight w:val="none"/>
                <w:lang w:val="en-US" w:eastAsia="zh-CN"/>
              </w:rPr>
            </w:pPr>
            <w:r>
              <w:rPr>
                <w:rFonts w:hint="eastAsia" w:ascii="宋体"/>
                <w:color w:val="auto"/>
                <w:kern w:val="2"/>
                <w:sz w:val="24"/>
                <w:szCs w:val="24"/>
                <w:highlight w:val="none"/>
                <w:lang w:val="en-US" w:eastAsia="zh-CN"/>
              </w:rPr>
              <w:t>1.</w:t>
            </w:r>
            <w:r>
              <w:rPr>
                <w:rFonts w:hint="eastAsia" w:ascii="宋体"/>
                <w:color w:val="auto"/>
                <w:kern w:val="2"/>
                <w:sz w:val="24"/>
                <w:szCs w:val="24"/>
                <w:highlight w:val="none"/>
              </w:rPr>
              <w:t>具有国家注册监理工程师</w:t>
            </w:r>
            <w:r>
              <w:rPr>
                <w:rFonts w:hint="eastAsia" w:ascii="宋体"/>
                <w:color w:val="auto"/>
                <w:kern w:val="2"/>
                <w:sz w:val="24"/>
                <w:szCs w:val="24"/>
                <w:highlight w:val="none"/>
                <w:lang w:eastAsia="zh-CN"/>
              </w:rPr>
              <w:t>（</w:t>
            </w:r>
            <w:r>
              <w:rPr>
                <w:rFonts w:hint="eastAsia" w:ascii="宋体"/>
                <w:color w:val="auto"/>
                <w:kern w:val="2"/>
                <w:sz w:val="24"/>
                <w:szCs w:val="24"/>
                <w:highlight w:val="none"/>
                <w:lang w:val="en-US" w:eastAsia="zh-CN"/>
              </w:rPr>
              <w:t>市政公用工程</w:t>
            </w:r>
            <w:r>
              <w:rPr>
                <w:rFonts w:hint="eastAsia" w:ascii="宋体"/>
                <w:color w:val="auto"/>
                <w:kern w:val="2"/>
                <w:sz w:val="24"/>
                <w:szCs w:val="24"/>
                <w:highlight w:val="none"/>
                <w:lang w:eastAsia="zh-CN"/>
              </w:rPr>
              <w:t>）</w:t>
            </w:r>
            <w:r>
              <w:rPr>
                <w:rFonts w:hint="eastAsia" w:ascii="宋体"/>
                <w:color w:val="auto"/>
                <w:kern w:val="2"/>
                <w:sz w:val="24"/>
                <w:szCs w:val="24"/>
                <w:highlight w:val="none"/>
                <w:lang w:val="en-US" w:eastAsia="zh-CN"/>
              </w:rPr>
              <w:t>证书</w:t>
            </w:r>
            <w:r>
              <w:rPr>
                <w:rFonts w:hint="eastAsia" w:ascii="宋体"/>
                <w:color w:val="auto"/>
                <w:kern w:val="2"/>
                <w:sz w:val="24"/>
                <w:szCs w:val="24"/>
                <w:highlight w:val="none"/>
              </w:rPr>
              <w:t>；2.具有一级注册造价工程师</w:t>
            </w:r>
            <w:r>
              <w:rPr>
                <w:rFonts w:hint="eastAsia" w:ascii="宋体"/>
                <w:color w:val="auto"/>
                <w:kern w:val="2"/>
                <w:sz w:val="24"/>
                <w:szCs w:val="24"/>
                <w:highlight w:val="none"/>
                <w:lang w:val="en-US" w:eastAsia="zh-CN"/>
              </w:rPr>
              <w:t>证书</w:t>
            </w:r>
            <w:r>
              <w:rPr>
                <w:rFonts w:hint="eastAsia" w:ascii="宋体"/>
                <w:color w:val="auto"/>
                <w:kern w:val="2"/>
                <w:sz w:val="24"/>
                <w:szCs w:val="24"/>
                <w:highlight w:val="none"/>
              </w:rPr>
              <w:t>；3.具有</w:t>
            </w:r>
            <w:r>
              <w:rPr>
                <w:rFonts w:hint="eastAsia" w:ascii="宋体"/>
                <w:color w:val="auto"/>
                <w:kern w:val="2"/>
                <w:sz w:val="24"/>
                <w:szCs w:val="24"/>
                <w:highlight w:val="none"/>
                <w:lang w:val="en-US" w:eastAsia="zh-CN"/>
              </w:rPr>
              <w:t>国家</w:t>
            </w:r>
            <w:r>
              <w:rPr>
                <w:rFonts w:hint="eastAsia" w:ascii="宋体"/>
                <w:color w:val="auto"/>
                <w:kern w:val="2"/>
                <w:sz w:val="24"/>
                <w:szCs w:val="24"/>
                <w:highlight w:val="none"/>
              </w:rPr>
              <w:t>注册咨询工程师(投资)</w:t>
            </w:r>
            <w:r>
              <w:rPr>
                <w:rFonts w:hint="eastAsia" w:ascii="宋体"/>
                <w:color w:val="auto"/>
                <w:kern w:val="2"/>
                <w:sz w:val="24"/>
                <w:szCs w:val="24"/>
                <w:highlight w:val="none"/>
                <w:lang w:val="en-US" w:eastAsia="zh-CN"/>
              </w:rPr>
              <w:t>证书</w:t>
            </w:r>
            <w:r>
              <w:rPr>
                <w:rFonts w:hint="eastAsia" w:ascii="宋体"/>
                <w:color w:val="auto"/>
                <w:kern w:val="2"/>
                <w:sz w:val="24"/>
                <w:szCs w:val="24"/>
                <w:highlight w:val="none"/>
              </w:rPr>
              <w:t>；4.具有一级建造师</w:t>
            </w:r>
            <w:r>
              <w:rPr>
                <w:rFonts w:hint="eastAsia" w:ascii="宋体"/>
                <w:color w:val="auto"/>
                <w:kern w:val="2"/>
                <w:sz w:val="24"/>
                <w:szCs w:val="24"/>
                <w:highlight w:val="none"/>
                <w:lang w:eastAsia="zh-CN"/>
              </w:rPr>
              <w:t>（</w:t>
            </w:r>
            <w:r>
              <w:rPr>
                <w:rFonts w:hint="eastAsia" w:ascii="宋体"/>
                <w:color w:val="auto"/>
                <w:kern w:val="2"/>
                <w:sz w:val="24"/>
                <w:szCs w:val="24"/>
                <w:highlight w:val="none"/>
                <w:lang w:val="en-US" w:eastAsia="zh-CN"/>
              </w:rPr>
              <w:t>市政公用工程</w:t>
            </w:r>
            <w:r>
              <w:rPr>
                <w:rFonts w:hint="eastAsia" w:ascii="宋体"/>
                <w:color w:val="auto"/>
                <w:kern w:val="2"/>
                <w:sz w:val="24"/>
                <w:szCs w:val="24"/>
                <w:highlight w:val="none"/>
                <w:lang w:eastAsia="zh-CN"/>
              </w:rPr>
              <w:t>）</w:t>
            </w:r>
            <w:r>
              <w:rPr>
                <w:rFonts w:hint="eastAsia" w:ascii="宋体"/>
                <w:color w:val="auto"/>
                <w:kern w:val="2"/>
                <w:sz w:val="24"/>
                <w:szCs w:val="24"/>
                <w:highlight w:val="none"/>
              </w:rPr>
              <w:t>注册</w:t>
            </w:r>
            <w:r>
              <w:rPr>
                <w:rFonts w:hint="eastAsia" w:ascii="宋体"/>
                <w:color w:val="auto"/>
                <w:kern w:val="2"/>
                <w:sz w:val="24"/>
                <w:szCs w:val="24"/>
                <w:highlight w:val="none"/>
                <w:lang w:val="en-US" w:eastAsia="zh-CN"/>
              </w:rPr>
              <w:t>证书；</w:t>
            </w:r>
            <w:r>
              <w:rPr>
                <w:rFonts w:hint="eastAsia" w:ascii="宋体"/>
                <w:color w:val="auto"/>
                <w:kern w:val="2"/>
                <w:sz w:val="24"/>
                <w:szCs w:val="24"/>
                <w:highlight w:val="none"/>
              </w:rPr>
              <w:t>5.具有一级注册建筑师</w:t>
            </w:r>
            <w:r>
              <w:rPr>
                <w:rFonts w:hint="eastAsia" w:ascii="宋体"/>
                <w:color w:val="auto"/>
                <w:kern w:val="2"/>
                <w:sz w:val="24"/>
                <w:szCs w:val="24"/>
                <w:highlight w:val="none"/>
                <w:lang w:val="en-US" w:eastAsia="zh-CN"/>
              </w:rPr>
              <w:t>证书</w:t>
            </w:r>
            <w:r>
              <w:rPr>
                <w:rFonts w:hint="eastAsia" w:ascii="宋体"/>
                <w:color w:val="auto"/>
                <w:kern w:val="2"/>
                <w:sz w:val="24"/>
                <w:szCs w:val="24"/>
                <w:highlight w:val="none"/>
              </w:rPr>
              <w:t>；</w:t>
            </w:r>
            <w:r>
              <w:rPr>
                <w:rFonts w:hint="eastAsia" w:ascii="宋体"/>
                <w:color w:val="auto"/>
                <w:kern w:val="2"/>
                <w:sz w:val="24"/>
                <w:szCs w:val="24"/>
                <w:highlight w:val="none"/>
                <w:lang w:val="en-US" w:eastAsia="zh-CN"/>
              </w:rPr>
              <w:t>6</w:t>
            </w:r>
            <w:r>
              <w:rPr>
                <w:rFonts w:hint="eastAsia" w:ascii="宋体" w:hAnsi="宋体" w:cs="宋体"/>
                <w:color w:val="auto"/>
                <w:kern w:val="0"/>
                <w:sz w:val="24"/>
                <w:szCs w:val="24"/>
                <w:highlight w:val="none"/>
                <w:lang w:val="en-US" w:eastAsia="zh-CN"/>
              </w:rPr>
              <w:t>.</w:t>
            </w:r>
            <w:r>
              <w:rPr>
                <w:rFonts w:hint="eastAsia" w:ascii="宋体" w:hAnsi="宋体" w:cs="宋体"/>
                <w:color w:val="auto"/>
                <w:sz w:val="24"/>
                <w:szCs w:val="24"/>
                <w:highlight w:val="none"/>
                <w:lang w:val="en-US" w:eastAsia="zh-CN"/>
              </w:rPr>
              <w:t>注册土木工程师（道路工程专业）证书；7.</w:t>
            </w:r>
            <w:r>
              <w:rPr>
                <w:rFonts w:hint="eastAsia" w:ascii="宋体" w:hAnsi="宋体" w:eastAsia="宋体" w:cs="宋体"/>
                <w:color w:val="auto"/>
                <w:kern w:val="0"/>
                <w:sz w:val="24"/>
                <w:szCs w:val="24"/>
                <w:highlight w:val="none"/>
              </w:rPr>
              <w:t>具有高级工程师</w:t>
            </w:r>
            <w:r>
              <w:rPr>
                <w:rFonts w:hint="eastAsia" w:ascii="宋体" w:hAnsi="宋体" w:cs="宋体"/>
                <w:color w:val="auto"/>
                <w:kern w:val="0"/>
                <w:sz w:val="24"/>
                <w:szCs w:val="24"/>
                <w:highlight w:val="none"/>
                <w:lang w:val="en-US" w:eastAsia="zh-CN"/>
              </w:rPr>
              <w:t>及以上</w:t>
            </w:r>
            <w:r>
              <w:rPr>
                <w:rFonts w:hint="eastAsia" w:ascii="宋体" w:hAnsi="宋体" w:eastAsia="宋体" w:cs="宋体"/>
                <w:color w:val="auto"/>
                <w:kern w:val="0"/>
                <w:sz w:val="24"/>
                <w:szCs w:val="24"/>
                <w:highlight w:val="none"/>
              </w:rPr>
              <w:t>职称</w:t>
            </w:r>
            <w:r>
              <w:rPr>
                <w:rFonts w:hint="eastAsia" w:ascii="宋体" w:hAnsi="宋体" w:cs="宋体"/>
                <w:color w:val="auto"/>
                <w:kern w:val="0"/>
                <w:sz w:val="24"/>
                <w:szCs w:val="24"/>
                <w:highlight w:val="none"/>
                <w:lang w:val="en-US" w:eastAsia="zh-CN"/>
              </w:rPr>
              <w:t>证书；</w:t>
            </w:r>
          </w:p>
          <w:p>
            <w:pPr>
              <w:adjustRightInd/>
              <w:spacing w:line="380" w:lineRule="exact"/>
              <w:ind w:firstLine="0" w:firstLineChars="0"/>
              <w:textAlignment w:val="auto"/>
              <w:rPr>
                <w:rFonts w:hint="eastAsia" w:ascii="宋体"/>
                <w:color w:val="auto"/>
                <w:kern w:val="2"/>
                <w:sz w:val="24"/>
                <w:szCs w:val="24"/>
                <w:highlight w:val="none"/>
                <w:lang w:val="en-US" w:eastAsia="zh-CN"/>
              </w:rPr>
            </w:pPr>
            <w:r>
              <w:rPr>
                <w:rFonts w:hint="eastAsia" w:ascii="宋体" w:hAnsi="宋体" w:cs="宋体"/>
                <w:color w:val="auto"/>
                <w:kern w:val="0"/>
                <w:sz w:val="24"/>
                <w:szCs w:val="24"/>
                <w:highlight w:val="none"/>
                <w:lang w:val="en-US" w:eastAsia="zh-CN"/>
              </w:rPr>
              <w:t>除满足资格要求外，</w:t>
            </w:r>
            <w:r>
              <w:rPr>
                <w:rFonts w:hint="eastAsia" w:ascii="宋体"/>
                <w:color w:val="auto"/>
                <w:kern w:val="2"/>
                <w:sz w:val="24"/>
                <w:szCs w:val="24"/>
                <w:highlight w:val="none"/>
              </w:rPr>
              <w:t>满足</w:t>
            </w:r>
            <w:r>
              <w:rPr>
                <w:rFonts w:hint="eastAsia" w:ascii="宋体"/>
                <w:color w:val="auto"/>
                <w:kern w:val="2"/>
                <w:sz w:val="24"/>
                <w:szCs w:val="24"/>
                <w:highlight w:val="none"/>
                <w:lang w:val="en-US" w:eastAsia="zh-CN"/>
              </w:rPr>
              <w:t>以上任一项</w:t>
            </w:r>
            <w:r>
              <w:rPr>
                <w:rFonts w:hint="eastAsia" w:ascii="宋体"/>
                <w:color w:val="auto"/>
                <w:kern w:val="2"/>
                <w:sz w:val="24"/>
                <w:szCs w:val="24"/>
                <w:highlight w:val="none"/>
              </w:rPr>
              <w:t>的</w:t>
            </w:r>
            <w:r>
              <w:rPr>
                <w:rFonts w:hint="eastAsia" w:ascii="宋体"/>
                <w:color w:val="auto"/>
                <w:kern w:val="2"/>
                <w:sz w:val="24"/>
                <w:szCs w:val="24"/>
                <w:highlight w:val="none"/>
                <w:lang w:val="en-US" w:eastAsia="zh-CN"/>
              </w:rPr>
              <w:t>得2.5分</w:t>
            </w:r>
            <w:r>
              <w:rPr>
                <w:rFonts w:hint="eastAsia" w:ascii="宋体"/>
                <w:color w:val="auto"/>
                <w:kern w:val="2"/>
                <w:sz w:val="24"/>
                <w:szCs w:val="24"/>
                <w:highlight w:val="none"/>
              </w:rPr>
              <w:t>，</w:t>
            </w:r>
            <w:r>
              <w:rPr>
                <w:rFonts w:hint="eastAsia" w:ascii="宋体"/>
                <w:color w:val="auto"/>
                <w:kern w:val="2"/>
                <w:sz w:val="24"/>
                <w:szCs w:val="24"/>
                <w:highlight w:val="none"/>
                <w:lang w:val="en-US" w:eastAsia="zh-CN"/>
              </w:rPr>
              <w:t>最多</w:t>
            </w:r>
            <w:r>
              <w:rPr>
                <w:rFonts w:hint="eastAsia" w:ascii="宋体"/>
                <w:color w:val="auto"/>
                <w:kern w:val="2"/>
                <w:sz w:val="24"/>
                <w:szCs w:val="24"/>
                <w:highlight w:val="none"/>
              </w:rPr>
              <w:t>得</w:t>
            </w:r>
            <w:r>
              <w:rPr>
                <w:rFonts w:hint="eastAsia" w:ascii="宋体"/>
                <w:color w:val="auto"/>
                <w:kern w:val="2"/>
                <w:sz w:val="24"/>
                <w:szCs w:val="24"/>
                <w:highlight w:val="none"/>
                <w:lang w:val="en-US" w:eastAsia="zh-CN"/>
              </w:rPr>
              <w:t>5</w:t>
            </w:r>
            <w:r>
              <w:rPr>
                <w:rFonts w:hint="eastAsia" w:ascii="宋体"/>
                <w:color w:val="auto"/>
                <w:kern w:val="2"/>
                <w:sz w:val="24"/>
                <w:szCs w:val="24"/>
                <w:highlight w:val="none"/>
              </w:rPr>
              <w:t>分</w:t>
            </w:r>
            <w:r>
              <w:rPr>
                <w:rFonts w:hint="eastAsia" w:ascii="宋体"/>
                <w:color w:val="auto"/>
                <w:kern w:val="2"/>
                <w:sz w:val="24"/>
                <w:szCs w:val="24"/>
                <w:highlight w:val="none"/>
                <w:lang w:eastAsia="zh-CN"/>
              </w:rPr>
              <w:t>。</w:t>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(1)投标文件</w:t>
            </w:r>
            <w:r>
              <w:rPr>
                <w:rFonts w:hint="eastAsia" w:ascii="宋体" w:hAnsi="宋体" w:cs="宋体"/>
                <w:color w:val="auto"/>
                <w:sz w:val="24"/>
                <w:szCs w:val="24"/>
                <w:highlight w:val="none"/>
                <w:lang w:val="en-US" w:eastAsia="zh-CN"/>
              </w:rPr>
              <w:t>中</w:t>
            </w:r>
            <w:r>
              <w:rPr>
                <w:rFonts w:hint="eastAsia" w:ascii="宋体" w:hAnsi="宋体" w:cs="宋体"/>
                <w:color w:val="auto"/>
                <w:sz w:val="24"/>
                <w:szCs w:val="24"/>
                <w:highlight w:val="none"/>
              </w:rPr>
              <w:t>应提供职称证书、注册证书复制件，证书需在证书需在有效期内，并加盖投标人公章。</w:t>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kern w:val="0"/>
                <w:sz w:val="24"/>
                <w:szCs w:val="24"/>
                <w:highlight w:val="none"/>
              </w:rPr>
              <w:t>项目负责人</w:t>
            </w:r>
            <w:r>
              <w:rPr>
                <w:rFonts w:hint="eastAsia" w:ascii="宋体" w:hAnsi="宋体" w:cs="宋体"/>
                <w:color w:val="auto"/>
                <w:kern w:val="0"/>
                <w:sz w:val="24"/>
                <w:szCs w:val="24"/>
                <w:highlight w:val="none"/>
                <w:lang w:val="en-US" w:eastAsia="zh-CN"/>
              </w:rPr>
              <w:t>应</w:t>
            </w:r>
            <w:r>
              <w:rPr>
                <w:rFonts w:hint="eastAsia" w:ascii="宋体" w:hAnsi="宋体" w:cs="宋体"/>
                <w:color w:val="auto"/>
                <w:sz w:val="24"/>
                <w:szCs w:val="24"/>
                <w:highlight w:val="none"/>
              </w:rPr>
              <w:t>为在职职工，不包括离、退休返聘人员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须提供缴费期限包含</w:t>
            </w:r>
            <w:r>
              <w:rPr>
                <w:rFonts w:hint="eastAsia" w:ascii="Times New Roman" w:hAnsi="宋体" w:eastAsia="宋体" w:cs="宋体"/>
                <w:color w:val="auto"/>
                <w:sz w:val="24"/>
                <w:szCs w:val="24"/>
                <w:highlight w:val="none"/>
              </w:rPr>
              <w:t>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w:t>
            </w:r>
            <w:r>
              <w:rPr>
                <w:rFonts w:hint="eastAsia" w:ascii="宋体" w:hAnsi="宋体" w:cs="宋体"/>
                <w:color w:val="auto"/>
                <w:sz w:val="24"/>
                <w:szCs w:val="24"/>
                <w:highlight w:val="none"/>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ascii="Times New Roman" w:hAnsi="宋体" w:eastAsia="宋体" w:cs="宋体"/>
                <w:color w:val="auto"/>
                <w:sz w:val="24"/>
                <w:szCs w:val="24"/>
                <w:highlight w:val="none"/>
              </w:rPr>
              <w:t>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w:t>
            </w:r>
            <w:r>
              <w:rPr>
                <w:rFonts w:hint="eastAsia" w:ascii="宋体" w:hAnsi="宋体" w:cs="宋体"/>
                <w:color w:val="auto"/>
                <w:sz w:val="24"/>
                <w:szCs w:val="24"/>
                <w:highlight w:val="none"/>
              </w:rPr>
              <w:t>由人事代理中心出具的</w:t>
            </w:r>
            <w:r>
              <w:rPr>
                <w:rFonts w:hint="eastAsia" w:ascii="Times New Roman" w:hAnsi="宋体" w:eastAsia="宋体" w:cs="宋体"/>
                <w:color w:val="auto"/>
                <w:sz w:val="24"/>
                <w:szCs w:val="24"/>
                <w:highlight w:val="none"/>
              </w:rPr>
              <w:t>个人养老保险缴纳清单或证明</w:t>
            </w:r>
            <w:r>
              <w:rPr>
                <w:rFonts w:hint="eastAsia" w:ascii="宋体" w:hAnsi="宋体" w:cs="宋体"/>
                <w:color w:val="auto"/>
                <w:sz w:val="24"/>
                <w:szCs w:val="24"/>
                <w:highlight w:val="none"/>
              </w:rPr>
              <w:t>（需加盖人事代理中心证明专用章【或电子专用章】）</w:t>
            </w:r>
            <w:r>
              <w:rPr>
                <w:rFonts w:hint="eastAsia" w:ascii="宋体" w:hAnsi="宋体" w:cs="宋体"/>
                <w:color w:val="auto"/>
                <w:sz w:val="24"/>
                <w:szCs w:val="24"/>
                <w:highlight w:val="none"/>
                <w:lang w:eastAsia="zh-CN"/>
              </w:rPr>
              <w:t>。</w:t>
            </w:r>
          </w:p>
          <w:p>
            <w:pPr>
              <w:spacing w:line="380" w:lineRule="exact"/>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(3)具有一级注册造价工程师（2018 年7月20日发布“建人〔2018〕67 号”文件之前取得的造价工程师与一级等同）</w:t>
            </w:r>
            <w:r>
              <w:rPr>
                <w:rFonts w:hint="eastAsia" w:ascii="宋体" w:hAnsi="宋体" w:cs="宋体"/>
                <w:color w:val="auto"/>
                <w:sz w:val="24"/>
                <w:szCs w:val="24"/>
                <w:highlight w:val="none"/>
                <w:lang w:val="en-US" w:eastAsia="zh-CN"/>
              </w:rPr>
              <w:t>证书</w:t>
            </w:r>
            <w:r>
              <w:rPr>
                <w:rFonts w:hint="eastAsia" w:ascii="宋体" w:hAnsi="宋体" w:eastAsia="宋体" w:cs="宋体"/>
                <w:color w:val="auto"/>
                <w:sz w:val="24"/>
                <w:szCs w:val="24"/>
                <w:highlight w:val="none"/>
              </w:rPr>
              <w:t>;</w:t>
            </w:r>
          </w:p>
          <w:p>
            <w:pPr>
              <w:spacing w:line="380" w:lineRule="exact"/>
              <w:ind w:firstLine="0" w:firstLineChars="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一级建造师注册证书须符合《住房和城乡建设部办公厅关于全面实行一级建造师电子注册证书的通知）》（建办市〔2021〕40号）规定；一级建造师证书必须采用有效的电子证书，一级建造师打印电子证书后，应在个人签名处手写本人签名，未手写签名或与签名图像笔迹不一致的，该电子证书无效。</w:t>
            </w:r>
          </w:p>
          <w:p>
            <w:pPr>
              <w:spacing w:line="380" w:lineRule="exact"/>
              <w:ind w:firstLine="0" w:firstLineChars="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一级注册建筑师相关证书须符合《全国注册建筑师管理委员会关于开展使用一级注册建筑师电子注册证书工作的通知》（注建〔2021〕2号）规定；一级建筑师证书必须采用有效的电子证书，一级建筑师打印电子证书后，应在个人签名处手写本人签名，未手写签名或与签名图像笔迹不一致的，该电子证书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787" w:type="dxa"/>
            <w:vAlign w:val="center"/>
          </w:tcPr>
          <w:p>
            <w:pPr>
              <w:jc w:val="center"/>
              <w:rPr>
                <w:rFonts w:hint="eastAsia" w:ascii="宋体" w:hAnsi="宋体" w:eastAsia="宋体" w:cs="宋体"/>
                <w:snapToGrid w:val="0"/>
                <w:color w:val="auto"/>
                <w:sz w:val="24"/>
                <w:szCs w:val="24"/>
                <w:highlight w:val="none"/>
                <w:lang w:val="en-US" w:eastAsia="zh-CN"/>
              </w:rPr>
            </w:pPr>
          </w:p>
        </w:tc>
        <w:tc>
          <w:tcPr>
            <w:tcW w:w="1556" w:type="dxa"/>
            <w:vAlign w:val="center"/>
          </w:tcPr>
          <w:p>
            <w:pPr>
              <w:jc w:val="center"/>
              <w:rPr>
                <w:rFonts w:hint="eastAsia" w:ascii="宋体" w:hAnsi="宋体" w:cs="宋体"/>
                <w:snapToGrid w:val="0"/>
                <w:color w:val="auto"/>
                <w:sz w:val="24"/>
                <w:szCs w:val="24"/>
                <w:highlight w:val="none"/>
              </w:rPr>
            </w:pPr>
          </w:p>
        </w:tc>
        <w:tc>
          <w:tcPr>
            <w:tcW w:w="1578" w:type="dxa"/>
            <w:vAlign w:val="center"/>
          </w:tcPr>
          <w:p>
            <w:pPr>
              <w:spacing w:line="380" w:lineRule="exact"/>
              <w:jc w:val="center"/>
              <w:rPr>
                <w:rFonts w:hint="eastAsia" w:ascii="宋体" w:hAnsi="宋体" w:cs="宋体"/>
                <w:color w:val="auto"/>
                <w:kern w:val="16"/>
                <w:sz w:val="24"/>
                <w:szCs w:val="24"/>
                <w:highlight w:val="none"/>
                <w:lang w:val="en-US" w:eastAsia="zh-CN"/>
              </w:rPr>
            </w:pPr>
          </w:p>
          <w:p>
            <w:pPr>
              <w:spacing w:line="380" w:lineRule="exact"/>
              <w:jc w:val="center"/>
              <w:rPr>
                <w:rFonts w:hint="eastAsia" w:ascii="宋体" w:hAnsi="宋体" w:cs="宋体"/>
                <w:color w:val="auto"/>
                <w:kern w:val="16"/>
                <w:sz w:val="24"/>
                <w:szCs w:val="24"/>
                <w:highlight w:val="none"/>
              </w:rPr>
            </w:pPr>
            <w:r>
              <w:rPr>
                <w:rFonts w:hint="eastAsia" w:ascii="宋体" w:hAnsi="宋体" w:cs="宋体"/>
                <w:color w:val="auto"/>
                <w:kern w:val="16"/>
                <w:sz w:val="24"/>
                <w:szCs w:val="24"/>
                <w:highlight w:val="none"/>
              </w:rPr>
              <w:t>人员（除项目负责人以外）的配置</w:t>
            </w:r>
          </w:p>
          <w:p>
            <w:pPr>
              <w:spacing w:line="380" w:lineRule="exact"/>
              <w:jc w:val="center"/>
              <w:rPr>
                <w:rFonts w:ascii="宋体" w:hAnsi="宋体" w:cs="宋体"/>
                <w:color w:val="auto"/>
                <w:kern w:val="16"/>
                <w:sz w:val="24"/>
                <w:szCs w:val="24"/>
                <w:highlight w:val="none"/>
              </w:rPr>
            </w:pPr>
            <w:r>
              <w:rPr>
                <w:rFonts w:hint="eastAsia" w:ascii="宋体" w:hAnsi="宋体" w:cs="宋体"/>
                <w:color w:val="auto"/>
                <w:kern w:val="16"/>
                <w:sz w:val="24"/>
                <w:szCs w:val="24"/>
                <w:highlight w:val="none"/>
              </w:rPr>
              <w:t>（</w:t>
            </w:r>
            <w:r>
              <w:rPr>
                <w:rFonts w:hint="eastAsia" w:ascii="宋体" w:hAnsi="宋体" w:cs="宋体"/>
                <w:color w:val="auto"/>
                <w:kern w:val="16"/>
                <w:sz w:val="24"/>
                <w:szCs w:val="24"/>
                <w:highlight w:val="none"/>
                <w:lang w:val="en-US" w:eastAsia="zh-CN"/>
              </w:rPr>
              <w:t>10</w:t>
            </w:r>
            <w:r>
              <w:rPr>
                <w:rFonts w:hint="eastAsia" w:ascii="宋体" w:hAnsi="宋体" w:cs="宋体"/>
                <w:color w:val="auto"/>
                <w:kern w:val="16"/>
                <w:sz w:val="24"/>
                <w:szCs w:val="24"/>
                <w:highlight w:val="none"/>
              </w:rPr>
              <w:t>分）</w:t>
            </w:r>
          </w:p>
          <w:p>
            <w:pPr>
              <w:rPr>
                <w:rFonts w:hint="eastAsia" w:ascii="宋体" w:hAnsi="宋体" w:cs="宋体"/>
                <w:color w:val="auto"/>
                <w:sz w:val="24"/>
                <w:szCs w:val="24"/>
                <w:highlight w:val="none"/>
              </w:rPr>
            </w:pPr>
          </w:p>
        </w:tc>
        <w:tc>
          <w:tcPr>
            <w:tcW w:w="6105" w:type="dxa"/>
          </w:tcPr>
          <w:p>
            <w:pPr>
              <w:spacing w:line="380" w:lineRule="exact"/>
              <w:rPr>
                <w:rFonts w:hint="eastAsia" w:ascii="宋体"/>
                <w:b/>
                <w:bCs/>
                <w:color w:val="auto"/>
                <w:kern w:val="2"/>
                <w:sz w:val="24"/>
                <w:szCs w:val="24"/>
                <w:highlight w:val="none"/>
              </w:rPr>
            </w:pPr>
            <w:r>
              <w:rPr>
                <w:rFonts w:hint="eastAsia" w:ascii="宋体"/>
                <w:b/>
                <w:bCs/>
                <w:color w:val="auto"/>
                <w:kern w:val="2"/>
                <w:sz w:val="24"/>
                <w:szCs w:val="24"/>
                <w:highlight w:val="none"/>
              </w:rPr>
              <w:t>各专业负责人配置情况（</w:t>
            </w:r>
            <w:r>
              <w:rPr>
                <w:rFonts w:hint="eastAsia" w:ascii="宋体"/>
                <w:b/>
                <w:bCs/>
                <w:color w:val="auto"/>
                <w:kern w:val="2"/>
                <w:sz w:val="24"/>
                <w:szCs w:val="24"/>
                <w:highlight w:val="none"/>
                <w:lang w:val="en-US" w:eastAsia="zh-CN"/>
              </w:rPr>
              <w:t>4</w:t>
            </w:r>
            <w:r>
              <w:rPr>
                <w:rFonts w:hint="eastAsia" w:ascii="宋体"/>
                <w:b/>
                <w:bCs/>
                <w:color w:val="auto"/>
                <w:kern w:val="2"/>
                <w:sz w:val="24"/>
                <w:szCs w:val="24"/>
                <w:highlight w:val="none"/>
              </w:rPr>
              <w:t>分）</w:t>
            </w:r>
          </w:p>
          <w:p>
            <w:pPr>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监理负责人（总监）</w:t>
            </w:r>
            <w:r>
              <w:rPr>
                <w:rFonts w:hint="eastAsia" w:ascii="宋体"/>
                <w:color w:val="auto"/>
                <w:kern w:val="2"/>
                <w:sz w:val="24"/>
                <w:szCs w:val="24"/>
                <w:highlight w:val="none"/>
              </w:rPr>
              <w:t>具有如下条件情况</w:t>
            </w:r>
            <w:r>
              <w:rPr>
                <w:rFonts w:hint="eastAsia" w:ascii="宋体"/>
                <w:color w:val="auto"/>
                <w:kern w:val="2"/>
                <w:sz w:val="24"/>
                <w:szCs w:val="24"/>
                <w:highlight w:val="none"/>
                <w:lang w:val="en-US" w:eastAsia="zh-CN"/>
              </w:rPr>
              <w:t>(2分):</w:t>
            </w:r>
          </w:p>
          <w:p>
            <w:pPr>
              <w:numPr>
                <w:ilvl w:val="0"/>
                <w:numId w:val="0"/>
              </w:numPr>
              <w:spacing w:line="380" w:lineRule="exact"/>
              <w:ind w:firstLine="0" w:firstLineChars="0"/>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color w:val="auto"/>
                <w:kern w:val="2"/>
                <w:sz w:val="24"/>
                <w:szCs w:val="24"/>
                <w:highlight w:val="none"/>
              </w:rPr>
              <w:t>具有一级注册造价工程师</w:t>
            </w:r>
            <w:r>
              <w:rPr>
                <w:rFonts w:hint="eastAsia" w:ascii="宋体"/>
                <w:color w:val="auto"/>
                <w:kern w:val="2"/>
                <w:sz w:val="24"/>
                <w:szCs w:val="24"/>
                <w:highlight w:val="none"/>
                <w:lang w:val="en-US" w:eastAsia="zh-CN"/>
              </w:rPr>
              <w:t>证书;(2)</w:t>
            </w:r>
            <w:r>
              <w:rPr>
                <w:rFonts w:hint="eastAsia" w:ascii="宋体" w:hAnsi="宋体" w:cs="宋体"/>
                <w:color w:val="auto"/>
                <w:sz w:val="24"/>
                <w:szCs w:val="24"/>
                <w:highlight w:val="none"/>
                <w:lang w:val="en-US" w:eastAsia="zh-CN"/>
              </w:rPr>
              <w:t>具有国家注册咨询工程师(投资)</w:t>
            </w:r>
            <w:r>
              <w:rPr>
                <w:rFonts w:hint="eastAsia" w:ascii="宋体"/>
                <w:color w:val="auto"/>
                <w:kern w:val="2"/>
                <w:sz w:val="24"/>
                <w:szCs w:val="24"/>
                <w:highlight w:val="none"/>
                <w:lang w:val="en-US" w:eastAsia="zh-CN"/>
              </w:rPr>
              <w:t>证书</w:t>
            </w:r>
            <w:r>
              <w:rPr>
                <w:rFonts w:hint="eastAsia" w:ascii="宋体" w:hAnsi="宋体" w:cs="宋体"/>
                <w:b/>
                <w:bCs/>
                <w:color w:val="auto"/>
                <w:sz w:val="24"/>
                <w:szCs w:val="24"/>
                <w:highlight w:val="none"/>
                <w:lang w:val="en-US" w:eastAsia="zh-CN"/>
              </w:rPr>
              <w:t>;(3)</w:t>
            </w:r>
            <w:r>
              <w:rPr>
                <w:rFonts w:hint="eastAsia" w:ascii="宋体" w:hAnsi="宋体" w:cs="宋体"/>
                <w:color w:val="auto"/>
                <w:sz w:val="24"/>
                <w:szCs w:val="24"/>
                <w:highlight w:val="none"/>
                <w:lang w:val="en-US" w:eastAsia="zh-CN"/>
              </w:rPr>
              <w:t>注册土木工程师（道路工程）</w:t>
            </w:r>
            <w:r>
              <w:rPr>
                <w:rFonts w:hint="eastAsia" w:ascii="宋体"/>
                <w:color w:val="auto"/>
                <w:kern w:val="2"/>
                <w:sz w:val="24"/>
                <w:szCs w:val="24"/>
                <w:highlight w:val="none"/>
                <w:lang w:val="en-US" w:eastAsia="zh-CN"/>
              </w:rPr>
              <w:t>证书</w:t>
            </w:r>
            <w:r>
              <w:rPr>
                <w:rFonts w:hint="eastAsia" w:ascii="宋体" w:hAnsi="宋体" w:cs="宋体"/>
                <w:color w:val="auto"/>
                <w:sz w:val="24"/>
                <w:szCs w:val="24"/>
                <w:highlight w:val="none"/>
                <w:lang w:val="en-US" w:eastAsia="zh-CN"/>
              </w:rPr>
              <w:t>;(4)</w:t>
            </w:r>
            <w:r>
              <w:rPr>
                <w:rFonts w:hint="eastAsia" w:ascii="宋体" w:hAnsi="宋体" w:cs="宋体"/>
                <w:color w:val="auto"/>
                <w:kern w:val="0"/>
                <w:sz w:val="24"/>
                <w:szCs w:val="24"/>
                <w:highlight w:val="none"/>
              </w:rPr>
              <w:t>具有一级建造师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市政公用工程</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注册</w:t>
            </w:r>
            <w:r>
              <w:rPr>
                <w:rFonts w:hint="eastAsia" w:ascii="宋体" w:hAnsi="宋体" w:cs="宋体"/>
                <w:color w:val="auto"/>
                <w:kern w:val="0"/>
                <w:sz w:val="24"/>
                <w:szCs w:val="24"/>
                <w:highlight w:val="none"/>
                <w:lang w:val="en-US" w:eastAsia="zh-CN"/>
              </w:rPr>
              <w:t>证书;(5)</w:t>
            </w:r>
            <w:r>
              <w:rPr>
                <w:rFonts w:hint="eastAsia" w:ascii="宋体"/>
                <w:color w:val="auto"/>
                <w:kern w:val="2"/>
                <w:sz w:val="24"/>
                <w:szCs w:val="24"/>
                <w:highlight w:val="none"/>
              </w:rPr>
              <w:t>具有一级注册建筑师</w:t>
            </w:r>
            <w:r>
              <w:rPr>
                <w:rFonts w:hint="eastAsia" w:ascii="宋体"/>
                <w:color w:val="auto"/>
                <w:kern w:val="2"/>
                <w:sz w:val="24"/>
                <w:szCs w:val="24"/>
                <w:highlight w:val="none"/>
                <w:lang w:val="en-US" w:eastAsia="zh-CN"/>
              </w:rPr>
              <w:t>证书;(6)</w:t>
            </w:r>
            <w:r>
              <w:rPr>
                <w:rFonts w:hint="eastAsia" w:ascii="宋体" w:hAnsi="宋体" w:eastAsia="宋体" w:cs="宋体"/>
                <w:color w:val="auto"/>
                <w:kern w:val="0"/>
                <w:sz w:val="24"/>
                <w:szCs w:val="24"/>
                <w:highlight w:val="none"/>
              </w:rPr>
              <w:t>具有高级工程师</w:t>
            </w:r>
            <w:r>
              <w:rPr>
                <w:rFonts w:hint="eastAsia" w:ascii="宋体" w:hAnsi="宋体" w:cs="宋体"/>
                <w:color w:val="auto"/>
                <w:kern w:val="0"/>
                <w:sz w:val="24"/>
                <w:szCs w:val="24"/>
                <w:highlight w:val="none"/>
                <w:lang w:val="en-US" w:eastAsia="zh-CN"/>
              </w:rPr>
              <w:t>及以上</w:t>
            </w:r>
            <w:r>
              <w:rPr>
                <w:rFonts w:hint="eastAsia" w:ascii="宋体" w:hAnsi="宋体" w:eastAsia="宋体" w:cs="宋体"/>
                <w:color w:val="auto"/>
                <w:kern w:val="0"/>
                <w:sz w:val="24"/>
                <w:szCs w:val="24"/>
                <w:highlight w:val="none"/>
              </w:rPr>
              <w:t>职称</w:t>
            </w:r>
            <w:r>
              <w:rPr>
                <w:rFonts w:hint="eastAsia" w:ascii="宋体" w:hAnsi="宋体" w:cs="宋体"/>
                <w:color w:val="auto"/>
                <w:kern w:val="0"/>
                <w:sz w:val="24"/>
                <w:szCs w:val="24"/>
                <w:highlight w:val="none"/>
                <w:lang w:val="en-US" w:eastAsia="zh-CN"/>
              </w:rPr>
              <w:t>证书;</w:t>
            </w:r>
            <w:r>
              <w:rPr>
                <w:rFonts w:hint="eastAsia" w:ascii="宋体"/>
                <w:color w:val="auto"/>
                <w:kern w:val="2"/>
                <w:sz w:val="24"/>
                <w:szCs w:val="24"/>
                <w:highlight w:val="none"/>
              </w:rPr>
              <w:t>满足</w:t>
            </w:r>
            <w:r>
              <w:rPr>
                <w:rFonts w:hint="eastAsia" w:ascii="宋体"/>
                <w:color w:val="auto"/>
                <w:kern w:val="2"/>
                <w:sz w:val="24"/>
                <w:szCs w:val="24"/>
                <w:highlight w:val="none"/>
                <w:lang w:val="en-US" w:eastAsia="zh-CN"/>
              </w:rPr>
              <w:t>以上任一项</w:t>
            </w:r>
            <w:r>
              <w:rPr>
                <w:rFonts w:hint="eastAsia" w:ascii="宋体"/>
                <w:color w:val="auto"/>
                <w:kern w:val="2"/>
                <w:sz w:val="24"/>
                <w:szCs w:val="24"/>
                <w:highlight w:val="none"/>
              </w:rPr>
              <w:t>的</w:t>
            </w:r>
            <w:r>
              <w:rPr>
                <w:rFonts w:hint="eastAsia" w:ascii="宋体"/>
                <w:color w:val="auto"/>
                <w:kern w:val="2"/>
                <w:sz w:val="24"/>
                <w:szCs w:val="24"/>
                <w:highlight w:val="none"/>
                <w:lang w:val="en-US" w:eastAsia="zh-CN"/>
              </w:rPr>
              <w:t>得1分</w:t>
            </w:r>
            <w:r>
              <w:rPr>
                <w:rFonts w:hint="eastAsia" w:ascii="宋体"/>
                <w:color w:val="auto"/>
                <w:kern w:val="2"/>
                <w:sz w:val="24"/>
                <w:szCs w:val="24"/>
                <w:highlight w:val="none"/>
              </w:rPr>
              <w:t>，</w:t>
            </w:r>
            <w:r>
              <w:rPr>
                <w:rFonts w:hint="eastAsia" w:ascii="宋体"/>
                <w:color w:val="auto"/>
                <w:kern w:val="2"/>
                <w:sz w:val="24"/>
                <w:szCs w:val="24"/>
                <w:highlight w:val="none"/>
                <w:lang w:val="en-US" w:eastAsia="zh-CN"/>
              </w:rPr>
              <w:t>最多</w:t>
            </w:r>
            <w:r>
              <w:rPr>
                <w:rFonts w:hint="eastAsia" w:ascii="宋体"/>
                <w:color w:val="auto"/>
                <w:kern w:val="2"/>
                <w:sz w:val="24"/>
                <w:szCs w:val="24"/>
                <w:highlight w:val="none"/>
              </w:rPr>
              <w:t>得</w:t>
            </w:r>
            <w:r>
              <w:rPr>
                <w:rFonts w:hint="eastAsia" w:ascii="宋体"/>
                <w:color w:val="auto"/>
                <w:kern w:val="2"/>
                <w:sz w:val="24"/>
                <w:szCs w:val="24"/>
                <w:highlight w:val="none"/>
                <w:lang w:val="en-US" w:eastAsia="zh-CN"/>
              </w:rPr>
              <w:t>2</w:t>
            </w:r>
            <w:r>
              <w:rPr>
                <w:rFonts w:hint="eastAsia" w:ascii="宋体"/>
                <w:color w:val="auto"/>
                <w:kern w:val="2"/>
                <w:sz w:val="24"/>
                <w:szCs w:val="24"/>
                <w:highlight w:val="none"/>
              </w:rPr>
              <w:t>分</w:t>
            </w:r>
            <w:r>
              <w:rPr>
                <w:rFonts w:hint="eastAsia" w:ascii="宋体"/>
                <w:color w:val="auto"/>
                <w:kern w:val="2"/>
                <w:sz w:val="24"/>
                <w:szCs w:val="24"/>
                <w:highlight w:val="none"/>
                <w:lang w:eastAsia="zh-CN"/>
              </w:rPr>
              <w:t>。</w:t>
            </w:r>
          </w:p>
          <w:p>
            <w:pPr>
              <w:spacing w:line="380" w:lineRule="exact"/>
              <w:rPr>
                <w:rFonts w:ascii="宋体" w:hAnsi="宋体" w:cs="宋体"/>
                <w:color w:val="auto"/>
                <w:sz w:val="24"/>
                <w:szCs w:val="24"/>
                <w:highlight w:val="none"/>
              </w:rPr>
            </w:pPr>
            <w:r>
              <w:rPr>
                <w:rFonts w:hint="eastAsia" w:ascii="宋体" w:hAnsi="宋体" w:cs="宋体"/>
                <w:b/>
                <w:bCs/>
                <w:color w:val="auto"/>
                <w:sz w:val="24"/>
                <w:szCs w:val="24"/>
                <w:highlight w:val="none"/>
              </w:rPr>
              <w:t>2.造价咨询负责人，</w:t>
            </w:r>
            <w:r>
              <w:rPr>
                <w:rFonts w:hint="eastAsia" w:ascii="宋体"/>
                <w:color w:val="auto"/>
                <w:kern w:val="2"/>
                <w:sz w:val="24"/>
                <w:szCs w:val="24"/>
                <w:highlight w:val="none"/>
              </w:rPr>
              <w:t>具有如下条件情况</w:t>
            </w:r>
            <w:r>
              <w:rPr>
                <w:rFonts w:hint="eastAsia" w:ascii="宋体"/>
                <w:color w:val="auto"/>
                <w:kern w:val="2"/>
                <w:sz w:val="24"/>
                <w:szCs w:val="24"/>
                <w:highlight w:val="none"/>
                <w:lang w:val="en-US" w:eastAsia="zh-CN"/>
              </w:rPr>
              <w:t>(2分)</w:t>
            </w:r>
            <w:r>
              <w:rPr>
                <w:rFonts w:hint="eastAsia" w:ascii="宋体" w:hAnsi="宋体" w:cs="宋体"/>
                <w:b/>
                <w:bCs/>
                <w:color w:val="auto"/>
                <w:sz w:val="24"/>
                <w:szCs w:val="24"/>
                <w:highlight w:val="none"/>
                <w:lang w:val="en-US" w:eastAsia="zh-CN"/>
              </w:rPr>
              <w:t>:</w:t>
            </w:r>
          </w:p>
          <w:p>
            <w:pPr>
              <w:adjustRightInd/>
              <w:spacing w:line="380" w:lineRule="exac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val="en-US" w:eastAsia="zh-CN"/>
              </w:rPr>
              <w:t>(1)注册土木工程师（道路工程）</w:t>
            </w:r>
            <w:r>
              <w:rPr>
                <w:rFonts w:hint="eastAsia" w:ascii="宋体"/>
                <w:color w:val="auto"/>
                <w:kern w:val="2"/>
                <w:sz w:val="24"/>
                <w:szCs w:val="24"/>
                <w:highlight w:val="none"/>
                <w:lang w:val="en-US" w:eastAsia="zh-CN"/>
              </w:rPr>
              <w:t>证书</w:t>
            </w:r>
            <w:r>
              <w:rPr>
                <w:rFonts w:hint="eastAsia" w:ascii="宋体" w:hAnsi="宋体" w:cs="宋体"/>
                <w:color w:val="auto"/>
                <w:sz w:val="24"/>
                <w:szCs w:val="24"/>
                <w:highlight w:val="none"/>
                <w:lang w:val="en-US" w:eastAsia="zh-CN"/>
              </w:rPr>
              <w:t>;(2)</w:t>
            </w:r>
            <w:r>
              <w:rPr>
                <w:rFonts w:hint="eastAsia" w:ascii="宋体" w:hAnsi="宋体" w:cs="宋体"/>
                <w:color w:val="auto"/>
                <w:kern w:val="0"/>
                <w:sz w:val="24"/>
                <w:szCs w:val="24"/>
                <w:highlight w:val="none"/>
              </w:rPr>
              <w:t>具有一级建造师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市政公用工程</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注册</w:t>
            </w:r>
            <w:r>
              <w:rPr>
                <w:rFonts w:hint="eastAsia" w:ascii="宋体" w:hAnsi="宋体" w:cs="宋体"/>
                <w:color w:val="auto"/>
                <w:kern w:val="0"/>
                <w:sz w:val="24"/>
                <w:szCs w:val="24"/>
                <w:highlight w:val="none"/>
                <w:lang w:val="en-US" w:eastAsia="zh-CN"/>
              </w:rPr>
              <w:t>证书;(3)</w:t>
            </w:r>
            <w:r>
              <w:rPr>
                <w:rFonts w:hint="eastAsia" w:ascii="宋体" w:hAnsi="宋体" w:cs="宋体"/>
                <w:color w:val="auto"/>
                <w:sz w:val="24"/>
                <w:szCs w:val="24"/>
                <w:highlight w:val="none"/>
                <w:lang w:val="en-US" w:eastAsia="zh-CN"/>
              </w:rPr>
              <w:t>具有国家注册咨询工程师(投资)</w:t>
            </w:r>
            <w:r>
              <w:rPr>
                <w:rFonts w:hint="eastAsia" w:ascii="宋体"/>
                <w:color w:val="auto"/>
                <w:kern w:val="2"/>
                <w:sz w:val="24"/>
                <w:szCs w:val="24"/>
                <w:highlight w:val="none"/>
                <w:lang w:val="en-US" w:eastAsia="zh-CN"/>
              </w:rPr>
              <w:t>证书;(4)</w:t>
            </w:r>
            <w:r>
              <w:rPr>
                <w:rFonts w:hint="eastAsia" w:ascii="宋体" w:hAnsi="宋体" w:eastAsia="宋体" w:cs="宋体"/>
                <w:color w:val="auto"/>
                <w:kern w:val="0"/>
                <w:sz w:val="24"/>
                <w:szCs w:val="24"/>
                <w:highlight w:val="none"/>
              </w:rPr>
              <w:t>具有高级工程师</w:t>
            </w:r>
            <w:r>
              <w:rPr>
                <w:rFonts w:hint="eastAsia" w:ascii="宋体" w:hAnsi="宋体" w:cs="宋体"/>
                <w:color w:val="auto"/>
                <w:kern w:val="0"/>
                <w:sz w:val="24"/>
                <w:szCs w:val="24"/>
                <w:highlight w:val="none"/>
                <w:lang w:val="en-US" w:eastAsia="zh-CN"/>
              </w:rPr>
              <w:t>及以上</w:t>
            </w:r>
            <w:r>
              <w:rPr>
                <w:rFonts w:hint="eastAsia" w:ascii="宋体" w:hAnsi="宋体" w:eastAsia="宋体" w:cs="宋体"/>
                <w:color w:val="auto"/>
                <w:kern w:val="0"/>
                <w:sz w:val="24"/>
                <w:szCs w:val="24"/>
                <w:highlight w:val="none"/>
              </w:rPr>
              <w:t>职称</w:t>
            </w:r>
            <w:r>
              <w:rPr>
                <w:rFonts w:hint="eastAsia" w:ascii="宋体" w:hAnsi="宋体" w:cs="宋体"/>
                <w:color w:val="auto"/>
                <w:kern w:val="0"/>
                <w:sz w:val="24"/>
                <w:szCs w:val="24"/>
                <w:highlight w:val="none"/>
                <w:lang w:val="en-US" w:eastAsia="zh-CN"/>
              </w:rPr>
              <w:t>证书;</w:t>
            </w:r>
            <w:r>
              <w:rPr>
                <w:rFonts w:hint="eastAsia" w:ascii="宋体"/>
                <w:color w:val="auto"/>
                <w:kern w:val="2"/>
                <w:sz w:val="24"/>
                <w:szCs w:val="24"/>
                <w:highlight w:val="none"/>
              </w:rPr>
              <w:t>满足</w:t>
            </w:r>
            <w:r>
              <w:rPr>
                <w:rFonts w:hint="eastAsia" w:ascii="宋体"/>
                <w:color w:val="auto"/>
                <w:kern w:val="2"/>
                <w:sz w:val="24"/>
                <w:szCs w:val="24"/>
                <w:highlight w:val="none"/>
                <w:lang w:val="en-US" w:eastAsia="zh-CN"/>
              </w:rPr>
              <w:t>以上任一项</w:t>
            </w:r>
            <w:r>
              <w:rPr>
                <w:rFonts w:hint="eastAsia" w:ascii="宋体"/>
                <w:color w:val="auto"/>
                <w:kern w:val="2"/>
                <w:sz w:val="24"/>
                <w:szCs w:val="24"/>
                <w:highlight w:val="none"/>
              </w:rPr>
              <w:t>的</w:t>
            </w:r>
            <w:r>
              <w:rPr>
                <w:rFonts w:hint="eastAsia" w:ascii="宋体"/>
                <w:color w:val="auto"/>
                <w:kern w:val="2"/>
                <w:sz w:val="24"/>
                <w:szCs w:val="24"/>
                <w:highlight w:val="none"/>
                <w:lang w:val="en-US" w:eastAsia="zh-CN"/>
              </w:rPr>
              <w:t>得1分</w:t>
            </w:r>
            <w:r>
              <w:rPr>
                <w:rFonts w:hint="eastAsia" w:ascii="宋体"/>
                <w:color w:val="auto"/>
                <w:kern w:val="2"/>
                <w:sz w:val="24"/>
                <w:szCs w:val="24"/>
                <w:highlight w:val="none"/>
              </w:rPr>
              <w:t>，</w:t>
            </w:r>
            <w:r>
              <w:rPr>
                <w:rFonts w:hint="eastAsia" w:ascii="宋体"/>
                <w:color w:val="auto"/>
                <w:kern w:val="2"/>
                <w:sz w:val="24"/>
                <w:szCs w:val="24"/>
                <w:highlight w:val="none"/>
                <w:lang w:val="en-US" w:eastAsia="zh-CN"/>
              </w:rPr>
              <w:t>最多</w:t>
            </w:r>
            <w:r>
              <w:rPr>
                <w:rFonts w:hint="eastAsia" w:ascii="宋体"/>
                <w:color w:val="auto"/>
                <w:kern w:val="2"/>
                <w:sz w:val="24"/>
                <w:szCs w:val="24"/>
                <w:highlight w:val="none"/>
              </w:rPr>
              <w:t>得</w:t>
            </w:r>
            <w:r>
              <w:rPr>
                <w:rFonts w:hint="eastAsia" w:ascii="宋体"/>
                <w:color w:val="auto"/>
                <w:kern w:val="2"/>
                <w:sz w:val="24"/>
                <w:szCs w:val="24"/>
                <w:highlight w:val="none"/>
                <w:lang w:val="en-US" w:eastAsia="zh-CN"/>
              </w:rPr>
              <w:t>2</w:t>
            </w:r>
            <w:r>
              <w:rPr>
                <w:rFonts w:hint="eastAsia" w:ascii="宋体"/>
                <w:color w:val="auto"/>
                <w:kern w:val="2"/>
                <w:sz w:val="24"/>
                <w:szCs w:val="24"/>
                <w:highlight w:val="none"/>
              </w:rPr>
              <w:t>分</w:t>
            </w:r>
            <w:r>
              <w:rPr>
                <w:rFonts w:hint="eastAsia" w:ascii="宋体"/>
                <w:color w:val="auto"/>
                <w:kern w:val="2"/>
                <w:sz w:val="24"/>
                <w:szCs w:val="24"/>
                <w:highlight w:val="none"/>
                <w:lang w:eastAsia="zh-CN"/>
              </w:rPr>
              <w:t>。</w:t>
            </w:r>
          </w:p>
          <w:p>
            <w:pPr>
              <w:spacing w:line="380" w:lineRule="exact"/>
              <w:ind w:firstLine="0" w:firstLineChars="0"/>
              <w:rPr>
                <w:rFonts w:hint="eastAsia" w:ascii="宋体" w:hAnsi="宋体" w:eastAsia="宋体" w:cs="宋体"/>
                <w:color w:val="auto"/>
                <w:kern w:val="16"/>
                <w:sz w:val="24"/>
                <w:szCs w:val="24"/>
                <w:highlight w:val="none"/>
                <w:lang w:val="en-US" w:eastAsia="zh-CN" w:bidi="ar-SA"/>
              </w:rPr>
            </w:pPr>
            <w:r>
              <w:rPr>
                <w:rFonts w:hint="eastAsia" w:ascii="宋体" w:hAnsi="宋体" w:eastAsia="宋体" w:cs="宋体"/>
                <w:color w:val="auto"/>
                <w:kern w:val="16"/>
                <w:sz w:val="24"/>
                <w:szCs w:val="24"/>
                <w:highlight w:val="none"/>
                <w:lang w:val="en-US" w:eastAsia="zh-CN" w:bidi="ar-SA"/>
              </w:rPr>
              <w:t>注：</w:t>
            </w:r>
          </w:p>
          <w:p>
            <w:pPr>
              <w:spacing w:line="380" w:lineRule="exact"/>
              <w:ind w:firstLine="0" w:firstLineChars="0"/>
              <w:rPr>
                <w:rFonts w:hint="eastAsia" w:ascii="宋体" w:hAnsi="宋体" w:eastAsia="宋体" w:cs="宋体"/>
                <w:color w:val="auto"/>
                <w:kern w:val="16"/>
                <w:sz w:val="24"/>
                <w:szCs w:val="24"/>
                <w:highlight w:val="none"/>
                <w:lang w:val="en-US" w:eastAsia="zh-CN" w:bidi="ar-SA"/>
              </w:rPr>
            </w:pPr>
            <w:r>
              <w:rPr>
                <w:rFonts w:hint="eastAsia" w:ascii="宋体" w:hAnsi="宋体" w:eastAsia="宋体" w:cs="宋体"/>
                <w:color w:val="auto"/>
                <w:kern w:val="16"/>
                <w:sz w:val="24"/>
                <w:szCs w:val="24"/>
                <w:highlight w:val="none"/>
                <w:lang w:val="en-US" w:eastAsia="zh-CN" w:bidi="ar-SA"/>
              </w:rPr>
              <w:t>①投标文件应提供职称证书、注册证书复制件，证书需在证书需在有效期内，并加盖投标人公章。</w:t>
            </w:r>
          </w:p>
          <w:p>
            <w:pPr>
              <w:spacing w:line="380" w:lineRule="exact"/>
              <w:ind w:firstLine="0" w:firstLineChars="0"/>
              <w:rPr>
                <w:rFonts w:hint="eastAsia" w:ascii="宋体" w:hAnsi="宋体" w:eastAsia="宋体" w:cs="宋体"/>
                <w:color w:val="auto"/>
                <w:kern w:val="16"/>
                <w:sz w:val="24"/>
                <w:szCs w:val="24"/>
                <w:highlight w:val="none"/>
                <w:lang w:val="en-US" w:eastAsia="zh-CN" w:bidi="ar-SA"/>
              </w:rPr>
            </w:pPr>
            <w:r>
              <w:rPr>
                <w:rFonts w:hint="eastAsia" w:ascii="宋体" w:hAnsi="宋体" w:eastAsia="宋体" w:cs="宋体"/>
                <w:color w:val="auto"/>
                <w:kern w:val="16"/>
                <w:sz w:val="24"/>
                <w:szCs w:val="24"/>
                <w:highlight w:val="none"/>
                <w:lang w:val="en-US" w:eastAsia="zh-CN" w:bidi="ar-SA"/>
              </w:rPr>
              <w:t>②以上人员均为在职职工，不包括离、退休返聘人员，须提供缴费期限包含</w:t>
            </w:r>
            <w:r>
              <w:rPr>
                <w:rFonts w:hint="eastAsia" w:ascii="Times New Roman" w:hAnsi="宋体" w:eastAsia="宋体" w:cs="宋体"/>
                <w:color w:val="auto"/>
                <w:sz w:val="24"/>
                <w:szCs w:val="24"/>
                <w:highlight w:val="none"/>
              </w:rPr>
              <w:t>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w:t>
            </w:r>
            <w:r>
              <w:rPr>
                <w:rFonts w:hint="eastAsia" w:ascii="宋体" w:hAnsi="宋体" w:eastAsia="宋体" w:cs="宋体"/>
                <w:color w:val="auto"/>
                <w:kern w:val="16"/>
                <w:sz w:val="24"/>
                <w:szCs w:val="24"/>
                <w:highlight w:val="none"/>
                <w:lang w:val="en-US" w:eastAsia="zh-CN" w:bidi="ar-SA"/>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ascii="Times New Roman" w:hAnsi="宋体" w:eastAsia="宋体" w:cs="宋体"/>
                <w:color w:val="auto"/>
                <w:sz w:val="24"/>
                <w:szCs w:val="24"/>
                <w:highlight w:val="none"/>
              </w:rPr>
              <w:t>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w:t>
            </w:r>
            <w:r>
              <w:rPr>
                <w:rFonts w:hint="eastAsia" w:ascii="宋体" w:hAnsi="宋体" w:eastAsia="宋体" w:cs="宋体"/>
                <w:color w:val="auto"/>
                <w:kern w:val="16"/>
                <w:sz w:val="24"/>
                <w:szCs w:val="24"/>
                <w:highlight w:val="none"/>
                <w:lang w:val="en-US" w:eastAsia="zh-CN" w:bidi="ar-SA"/>
              </w:rPr>
              <w:t>由人事代理中心出具的</w:t>
            </w:r>
            <w:r>
              <w:rPr>
                <w:rFonts w:hint="eastAsia" w:ascii="Times New Roman" w:hAnsi="宋体" w:eastAsia="宋体" w:cs="宋体"/>
                <w:color w:val="auto"/>
                <w:sz w:val="24"/>
                <w:szCs w:val="24"/>
                <w:highlight w:val="none"/>
              </w:rPr>
              <w:t>个人养老保险缴纳清单或证明</w:t>
            </w:r>
            <w:r>
              <w:rPr>
                <w:rFonts w:hint="eastAsia" w:ascii="宋体" w:hAnsi="宋体" w:eastAsia="宋体" w:cs="宋体"/>
                <w:color w:val="auto"/>
                <w:kern w:val="16"/>
                <w:sz w:val="24"/>
                <w:szCs w:val="24"/>
                <w:highlight w:val="none"/>
                <w:lang w:val="en-US" w:eastAsia="zh-CN" w:bidi="ar-SA"/>
              </w:rPr>
              <w:t>（需加盖人事代理中心证明专用章【或电子专用章】）。</w:t>
            </w:r>
          </w:p>
          <w:p>
            <w:pPr>
              <w:spacing w:line="380" w:lineRule="exact"/>
              <w:ind w:firstLine="0" w:firstLineChars="0"/>
              <w:rPr>
                <w:rFonts w:hint="eastAsia" w:ascii="宋体" w:hAnsi="Times New Roman" w:cs="Times New Roman"/>
                <w:b/>
                <w:bCs/>
                <w:color w:val="auto"/>
                <w:kern w:val="2"/>
                <w:sz w:val="24"/>
                <w:szCs w:val="24"/>
                <w:highlight w:val="none"/>
              </w:rPr>
            </w:pPr>
            <w:r>
              <w:rPr>
                <w:rFonts w:hint="eastAsia" w:ascii="宋体" w:hAnsi="宋体" w:eastAsia="宋体" w:cs="宋体"/>
                <w:color w:val="auto"/>
                <w:kern w:val="16"/>
                <w:sz w:val="24"/>
                <w:szCs w:val="24"/>
                <w:highlight w:val="none"/>
                <w:lang w:val="en-US" w:eastAsia="zh-CN" w:bidi="ar-SA"/>
              </w:rPr>
              <w:t>③具有一级注册造价工程师（2018 年 7 月 20 日发布“建人〔2018〕67 号”文件之前取得的造价工程师与一级等同）</w:t>
            </w:r>
            <w:r>
              <w:rPr>
                <w:rFonts w:hint="eastAsia" w:ascii="宋体" w:hAnsi="宋体" w:cs="宋体"/>
                <w:color w:val="auto"/>
                <w:kern w:val="16"/>
                <w:sz w:val="24"/>
                <w:szCs w:val="24"/>
                <w:highlight w:val="none"/>
                <w:lang w:val="en-US" w:eastAsia="zh-CN" w:bidi="ar-SA"/>
              </w:rPr>
              <w:t>证书</w:t>
            </w:r>
            <w:r>
              <w:rPr>
                <w:rFonts w:hint="eastAsia" w:ascii="宋体" w:hAnsi="宋体" w:eastAsia="宋体" w:cs="宋体"/>
                <w:color w:val="auto"/>
                <w:kern w:val="16"/>
                <w:sz w:val="24"/>
                <w:szCs w:val="24"/>
                <w:highlight w:val="none"/>
                <w:lang w:val="en-US" w:eastAsia="zh-CN" w:bidi="ar-SA"/>
              </w:rPr>
              <w:t>；</w:t>
            </w:r>
          </w:p>
          <w:p>
            <w:pPr>
              <w:spacing w:line="380" w:lineRule="exact"/>
              <w:ind w:firstLine="0" w:firstLineChars="0"/>
              <w:rPr>
                <w:rFonts w:hint="eastAsia" w:ascii="宋体" w:hAnsi="Times New Roman" w:cs="Times New Roman"/>
                <w:b/>
                <w:bCs/>
                <w:color w:val="auto"/>
                <w:kern w:val="2"/>
                <w:sz w:val="24"/>
                <w:szCs w:val="24"/>
                <w:highlight w:val="none"/>
              </w:rPr>
            </w:pPr>
            <w:r>
              <w:rPr>
                <w:rFonts w:hint="eastAsia" w:ascii="宋体" w:hAnsi="Times New Roman" w:cs="Times New Roman"/>
                <w:b/>
                <w:bCs/>
                <w:color w:val="auto"/>
                <w:kern w:val="2"/>
                <w:sz w:val="24"/>
                <w:szCs w:val="24"/>
                <w:highlight w:val="none"/>
              </w:rPr>
              <w:t>各专业人员（监理、造价咨询负责人除外）配备情况（</w:t>
            </w:r>
            <w:r>
              <w:rPr>
                <w:rFonts w:hint="eastAsia" w:ascii="宋体" w:hAnsi="Times New Roman" w:cs="Times New Roman"/>
                <w:b/>
                <w:bCs/>
                <w:color w:val="auto"/>
                <w:kern w:val="2"/>
                <w:sz w:val="24"/>
                <w:szCs w:val="24"/>
                <w:highlight w:val="none"/>
                <w:lang w:val="en-US" w:eastAsia="zh-CN"/>
              </w:rPr>
              <w:t>6</w:t>
            </w:r>
            <w:r>
              <w:rPr>
                <w:rFonts w:hint="eastAsia" w:ascii="宋体" w:hAnsi="Times New Roman" w:cs="Times New Roman"/>
                <w:b/>
                <w:bCs/>
                <w:color w:val="auto"/>
                <w:kern w:val="2"/>
                <w:sz w:val="24"/>
                <w:szCs w:val="24"/>
                <w:highlight w:val="none"/>
              </w:rPr>
              <w:t>分）</w:t>
            </w:r>
          </w:p>
          <w:p>
            <w:pPr>
              <w:spacing w:line="380" w:lineRule="exact"/>
              <w:rPr>
                <w:rFonts w:hint="default" w:ascii="宋体" w:hAnsi="宋体" w:cs="宋体"/>
                <w:snapToGrid w:val="0"/>
                <w:color w:val="auto"/>
                <w:sz w:val="24"/>
                <w:szCs w:val="24"/>
                <w:highlight w:val="none"/>
                <w:lang w:val="en-US" w:eastAsia="zh-CN"/>
              </w:rPr>
            </w:pPr>
            <w:r>
              <w:rPr>
                <w:rFonts w:hint="eastAsia" w:ascii="宋体" w:hAnsi="宋体" w:cs="宋体"/>
                <w:b/>
                <w:bCs/>
                <w:snapToGrid w:val="0"/>
                <w:color w:val="auto"/>
                <w:sz w:val="24"/>
                <w:szCs w:val="24"/>
                <w:highlight w:val="none"/>
                <w:lang w:val="en-US" w:eastAsia="zh-CN"/>
              </w:rPr>
              <w:t>1.</w:t>
            </w:r>
            <w:r>
              <w:rPr>
                <w:rFonts w:hint="eastAsia" w:ascii="宋体" w:hAnsi="宋体" w:cs="宋体"/>
                <w:b/>
                <w:bCs/>
                <w:snapToGrid w:val="0"/>
                <w:color w:val="auto"/>
                <w:sz w:val="24"/>
                <w:szCs w:val="24"/>
                <w:highlight w:val="none"/>
              </w:rPr>
              <w:t>监理项目组人员</w:t>
            </w:r>
            <w:r>
              <w:rPr>
                <w:rFonts w:hint="eastAsia" w:ascii="宋体" w:hAnsi="宋体" w:cs="宋体"/>
                <w:snapToGrid w:val="0"/>
                <w:color w:val="auto"/>
                <w:sz w:val="24"/>
                <w:szCs w:val="24"/>
                <w:highlight w:val="none"/>
              </w:rPr>
              <w:t>（</w:t>
            </w:r>
            <w:r>
              <w:rPr>
                <w:rFonts w:hint="eastAsia" w:ascii="宋体" w:hAnsi="宋体" w:cs="宋体"/>
                <w:snapToGrid w:val="0"/>
                <w:color w:val="auto"/>
                <w:sz w:val="24"/>
                <w:szCs w:val="24"/>
                <w:highlight w:val="none"/>
                <w:lang w:val="en-US" w:eastAsia="zh-CN"/>
              </w:rPr>
              <w:t>监理</w:t>
            </w:r>
            <w:r>
              <w:rPr>
                <w:rFonts w:hint="eastAsia" w:ascii="宋体" w:hAnsi="宋体" w:cs="宋体"/>
                <w:snapToGrid w:val="0"/>
                <w:color w:val="auto"/>
                <w:sz w:val="24"/>
                <w:szCs w:val="24"/>
                <w:highlight w:val="none"/>
              </w:rPr>
              <w:t>、</w:t>
            </w:r>
            <w:r>
              <w:rPr>
                <w:rFonts w:hint="eastAsia" w:ascii="宋体" w:hAnsi="宋体" w:cs="宋体"/>
                <w:color w:val="auto"/>
                <w:kern w:val="16"/>
                <w:sz w:val="24"/>
                <w:szCs w:val="24"/>
                <w:highlight w:val="none"/>
              </w:rPr>
              <w:t>造价咨询负责人除外</w:t>
            </w:r>
            <w:r>
              <w:rPr>
                <w:rFonts w:hint="eastAsia" w:ascii="宋体" w:hAnsi="宋体" w:cs="宋体"/>
                <w:snapToGrid w:val="0"/>
                <w:color w:val="auto"/>
                <w:sz w:val="24"/>
                <w:szCs w:val="24"/>
                <w:highlight w:val="none"/>
              </w:rPr>
              <w:t>）：</w:t>
            </w:r>
          </w:p>
          <w:p>
            <w:pPr>
              <w:spacing w:line="380" w:lineRule="exact"/>
              <w:rPr>
                <w:rFonts w:hint="eastAsia" w:ascii="宋体" w:hAnsi="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(1)</w:t>
            </w:r>
            <w:r>
              <w:rPr>
                <w:rFonts w:hint="eastAsia" w:ascii="宋体" w:hAnsi="宋体" w:cs="宋体"/>
                <w:snapToGrid w:val="0"/>
                <w:color w:val="auto"/>
                <w:sz w:val="24"/>
                <w:szCs w:val="24"/>
                <w:highlight w:val="none"/>
              </w:rPr>
              <w:t>专业监理</w:t>
            </w:r>
            <w:r>
              <w:rPr>
                <w:rFonts w:hint="eastAsia" w:ascii="宋体" w:hAnsi="宋体" w:cs="宋体"/>
                <w:snapToGrid w:val="0"/>
                <w:color w:val="auto"/>
                <w:sz w:val="24"/>
                <w:szCs w:val="24"/>
                <w:highlight w:val="none"/>
                <w:lang w:val="en-US" w:eastAsia="zh-CN"/>
              </w:rPr>
              <w:t>工程师</w:t>
            </w:r>
            <w:r>
              <w:rPr>
                <w:rFonts w:hint="eastAsia" w:ascii="宋体" w:hAnsi="宋体" w:cs="宋体"/>
                <w:snapToGrid w:val="0"/>
                <w:color w:val="auto"/>
                <w:sz w:val="24"/>
                <w:szCs w:val="24"/>
                <w:highlight w:val="none"/>
              </w:rPr>
              <w:t>具有国家注册监理工程师</w:t>
            </w:r>
            <w:r>
              <w:rPr>
                <w:rFonts w:hint="eastAsia" w:ascii="宋体" w:hAnsi="宋体" w:cs="宋体"/>
                <w:snapToGrid w:val="0"/>
                <w:color w:val="auto"/>
                <w:sz w:val="24"/>
                <w:szCs w:val="24"/>
                <w:highlight w:val="none"/>
                <w:lang w:val="en-US" w:eastAsia="zh-CN"/>
              </w:rPr>
              <w:t>证书</w:t>
            </w:r>
            <w:r>
              <w:rPr>
                <w:rFonts w:hint="eastAsia" w:ascii="宋体" w:hAnsi="宋体" w:cs="宋体"/>
                <w:snapToGrid w:val="0"/>
                <w:color w:val="auto"/>
                <w:sz w:val="24"/>
                <w:szCs w:val="24"/>
                <w:highlight w:val="none"/>
              </w:rPr>
              <w:t>（市政公用工程或公路工程）的，每</w:t>
            </w:r>
            <w:r>
              <w:rPr>
                <w:rFonts w:hint="eastAsia" w:ascii="宋体" w:hAnsi="宋体" w:cs="宋体"/>
                <w:snapToGrid w:val="0"/>
                <w:color w:val="auto"/>
                <w:sz w:val="24"/>
                <w:szCs w:val="24"/>
                <w:highlight w:val="none"/>
                <w:lang w:val="en-US" w:eastAsia="zh-CN"/>
              </w:rPr>
              <w:t>有1</w:t>
            </w:r>
            <w:r>
              <w:rPr>
                <w:rFonts w:hint="eastAsia" w:ascii="宋体" w:hAnsi="宋体" w:cs="宋体"/>
                <w:snapToGrid w:val="0"/>
                <w:color w:val="auto"/>
                <w:sz w:val="24"/>
                <w:szCs w:val="24"/>
                <w:highlight w:val="none"/>
              </w:rPr>
              <w:t>人得</w:t>
            </w:r>
            <w:r>
              <w:rPr>
                <w:rFonts w:hint="eastAsia" w:ascii="宋体" w:hAnsi="宋体" w:cs="宋体"/>
                <w:snapToGrid w:val="0"/>
                <w:color w:val="auto"/>
                <w:sz w:val="24"/>
                <w:szCs w:val="24"/>
                <w:highlight w:val="none"/>
                <w:lang w:val="en-US" w:eastAsia="zh-CN"/>
              </w:rPr>
              <w:t>1</w:t>
            </w:r>
            <w:r>
              <w:rPr>
                <w:rFonts w:hint="eastAsia" w:ascii="宋体" w:hAnsi="宋体" w:cs="宋体"/>
                <w:snapToGrid w:val="0"/>
                <w:color w:val="auto"/>
                <w:sz w:val="24"/>
                <w:szCs w:val="24"/>
                <w:highlight w:val="none"/>
              </w:rPr>
              <w:t>分</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lang w:val="en-US" w:eastAsia="zh-CN"/>
              </w:rPr>
              <w:t>最多得2分；</w:t>
            </w:r>
          </w:p>
          <w:p>
            <w:pPr>
              <w:spacing w:line="380" w:lineRule="exact"/>
              <w:rPr>
                <w:rFonts w:ascii="宋体" w:hAnsi="宋体" w:cs="宋体"/>
                <w:color w:val="auto"/>
                <w:kern w:val="16"/>
                <w:sz w:val="24"/>
                <w:szCs w:val="24"/>
                <w:highlight w:val="none"/>
              </w:rPr>
            </w:pPr>
            <w:r>
              <w:rPr>
                <w:rFonts w:hint="eastAsia" w:ascii="宋体" w:hAnsi="宋体" w:cs="宋体"/>
                <w:snapToGrid w:val="0"/>
                <w:color w:val="auto"/>
                <w:sz w:val="24"/>
                <w:szCs w:val="24"/>
                <w:highlight w:val="none"/>
                <w:lang w:val="en-US" w:eastAsia="zh-CN"/>
              </w:rPr>
              <w:t>或(2)</w:t>
            </w:r>
            <w:r>
              <w:rPr>
                <w:rFonts w:hint="eastAsia" w:ascii="宋体" w:hAnsi="宋体" w:cs="宋体"/>
                <w:snapToGrid w:val="0"/>
                <w:color w:val="auto"/>
                <w:sz w:val="24"/>
                <w:szCs w:val="24"/>
                <w:highlight w:val="none"/>
              </w:rPr>
              <w:t>专业监理</w:t>
            </w:r>
            <w:r>
              <w:rPr>
                <w:rFonts w:hint="eastAsia" w:ascii="宋体" w:hAnsi="宋体" w:cs="宋体"/>
                <w:snapToGrid w:val="0"/>
                <w:color w:val="auto"/>
                <w:sz w:val="24"/>
                <w:szCs w:val="24"/>
                <w:highlight w:val="none"/>
                <w:lang w:val="en-US" w:eastAsia="zh-CN"/>
              </w:rPr>
              <w:t>工程师</w:t>
            </w:r>
            <w:r>
              <w:rPr>
                <w:rFonts w:hint="eastAsia" w:ascii="宋体" w:hAnsi="宋体" w:cs="宋体"/>
                <w:snapToGrid w:val="0"/>
                <w:color w:val="auto"/>
                <w:sz w:val="24"/>
                <w:szCs w:val="24"/>
                <w:highlight w:val="none"/>
              </w:rPr>
              <w:t>具有国家注册监理工程师</w:t>
            </w:r>
            <w:r>
              <w:rPr>
                <w:rFonts w:hint="eastAsia" w:ascii="宋体" w:hAnsi="宋体" w:cs="宋体"/>
                <w:snapToGrid w:val="0"/>
                <w:color w:val="auto"/>
                <w:sz w:val="24"/>
                <w:szCs w:val="24"/>
                <w:highlight w:val="none"/>
                <w:lang w:val="en-US" w:eastAsia="zh-CN"/>
              </w:rPr>
              <w:t>证书</w:t>
            </w:r>
            <w:r>
              <w:rPr>
                <w:rFonts w:hint="eastAsia" w:ascii="宋体" w:hAnsi="宋体" w:cs="宋体"/>
                <w:snapToGrid w:val="0"/>
                <w:color w:val="auto"/>
                <w:sz w:val="24"/>
                <w:szCs w:val="24"/>
                <w:highlight w:val="none"/>
              </w:rPr>
              <w:t>（市政公用工程或公路工程）的</w:t>
            </w:r>
            <w:r>
              <w:rPr>
                <w:rFonts w:hint="eastAsia" w:ascii="宋体" w:hAnsi="宋体" w:cs="宋体"/>
                <w:snapToGrid w:val="0"/>
                <w:color w:val="auto"/>
                <w:sz w:val="24"/>
                <w:szCs w:val="24"/>
                <w:highlight w:val="none"/>
                <w:lang w:val="en-US" w:eastAsia="zh-CN"/>
              </w:rPr>
              <w:t>得1分</w:t>
            </w:r>
            <w:r>
              <w:rPr>
                <w:rFonts w:hint="eastAsia" w:ascii="宋体" w:hAnsi="宋体" w:cs="宋体"/>
                <w:snapToGrid w:val="0"/>
                <w:color w:val="auto"/>
                <w:sz w:val="24"/>
                <w:szCs w:val="24"/>
                <w:highlight w:val="none"/>
                <w:lang w:eastAsia="zh-CN"/>
              </w:rPr>
              <w:t>，</w:t>
            </w:r>
            <w:r>
              <w:rPr>
                <w:rFonts w:hint="eastAsia" w:ascii="宋体" w:hAnsi="宋体" w:cs="宋体"/>
                <w:color w:val="auto"/>
                <w:kern w:val="16"/>
                <w:sz w:val="24"/>
                <w:szCs w:val="24"/>
                <w:highlight w:val="none"/>
                <w:lang w:val="en-US" w:eastAsia="zh-CN"/>
              </w:rPr>
              <w:t>同时具有</w:t>
            </w:r>
            <w:r>
              <w:rPr>
                <w:rFonts w:hint="eastAsia" w:ascii="宋体" w:hAnsi="宋体" w:cs="宋体"/>
                <w:color w:val="auto"/>
                <w:kern w:val="16"/>
                <w:sz w:val="24"/>
                <w:szCs w:val="24"/>
                <w:highlight w:val="none"/>
              </w:rPr>
              <w:t>高级工程师及以上职称的</w:t>
            </w:r>
            <w:r>
              <w:rPr>
                <w:rFonts w:hint="eastAsia" w:ascii="宋体" w:hAnsi="宋体" w:cs="宋体"/>
                <w:color w:val="auto"/>
                <w:kern w:val="16"/>
                <w:sz w:val="24"/>
                <w:szCs w:val="24"/>
                <w:highlight w:val="none"/>
                <w:lang w:val="en-US" w:eastAsia="zh-CN"/>
              </w:rPr>
              <w:t>得1</w:t>
            </w:r>
            <w:r>
              <w:rPr>
                <w:rFonts w:hint="eastAsia" w:ascii="宋体" w:hAnsi="宋体" w:cs="宋体"/>
                <w:color w:val="auto"/>
                <w:kern w:val="16"/>
                <w:sz w:val="24"/>
                <w:szCs w:val="24"/>
                <w:highlight w:val="none"/>
              </w:rPr>
              <w:t>分</w:t>
            </w:r>
            <w:r>
              <w:rPr>
                <w:rFonts w:hint="eastAsia" w:ascii="宋体" w:hAnsi="宋体" w:cs="宋体"/>
                <w:snapToGrid w:val="0"/>
                <w:color w:val="auto"/>
                <w:sz w:val="24"/>
                <w:szCs w:val="24"/>
                <w:highlight w:val="none"/>
              </w:rPr>
              <w:t>，最多得</w:t>
            </w:r>
            <w:r>
              <w:rPr>
                <w:rFonts w:hint="eastAsia" w:ascii="宋体" w:hAnsi="宋体" w:cs="宋体"/>
                <w:snapToGrid w:val="0"/>
                <w:color w:val="auto"/>
                <w:sz w:val="24"/>
                <w:szCs w:val="24"/>
                <w:highlight w:val="none"/>
                <w:lang w:val="en-US" w:eastAsia="zh-CN"/>
              </w:rPr>
              <w:t>2</w:t>
            </w:r>
            <w:r>
              <w:rPr>
                <w:rFonts w:hint="eastAsia" w:ascii="宋体" w:hAnsi="宋体" w:cs="宋体"/>
                <w:snapToGrid w:val="0"/>
                <w:color w:val="auto"/>
                <w:sz w:val="24"/>
                <w:szCs w:val="24"/>
                <w:highlight w:val="none"/>
              </w:rPr>
              <w:t>分。</w:t>
            </w:r>
          </w:p>
          <w:p>
            <w:pPr>
              <w:spacing w:line="380" w:lineRule="exact"/>
              <w:rPr>
                <w:rFonts w:hint="eastAsia" w:ascii="宋体" w:hAnsi="宋体" w:cs="宋体"/>
                <w:color w:val="auto"/>
                <w:kern w:val="16"/>
                <w:sz w:val="24"/>
                <w:szCs w:val="24"/>
                <w:highlight w:val="none"/>
              </w:rPr>
            </w:pPr>
            <w:r>
              <w:rPr>
                <w:rFonts w:hint="eastAsia" w:ascii="宋体" w:hAnsi="宋体" w:cs="宋体"/>
                <w:b/>
                <w:bCs/>
                <w:color w:val="auto"/>
                <w:kern w:val="16"/>
                <w:sz w:val="24"/>
                <w:szCs w:val="24"/>
                <w:highlight w:val="none"/>
                <w:lang w:val="en-US" w:eastAsia="zh-CN"/>
              </w:rPr>
              <w:t>2.</w:t>
            </w:r>
            <w:r>
              <w:rPr>
                <w:rFonts w:hint="eastAsia" w:ascii="宋体" w:hAnsi="宋体" w:cs="宋体"/>
                <w:b/>
                <w:bCs/>
                <w:color w:val="auto"/>
                <w:kern w:val="16"/>
                <w:sz w:val="24"/>
                <w:szCs w:val="24"/>
                <w:highlight w:val="none"/>
              </w:rPr>
              <w:t>造价咨询项目组人员</w:t>
            </w:r>
            <w:r>
              <w:rPr>
                <w:rFonts w:hint="eastAsia" w:ascii="宋体" w:hAnsi="宋体" w:cs="宋体"/>
                <w:color w:val="auto"/>
                <w:kern w:val="16"/>
                <w:sz w:val="24"/>
                <w:szCs w:val="24"/>
                <w:highlight w:val="none"/>
              </w:rPr>
              <w:t>（</w:t>
            </w:r>
            <w:r>
              <w:rPr>
                <w:rFonts w:hint="eastAsia" w:ascii="宋体" w:hAnsi="宋体" w:cs="宋体"/>
                <w:snapToGrid w:val="0"/>
                <w:color w:val="auto"/>
                <w:sz w:val="24"/>
                <w:szCs w:val="24"/>
                <w:highlight w:val="none"/>
              </w:rPr>
              <w:t>总监、</w:t>
            </w:r>
            <w:r>
              <w:rPr>
                <w:rFonts w:hint="eastAsia" w:ascii="宋体" w:hAnsi="宋体" w:cs="宋体"/>
                <w:color w:val="auto"/>
                <w:kern w:val="16"/>
                <w:sz w:val="24"/>
                <w:szCs w:val="24"/>
                <w:highlight w:val="none"/>
              </w:rPr>
              <w:t>造价咨询负责人除外）：</w:t>
            </w:r>
          </w:p>
          <w:p>
            <w:pPr>
              <w:spacing w:line="380" w:lineRule="exact"/>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(1)</w:t>
            </w:r>
            <w:r>
              <w:rPr>
                <w:rFonts w:hint="eastAsia" w:ascii="宋体" w:hAnsi="宋体" w:cs="宋体"/>
                <w:color w:val="auto"/>
                <w:kern w:val="16"/>
                <w:sz w:val="24"/>
                <w:szCs w:val="24"/>
                <w:highlight w:val="none"/>
              </w:rPr>
              <w:t>具有一级注册造价工程师</w:t>
            </w:r>
            <w:r>
              <w:rPr>
                <w:rFonts w:hint="eastAsia" w:ascii="宋体" w:hAnsi="宋体" w:cs="宋体"/>
                <w:snapToGrid w:val="0"/>
                <w:color w:val="auto"/>
                <w:sz w:val="24"/>
                <w:szCs w:val="24"/>
                <w:highlight w:val="none"/>
                <w:lang w:val="en-US" w:eastAsia="zh-CN"/>
              </w:rPr>
              <w:t>证书</w:t>
            </w:r>
            <w:r>
              <w:rPr>
                <w:rFonts w:hint="eastAsia" w:ascii="宋体" w:hAnsi="宋体" w:cs="宋体"/>
                <w:color w:val="auto"/>
                <w:kern w:val="16"/>
                <w:sz w:val="24"/>
                <w:szCs w:val="24"/>
                <w:highlight w:val="none"/>
              </w:rPr>
              <w:t>的每</w:t>
            </w:r>
            <w:r>
              <w:rPr>
                <w:rFonts w:hint="eastAsia" w:ascii="宋体" w:hAnsi="宋体" w:cs="宋体"/>
                <w:color w:val="auto"/>
                <w:kern w:val="16"/>
                <w:sz w:val="24"/>
                <w:szCs w:val="24"/>
                <w:highlight w:val="none"/>
                <w:lang w:val="en-US" w:eastAsia="zh-CN"/>
              </w:rPr>
              <w:t>有1</w:t>
            </w:r>
            <w:r>
              <w:rPr>
                <w:rFonts w:hint="eastAsia" w:ascii="宋体" w:hAnsi="宋体" w:cs="宋体"/>
                <w:color w:val="auto"/>
                <w:kern w:val="16"/>
                <w:sz w:val="24"/>
                <w:szCs w:val="24"/>
                <w:highlight w:val="none"/>
              </w:rPr>
              <w:t>人得</w:t>
            </w:r>
            <w:r>
              <w:rPr>
                <w:rFonts w:hint="eastAsia" w:ascii="宋体" w:hAnsi="宋体" w:cs="宋体"/>
                <w:color w:val="auto"/>
                <w:kern w:val="16"/>
                <w:sz w:val="24"/>
                <w:szCs w:val="24"/>
                <w:highlight w:val="none"/>
                <w:lang w:val="en-US" w:eastAsia="zh-CN"/>
              </w:rPr>
              <w:t>1</w:t>
            </w:r>
            <w:r>
              <w:rPr>
                <w:rFonts w:hint="eastAsia" w:ascii="宋体" w:hAnsi="宋体" w:cs="宋体"/>
                <w:color w:val="auto"/>
                <w:kern w:val="16"/>
                <w:sz w:val="24"/>
                <w:szCs w:val="24"/>
                <w:highlight w:val="none"/>
              </w:rPr>
              <w:t>分</w:t>
            </w:r>
            <w:r>
              <w:rPr>
                <w:rFonts w:hint="eastAsia" w:ascii="宋体" w:hAnsi="宋体" w:cs="宋体"/>
                <w:color w:val="auto"/>
                <w:kern w:val="16"/>
                <w:sz w:val="24"/>
                <w:szCs w:val="24"/>
                <w:highlight w:val="none"/>
                <w:lang w:eastAsia="zh-CN"/>
              </w:rPr>
              <w:t>，</w:t>
            </w:r>
            <w:r>
              <w:rPr>
                <w:rFonts w:hint="eastAsia" w:ascii="宋体" w:hAnsi="宋体" w:cs="宋体"/>
                <w:color w:val="auto"/>
                <w:kern w:val="16"/>
                <w:sz w:val="24"/>
                <w:szCs w:val="24"/>
                <w:highlight w:val="none"/>
                <w:lang w:val="en-US" w:eastAsia="zh-CN"/>
              </w:rPr>
              <w:t>最多得2分；</w:t>
            </w:r>
          </w:p>
          <w:p>
            <w:pPr>
              <w:spacing w:line="380" w:lineRule="exact"/>
              <w:rPr>
                <w:rFonts w:ascii="宋体" w:hAnsi="宋体" w:cs="宋体"/>
                <w:color w:val="auto"/>
                <w:kern w:val="16"/>
                <w:sz w:val="24"/>
                <w:szCs w:val="24"/>
                <w:highlight w:val="none"/>
              </w:rPr>
            </w:pPr>
            <w:r>
              <w:rPr>
                <w:rFonts w:hint="eastAsia" w:ascii="宋体" w:hAnsi="宋体" w:cs="宋体"/>
                <w:snapToGrid w:val="0"/>
                <w:color w:val="auto"/>
                <w:sz w:val="24"/>
                <w:szCs w:val="24"/>
                <w:highlight w:val="none"/>
                <w:lang w:val="en-US" w:eastAsia="zh-CN"/>
              </w:rPr>
              <w:t>或(2)</w:t>
            </w:r>
            <w:r>
              <w:rPr>
                <w:rFonts w:hint="eastAsia" w:ascii="宋体" w:hAnsi="宋体" w:cs="宋体"/>
                <w:color w:val="auto"/>
                <w:kern w:val="16"/>
                <w:sz w:val="24"/>
                <w:szCs w:val="24"/>
                <w:highlight w:val="none"/>
              </w:rPr>
              <w:t>具有一级注册造价工程师</w:t>
            </w:r>
            <w:r>
              <w:rPr>
                <w:rFonts w:hint="eastAsia" w:ascii="宋体" w:hAnsi="宋体" w:cs="宋体"/>
                <w:snapToGrid w:val="0"/>
                <w:color w:val="auto"/>
                <w:sz w:val="24"/>
                <w:szCs w:val="24"/>
                <w:highlight w:val="none"/>
                <w:lang w:val="en-US" w:eastAsia="zh-CN"/>
              </w:rPr>
              <w:t>证书</w:t>
            </w:r>
            <w:r>
              <w:rPr>
                <w:rFonts w:hint="eastAsia" w:ascii="宋体" w:hAnsi="宋体" w:cs="宋体"/>
                <w:color w:val="auto"/>
                <w:kern w:val="16"/>
                <w:sz w:val="24"/>
                <w:szCs w:val="24"/>
                <w:highlight w:val="none"/>
              </w:rPr>
              <w:t>的得</w:t>
            </w:r>
            <w:r>
              <w:rPr>
                <w:rFonts w:hint="eastAsia" w:ascii="宋体" w:hAnsi="宋体" w:cs="宋体"/>
                <w:color w:val="auto"/>
                <w:kern w:val="16"/>
                <w:sz w:val="24"/>
                <w:szCs w:val="24"/>
                <w:highlight w:val="none"/>
                <w:lang w:val="en-US" w:eastAsia="zh-CN"/>
              </w:rPr>
              <w:t>1</w:t>
            </w:r>
            <w:r>
              <w:rPr>
                <w:rFonts w:hint="eastAsia" w:ascii="宋体" w:hAnsi="宋体" w:cs="宋体"/>
                <w:color w:val="auto"/>
                <w:kern w:val="16"/>
                <w:sz w:val="24"/>
                <w:szCs w:val="24"/>
                <w:highlight w:val="none"/>
              </w:rPr>
              <w:t>分</w:t>
            </w:r>
            <w:r>
              <w:rPr>
                <w:rFonts w:hint="eastAsia" w:ascii="宋体" w:hAnsi="宋体" w:cs="宋体"/>
                <w:color w:val="auto"/>
                <w:kern w:val="16"/>
                <w:sz w:val="24"/>
                <w:szCs w:val="24"/>
                <w:highlight w:val="none"/>
                <w:lang w:eastAsia="zh-CN"/>
              </w:rPr>
              <w:t>，</w:t>
            </w:r>
            <w:r>
              <w:rPr>
                <w:rFonts w:hint="eastAsia" w:ascii="宋体" w:hAnsi="宋体" w:cs="宋体"/>
                <w:color w:val="auto"/>
                <w:kern w:val="16"/>
                <w:sz w:val="24"/>
                <w:szCs w:val="24"/>
                <w:highlight w:val="none"/>
                <w:lang w:val="en-US" w:eastAsia="zh-CN"/>
              </w:rPr>
              <w:t>同时具有</w:t>
            </w:r>
            <w:r>
              <w:rPr>
                <w:rFonts w:hint="eastAsia" w:ascii="宋体" w:hAnsi="宋体" w:cs="宋体"/>
                <w:color w:val="auto"/>
                <w:kern w:val="16"/>
                <w:sz w:val="24"/>
                <w:szCs w:val="24"/>
                <w:highlight w:val="none"/>
              </w:rPr>
              <w:t>高级工程师及以上职称的再加</w:t>
            </w:r>
            <w:r>
              <w:rPr>
                <w:rFonts w:hint="eastAsia" w:ascii="宋体" w:hAnsi="宋体" w:cs="宋体"/>
                <w:color w:val="auto"/>
                <w:kern w:val="16"/>
                <w:sz w:val="24"/>
                <w:szCs w:val="24"/>
                <w:highlight w:val="none"/>
                <w:lang w:val="en-US" w:eastAsia="zh-CN"/>
              </w:rPr>
              <w:t>1</w:t>
            </w:r>
            <w:r>
              <w:rPr>
                <w:rFonts w:hint="eastAsia" w:ascii="宋体" w:hAnsi="宋体" w:cs="宋体"/>
                <w:color w:val="auto"/>
                <w:kern w:val="16"/>
                <w:sz w:val="24"/>
                <w:szCs w:val="24"/>
                <w:highlight w:val="none"/>
              </w:rPr>
              <w:t>分</w:t>
            </w:r>
            <w:r>
              <w:rPr>
                <w:rFonts w:hint="eastAsia" w:ascii="宋体" w:hAnsi="宋体" w:cs="宋体"/>
                <w:color w:val="auto"/>
                <w:kern w:val="16"/>
                <w:sz w:val="24"/>
                <w:szCs w:val="24"/>
                <w:highlight w:val="none"/>
                <w:lang w:eastAsia="zh-CN"/>
              </w:rPr>
              <w:t>，</w:t>
            </w:r>
            <w:r>
              <w:rPr>
                <w:rFonts w:hint="eastAsia" w:ascii="宋体" w:hAnsi="宋体" w:cs="宋体"/>
                <w:color w:val="auto"/>
                <w:kern w:val="16"/>
                <w:sz w:val="24"/>
                <w:szCs w:val="24"/>
                <w:highlight w:val="none"/>
              </w:rPr>
              <w:t>最多得</w:t>
            </w:r>
            <w:r>
              <w:rPr>
                <w:rFonts w:hint="eastAsia" w:ascii="宋体" w:hAnsi="宋体" w:cs="宋体"/>
                <w:color w:val="auto"/>
                <w:kern w:val="16"/>
                <w:sz w:val="24"/>
                <w:szCs w:val="24"/>
                <w:highlight w:val="none"/>
                <w:lang w:val="en-US" w:eastAsia="zh-CN"/>
              </w:rPr>
              <w:t>2</w:t>
            </w:r>
            <w:r>
              <w:rPr>
                <w:rFonts w:hint="eastAsia" w:ascii="宋体" w:hAnsi="宋体" w:cs="宋体"/>
                <w:color w:val="auto"/>
                <w:kern w:val="16"/>
                <w:sz w:val="24"/>
                <w:szCs w:val="24"/>
                <w:highlight w:val="none"/>
              </w:rPr>
              <w:t>分。</w:t>
            </w:r>
          </w:p>
          <w:p>
            <w:pPr>
              <w:spacing w:line="380" w:lineRule="exact"/>
              <w:rPr>
                <w:rFonts w:hint="eastAsia" w:ascii="宋体" w:hAnsi="宋体" w:cs="宋体"/>
                <w:b/>
                <w:bCs/>
                <w:color w:val="auto"/>
                <w:kern w:val="16"/>
                <w:sz w:val="24"/>
                <w:szCs w:val="24"/>
                <w:highlight w:val="none"/>
              </w:rPr>
            </w:pPr>
            <w:r>
              <w:rPr>
                <w:rFonts w:hint="eastAsia" w:ascii="宋体" w:hAnsi="宋体" w:cs="宋体"/>
                <w:b/>
                <w:bCs/>
                <w:color w:val="auto"/>
                <w:kern w:val="16"/>
                <w:sz w:val="24"/>
                <w:szCs w:val="24"/>
                <w:highlight w:val="none"/>
                <w:lang w:val="en-US" w:eastAsia="zh-CN"/>
              </w:rPr>
              <w:t>3</w:t>
            </w:r>
            <w:r>
              <w:rPr>
                <w:rFonts w:hint="eastAsia" w:ascii="宋体" w:hAnsi="宋体" w:cs="宋体"/>
                <w:b/>
                <w:bCs/>
                <w:color w:val="auto"/>
                <w:kern w:val="16"/>
                <w:sz w:val="24"/>
                <w:szCs w:val="24"/>
                <w:highlight w:val="none"/>
              </w:rPr>
              <w:t>.项目管理团队</w:t>
            </w:r>
          </w:p>
          <w:p>
            <w:pPr>
              <w:spacing w:line="380" w:lineRule="exact"/>
              <w:rPr>
                <w:rFonts w:hint="eastAsia" w:ascii="宋体" w:hAnsi="宋体" w:cs="宋体"/>
                <w:color w:val="auto"/>
                <w:kern w:val="16"/>
                <w:sz w:val="24"/>
                <w:szCs w:val="24"/>
                <w:highlight w:val="none"/>
                <w:lang w:val="en-US" w:eastAsia="zh-CN"/>
              </w:rPr>
            </w:pPr>
            <w:r>
              <w:rPr>
                <w:rFonts w:hint="eastAsia" w:ascii="宋体" w:hAnsi="宋体" w:cs="宋体"/>
                <w:color w:val="auto"/>
                <w:kern w:val="16"/>
                <w:sz w:val="24"/>
                <w:szCs w:val="24"/>
                <w:highlight w:val="none"/>
                <w:lang w:val="en-US" w:eastAsia="zh-CN"/>
              </w:rPr>
              <w:t>(1)</w:t>
            </w:r>
            <w:r>
              <w:rPr>
                <w:rFonts w:hint="eastAsia" w:ascii="宋体" w:hAnsi="宋体" w:cs="宋体"/>
                <w:color w:val="auto"/>
                <w:kern w:val="16"/>
                <w:sz w:val="24"/>
                <w:szCs w:val="24"/>
                <w:highlight w:val="none"/>
              </w:rPr>
              <w:t>具有</w:t>
            </w:r>
            <w:r>
              <w:rPr>
                <w:rFonts w:hint="eastAsia" w:ascii="宋体" w:hAnsi="宋体" w:cs="宋体"/>
                <w:color w:val="auto"/>
                <w:kern w:val="16"/>
                <w:sz w:val="24"/>
                <w:szCs w:val="24"/>
                <w:highlight w:val="none"/>
                <w:lang w:val="en-US" w:eastAsia="zh-CN"/>
              </w:rPr>
              <w:t>注册</w:t>
            </w:r>
            <w:r>
              <w:rPr>
                <w:rFonts w:hint="eastAsia" w:ascii="宋体" w:hAnsi="宋体" w:cs="宋体"/>
                <w:color w:val="auto"/>
                <w:kern w:val="16"/>
                <w:sz w:val="24"/>
                <w:szCs w:val="24"/>
                <w:highlight w:val="none"/>
              </w:rPr>
              <w:t>咨询工程师（投资）</w:t>
            </w:r>
            <w:r>
              <w:rPr>
                <w:rFonts w:hint="eastAsia" w:ascii="宋体" w:hAnsi="宋体" w:cs="宋体"/>
                <w:color w:val="auto"/>
                <w:kern w:val="16"/>
                <w:sz w:val="24"/>
                <w:szCs w:val="24"/>
                <w:highlight w:val="none"/>
                <w:lang w:val="en-US" w:eastAsia="zh-CN"/>
              </w:rPr>
              <w:t>证书；(2)</w:t>
            </w:r>
            <w:r>
              <w:rPr>
                <w:rFonts w:hint="eastAsia" w:ascii="宋体" w:hAnsi="宋体" w:cs="宋体"/>
                <w:color w:val="auto"/>
                <w:kern w:val="16"/>
                <w:sz w:val="24"/>
                <w:szCs w:val="24"/>
                <w:highlight w:val="none"/>
              </w:rPr>
              <w:t>一级注册建筑师</w:t>
            </w:r>
            <w:r>
              <w:rPr>
                <w:rFonts w:hint="eastAsia" w:ascii="宋体" w:hAnsi="宋体" w:cs="宋体"/>
                <w:color w:val="auto"/>
                <w:kern w:val="16"/>
                <w:sz w:val="24"/>
                <w:szCs w:val="24"/>
                <w:highlight w:val="none"/>
                <w:lang w:val="en-US" w:eastAsia="zh-CN"/>
              </w:rPr>
              <w:t>证书；(3)</w:t>
            </w:r>
            <w:r>
              <w:rPr>
                <w:rFonts w:hint="eastAsia" w:hAnsi="宋体"/>
                <w:color w:val="auto"/>
                <w:sz w:val="24"/>
                <w:szCs w:val="24"/>
                <w:highlight w:val="none"/>
                <w:lang w:val="en-US" w:eastAsia="zh-CN"/>
              </w:rPr>
              <w:t>注册土木工程师（道路工程）</w:t>
            </w:r>
            <w:r>
              <w:rPr>
                <w:rFonts w:hint="eastAsia" w:ascii="宋体" w:hAnsi="宋体" w:cs="宋体"/>
                <w:snapToGrid w:val="0"/>
                <w:color w:val="auto"/>
                <w:sz w:val="24"/>
                <w:szCs w:val="24"/>
                <w:highlight w:val="none"/>
                <w:lang w:val="en-US" w:eastAsia="zh-CN"/>
              </w:rPr>
              <w:t>证书;</w:t>
            </w:r>
            <w:r>
              <w:rPr>
                <w:rFonts w:hint="eastAsia" w:ascii="宋体" w:hAnsi="宋体" w:cs="宋体"/>
                <w:color w:val="auto"/>
                <w:kern w:val="16"/>
                <w:sz w:val="24"/>
                <w:szCs w:val="24"/>
                <w:highlight w:val="none"/>
                <w:lang w:eastAsia="zh-CN"/>
              </w:rPr>
              <w:t>（</w:t>
            </w:r>
            <w:r>
              <w:rPr>
                <w:rFonts w:hint="eastAsia" w:ascii="宋体" w:hAnsi="宋体" w:cs="宋体"/>
                <w:color w:val="auto"/>
                <w:kern w:val="16"/>
                <w:sz w:val="24"/>
                <w:szCs w:val="24"/>
                <w:highlight w:val="none"/>
                <w:lang w:val="en-US" w:eastAsia="zh-CN"/>
              </w:rPr>
              <w:t>4</w:t>
            </w:r>
            <w:r>
              <w:rPr>
                <w:rFonts w:hint="eastAsia" w:ascii="宋体" w:hAnsi="宋体" w:cs="宋体"/>
                <w:color w:val="auto"/>
                <w:kern w:val="16"/>
                <w:sz w:val="24"/>
                <w:szCs w:val="24"/>
                <w:highlight w:val="none"/>
                <w:lang w:eastAsia="zh-CN"/>
              </w:rPr>
              <w:t>）</w:t>
            </w:r>
            <w:r>
              <w:rPr>
                <w:rFonts w:hint="eastAsia" w:ascii="宋体" w:hAnsi="宋体" w:cs="宋体"/>
                <w:color w:val="auto"/>
                <w:kern w:val="16"/>
                <w:sz w:val="24"/>
                <w:szCs w:val="24"/>
                <w:highlight w:val="none"/>
              </w:rPr>
              <w:t>一级建造师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市政公用工程</w:t>
            </w:r>
            <w:r>
              <w:rPr>
                <w:rFonts w:hint="eastAsia" w:ascii="宋体" w:hAnsi="宋体" w:cs="宋体"/>
                <w:color w:val="auto"/>
                <w:kern w:val="0"/>
                <w:sz w:val="24"/>
                <w:szCs w:val="24"/>
                <w:highlight w:val="none"/>
                <w:lang w:eastAsia="zh-CN"/>
              </w:rPr>
              <w:t>）</w:t>
            </w:r>
            <w:r>
              <w:rPr>
                <w:rFonts w:hint="eastAsia" w:ascii="宋体" w:hAnsi="宋体" w:cs="宋体"/>
                <w:color w:val="auto"/>
                <w:kern w:val="16"/>
                <w:sz w:val="24"/>
                <w:szCs w:val="24"/>
                <w:highlight w:val="none"/>
                <w:lang w:val="en-US" w:eastAsia="zh-CN"/>
              </w:rPr>
              <w:t>注册证书;</w:t>
            </w:r>
          </w:p>
          <w:p>
            <w:pPr>
              <w:spacing w:line="380" w:lineRule="exact"/>
              <w:rPr>
                <w:rFonts w:hint="default" w:ascii="宋体" w:hAnsi="宋体" w:cs="宋体"/>
                <w:color w:val="auto"/>
                <w:kern w:val="16"/>
                <w:sz w:val="24"/>
                <w:szCs w:val="24"/>
                <w:highlight w:val="none"/>
                <w:lang w:val="en-US" w:eastAsia="zh-CN"/>
              </w:rPr>
            </w:pPr>
            <w:r>
              <w:rPr>
                <w:rFonts w:hint="eastAsia" w:ascii="宋体"/>
                <w:color w:val="auto"/>
                <w:kern w:val="2"/>
                <w:sz w:val="24"/>
                <w:szCs w:val="24"/>
                <w:highlight w:val="none"/>
              </w:rPr>
              <w:t>满足</w:t>
            </w:r>
            <w:r>
              <w:rPr>
                <w:rFonts w:hint="eastAsia" w:ascii="宋体"/>
                <w:color w:val="auto"/>
                <w:kern w:val="2"/>
                <w:sz w:val="24"/>
                <w:szCs w:val="24"/>
                <w:highlight w:val="none"/>
                <w:lang w:val="en-US" w:eastAsia="zh-CN"/>
              </w:rPr>
              <w:t>以上任一项</w:t>
            </w:r>
            <w:r>
              <w:rPr>
                <w:rFonts w:hint="eastAsia" w:ascii="宋体"/>
                <w:color w:val="auto"/>
                <w:kern w:val="2"/>
                <w:sz w:val="24"/>
                <w:szCs w:val="24"/>
                <w:highlight w:val="none"/>
              </w:rPr>
              <w:t>的</w:t>
            </w:r>
            <w:r>
              <w:rPr>
                <w:rFonts w:hint="eastAsia" w:ascii="宋体"/>
                <w:color w:val="auto"/>
                <w:kern w:val="2"/>
                <w:sz w:val="24"/>
                <w:szCs w:val="24"/>
                <w:highlight w:val="none"/>
                <w:lang w:val="en-US" w:eastAsia="zh-CN"/>
              </w:rPr>
              <w:t>得1分</w:t>
            </w:r>
            <w:r>
              <w:rPr>
                <w:rFonts w:hint="eastAsia" w:ascii="宋体"/>
                <w:color w:val="auto"/>
                <w:kern w:val="2"/>
                <w:sz w:val="24"/>
                <w:szCs w:val="24"/>
                <w:highlight w:val="none"/>
              </w:rPr>
              <w:t>，</w:t>
            </w:r>
            <w:r>
              <w:rPr>
                <w:rFonts w:hint="eastAsia" w:ascii="宋体"/>
                <w:color w:val="auto"/>
                <w:kern w:val="2"/>
                <w:sz w:val="24"/>
                <w:szCs w:val="24"/>
                <w:highlight w:val="none"/>
                <w:lang w:val="en-US" w:eastAsia="zh-CN"/>
              </w:rPr>
              <w:t>最多</w:t>
            </w:r>
            <w:r>
              <w:rPr>
                <w:rFonts w:hint="eastAsia" w:ascii="宋体"/>
                <w:color w:val="auto"/>
                <w:kern w:val="2"/>
                <w:sz w:val="24"/>
                <w:szCs w:val="24"/>
                <w:highlight w:val="none"/>
              </w:rPr>
              <w:t>得</w:t>
            </w:r>
            <w:r>
              <w:rPr>
                <w:rFonts w:hint="eastAsia" w:ascii="宋体"/>
                <w:color w:val="auto"/>
                <w:kern w:val="2"/>
                <w:sz w:val="24"/>
                <w:szCs w:val="24"/>
                <w:highlight w:val="none"/>
                <w:lang w:val="en-US" w:eastAsia="zh-CN"/>
              </w:rPr>
              <w:t>2</w:t>
            </w:r>
            <w:r>
              <w:rPr>
                <w:rFonts w:hint="eastAsia" w:ascii="宋体"/>
                <w:color w:val="auto"/>
                <w:kern w:val="2"/>
                <w:sz w:val="24"/>
                <w:szCs w:val="24"/>
                <w:highlight w:val="none"/>
              </w:rPr>
              <w:t>分</w:t>
            </w:r>
            <w:r>
              <w:rPr>
                <w:rFonts w:hint="eastAsia" w:ascii="宋体"/>
                <w:color w:val="auto"/>
                <w:kern w:val="2"/>
                <w:sz w:val="24"/>
                <w:szCs w:val="24"/>
                <w:highlight w:val="none"/>
                <w:lang w:eastAsia="zh-CN"/>
              </w:rPr>
              <w:t>。</w:t>
            </w:r>
          </w:p>
          <w:p>
            <w:pPr>
              <w:spacing w:line="380" w:lineRule="exact"/>
              <w:ind w:firstLine="0" w:firstLineChars="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spacing w:line="380" w:lineRule="exact"/>
              <w:ind w:firstLine="0" w:firstLineChars="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sz w:val="24"/>
                <w:szCs w:val="24"/>
                <w:highlight w:val="none"/>
              </w:rPr>
              <w:t>投标文件应提供职称证书、注册证书复制件，证书需在证书需在有效期内，并加盖投标人公章。</w:t>
            </w:r>
          </w:p>
          <w:p>
            <w:pPr>
              <w:spacing w:line="380" w:lineRule="exact"/>
              <w:ind w:firstLine="0" w:firstLineChars="0"/>
              <w:rPr>
                <w:rFonts w:hint="eastAsia" w:ascii="宋体" w:hAnsi="宋体" w:cs="宋体"/>
                <w:snapToGrid/>
                <w:color w:val="auto"/>
                <w:sz w:val="24"/>
                <w:szCs w:val="24"/>
                <w:highlight w:val="none"/>
              </w:rPr>
            </w:pPr>
            <w:r>
              <w:rPr>
                <w:rFonts w:hint="eastAsia" w:ascii="宋体" w:hAnsi="宋体" w:cs="宋体"/>
                <w:snapToGrid/>
                <w:color w:val="auto"/>
                <w:sz w:val="24"/>
                <w:szCs w:val="24"/>
                <w:highlight w:val="none"/>
              </w:rPr>
              <w:t>（2）</w:t>
            </w:r>
            <w:r>
              <w:rPr>
                <w:rFonts w:hint="eastAsia" w:ascii="宋体" w:hAnsi="宋体" w:cs="宋体"/>
                <w:color w:val="auto"/>
                <w:sz w:val="24"/>
                <w:szCs w:val="24"/>
                <w:highlight w:val="none"/>
              </w:rPr>
              <w:t>以上人员均为在职职工，不包括离、退休返聘人员</w:t>
            </w:r>
            <w:r>
              <w:rPr>
                <w:rFonts w:hint="eastAsia" w:ascii="宋体" w:hAnsi="宋体" w:cs="宋体"/>
                <w:color w:val="auto"/>
                <w:sz w:val="24"/>
                <w:szCs w:val="24"/>
                <w:highlight w:val="none"/>
                <w:lang w:eastAsia="zh-CN"/>
              </w:rPr>
              <w:t>，</w:t>
            </w:r>
            <w:r>
              <w:rPr>
                <w:rFonts w:hint="eastAsia" w:ascii="宋体" w:hAnsi="宋体" w:cs="宋体"/>
                <w:snapToGrid/>
                <w:color w:val="auto"/>
                <w:sz w:val="24"/>
                <w:szCs w:val="24"/>
                <w:highlight w:val="none"/>
              </w:rPr>
              <w:t>须提供缴费期限包含</w:t>
            </w:r>
            <w:r>
              <w:rPr>
                <w:rFonts w:hint="eastAsia" w:ascii="Times New Roman" w:hAnsi="宋体" w:eastAsia="宋体" w:cs="宋体"/>
                <w:color w:val="auto"/>
                <w:sz w:val="24"/>
                <w:szCs w:val="24"/>
                <w:highlight w:val="none"/>
              </w:rPr>
              <w:t>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w:t>
            </w:r>
            <w:r>
              <w:rPr>
                <w:rFonts w:hint="eastAsia" w:ascii="宋体" w:hAnsi="宋体" w:cs="宋体"/>
                <w:snapToGrid/>
                <w:color w:val="auto"/>
                <w:sz w:val="24"/>
                <w:szCs w:val="24"/>
                <w:highlight w:val="none"/>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ascii="Times New Roman" w:hAnsi="宋体" w:eastAsia="宋体" w:cs="宋体"/>
                <w:color w:val="auto"/>
                <w:sz w:val="24"/>
                <w:szCs w:val="24"/>
                <w:highlight w:val="none"/>
              </w:rPr>
              <w:t>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w:t>
            </w:r>
            <w:r>
              <w:rPr>
                <w:rFonts w:hint="eastAsia" w:ascii="宋体" w:hAnsi="宋体" w:cs="宋体"/>
                <w:snapToGrid/>
                <w:color w:val="auto"/>
                <w:sz w:val="24"/>
                <w:szCs w:val="24"/>
                <w:highlight w:val="none"/>
              </w:rPr>
              <w:t>由人事代理中心出具的</w:t>
            </w:r>
            <w:r>
              <w:rPr>
                <w:rFonts w:hint="eastAsia" w:ascii="Times New Roman" w:hAnsi="宋体" w:eastAsia="宋体" w:cs="宋体"/>
                <w:color w:val="auto"/>
                <w:sz w:val="24"/>
                <w:szCs w:val="24"/>
                <w:highlight w:val="none"/>
              </w:rPr>
              <w:t>个人养老保险缴纳清单或证明</w:t>
            </w:r>
            <w:r>
              <w:rPr>
                <w:rFonts w:hint="eastAsia" w:ascii="宋体" w:hAnsi="宋体" w:cs="宋体"/>
                <w:snapToGrid/>
                <w:color w:val="auto"/>
                <w:sz w:val="24"/>
                <w:szCs w:val="24"/>
                <w:highlight w:val="none"/>
              </w:rPr>
              <w:t>（需加盖人事代理中心证明专用章【或电子专用章】）。</w:t>
            </w:r>
          </w:p>
          <w:p>
            <w:pPr>
              <w:spacing w:line="380" w:lineRule="exact"/>
              <w:ind w:firstLine="0" w:firstLineChars="0"/>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（3）如联合体投标的, 总监由联合体中监理业务负责单位指派，造价咨询负责人由联合体中造价咨询业务负责单位指派。</w:t>
            </w:r>
          </w:p>
          <w:p>
            <w:pPr>
              <w:spacing w:line="380" w:lineRule="exact"/>
              <w:ind w:firstLine="0" w:firstLineChars="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（4）注册造价工程师</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一级，2018年7月20日发布“建人[2018]67号”文件之前取得的造价工程师与一级等同）</w:t>
            </w:r>
            <w:r>
              <w:rPr>
                <w:rFonts w:hint="eastAsia" w:ascii="宋体" w:hAnsi="宋体" w:cs="宋体"/>
                <w:color w:val="auto"/>
                <w:sz w:val="24"/>
                <w:szCs w:val="24"/>
                <w:highlight w:val="none"/>
                <w:lang w:val="en-US" w:eastAsia="zh-CN"/>
              </w:rPr>
              <w:t>证书</w:t>
            </w:r>
            <w:r>
              <w:rPr>
                <w:rFonts w:hint="eastAsia" w:ascii="宋体" w:hAnsi="宋体" w:cs="宋体"/>
                <w:color w:val="auto"/>
                <w:sz w:val="24"/>
                <w:szCs w:val="24"/>
                <w:highlight w:val="none"/>
                <w:lang w:eastAsia="zh-CN"/>
              </w:rPr>
              <w:t>；</w:t>
            </w:r>
          </w:p>
          <w:p>
            <w:pPr>
              <w:spacing w:line="380" w:lineRule="exact"/>
              <w:ind w:firstLine="0" w:firstLineChars="0"/>
              <w:rPr>
                <w:rFonts w:hint="eastAsia"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SA"/>
              </w:rPr>
              <w:t>一级建造师注册证书</w:t>
            </w:r>
            <w:r>
              <w:rPr>
                <w:rFonts w:hint="eastAsia" w:ascii="宋体" w:hAnsi="宋体" w:cs="宋体"/>
                <w:color w:val="auto"/>
                <w:sz w:val="24"/>
                <w:szCs w:val="24"/>
                <w:highlight w:val="none"/>
              </w:rPr>
              <w:t>须符合《住房和城乡建设部办公厅关于全面实行一级建造师电子注册证书的通知）》（建办市〔2021〕40号）规定</w:t>
            </w:r>
            <w:r>
              <w:rPr>
                <w:rFonts w:hint="eastAsia" w:cs="宋体"/>
                <w:color w:val="auto"/>
                <w:sz w:val="24"/>
                <w:szCs w:val="24"/>
                <w:highlight w:val="none"/>
              </w:rPr>
              <w:t>。</w:t>
            </w:r>
          </w:p>
          <w:p>
            <w:pPr>
              <w:spacing w:line="380" w:lineRule="exact"/>
              <w:ind w:firstLine="0" w:firstLineChars="0"/>
              <w:rPr>
                <w:rFonts w:hint="eastAsia"/>
                <w:color w:val="auto"/>
                <w:highlight w:val="none"/>
                <w:lang w:val="en-US" w:eastAsia="zh-CN"/>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6</w:t>
            </w:r>
            <w:r>
              <w:rPr>
                <w:rFonts w:hint="eastAsia" w:cs="宋体"/>
                <w:color w:val="auto"/>
                <w:sz w:val="24"/>
                <w:szCs w:val="24"/>
                <w:highlight w:val="none"/>
                <w:lang w:eastAsia="zh-CN"/>
              </w:rPr>
              <w:t>）一级注册建筑师相关证书须符合《全国注册建筑师管理委员会关于开展使用一级注册建筑师电子注册证书工作的通知》（注建〔2021〕2号）规定。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787" w:type="dxa"/>
            <w:vAlign w:val="center"/>
          </w:tcPr>
          <w:p>
            <w:pPr>
              <w:spacing w:line="288" w:lineRule="auto"/>
              <w:jc w:val="center"/>
              <w:rPr>
                <w:rFonts w:hint="eastAsia" w:ascii="宋体" w:hAnsi="宋体" w:eastAsia="宋体" w:cs="宋体"/>
                <w:b/>
                <w:bCs/>
                <w:snapToGrid w:val="0"/>
                <w:color w:val="auto"/>
                <w:sz w:val="24"/>
                <w:szCs w:val="24"/>
                <w:highlight w:val="none"/>
                <w:lang w:val="en-US" w:eastAsia="zh-CN"/>
              </w:rPr>
            </w:pPr>
            <w:r>
              <w:rPr>
                <w:rFonts w:hint="eastAsia" w:ascii="宋体" w:hAnsi="宋体" w:cs="宋体"/>
                <w:b/>
                <w:bCs/>
                <w:snapToGrid w:val="0"/>
                <w:color w:val="auto"/>
                <w:sz w:val="24"/>
                <w:szCs w:val="24"/>
                <w:highlight w:val="none"/>
                <w:lang w:val="en-US" w:eastAsia="zh-CN"/>
              </w:rPr>
              <w:t>6</w:t>
            </w:r>
          </w:p>
        </w:tc>
        <w:tc>
          <w:tcPr>
            <w:tcW w:w="1556" w:type="dxa"/>
            <w:vMerge w:val="restart"/>
            <w:vAlign w:val="center"/>
          </w:tcPr>
          <w:p>
            <w:pPr>
              <w:spacing w:line="288" w:lineRule="auto"/>
              <w:jc w:val="both"/>
              <w:rPr>
                <w:rFonts w:ascii="宋体" w:hAnsi="宋体" w:cs="宋体"/>
                <w:snapToGrid w:val="0"/>
                <w:color w:val="auto"/>
                <w:sz w:val="24"/>
                <w:szCs w:val="24"/>
                <w:highlight w:val="none"/>
              </w:rPr>
            </w:pPr>
          </w:p>
          <w:p>
            <w:pPr>
              <w:spacing w:line="288" w:lineRule="auto"/>
              <w:jc w:val="center"/>
              <w:rPr>
                <w:rFonts w:ascii="宋体" w:hAnsi="宋体" w:cs="宋体"/>
                <w:snapToGrid w:val="0"/>
                <w:color w:val="auto"/>
                <w:sz w:val="24"/>
                <w:szCs w:val="24"/>
                <w:highlight w:val="none"/>
              </w:rPr>
            </w:pPr>
          </w:p>
          <w:p>
            <w:pPr>
              <w:spacing w:line="288" w:lineRule="auto"/>
              <w:jc w:val="center"/>
              <w:rPr>
                <w:rFonts w:ascii="宋体" w:hAnsi="宋体" w:cs="宋体"/>
                <w:snapToGrid w:val="0"/>
                <w:color w:val="auto"/>
                <w:sz w:val="24"/>
                <w:szCs w:val="24"/>
                <w:highlight w:val="none"/>
              </w:rPr>
            </w:pPr>
          </w:p>
          <w:p>
            <w:pPr>
              <w:spacing w:line="288" w:lineRule="auto"/>
              <w:jc w:val="center"/>
              <w:rPr>
                <w:rFonts w:ascii="宋体" w:hAnsi="宋体" w:cs="宋体"/>
                <w:b/>
                <w:bCs/>
                <w:snapToGrid w:val="0"/>
                <w:color w:val="auto"/>
                <w:sz w:val="24"/>
                <w:szCs w:val="24"/>
                <w:highlight w:val="none"/>
              </w:rPr>
            </w:pPr>
            <w:r>
              <w:rPr>
                <w:rFonts w:hint="eastAsia" w:ascii="宋体" w:hAnsi="宋体" w:cs="宋体"/>
                <w:b/>
                <w:bCs/>
                <w:snapToGrid w:val="0"/>
                <w:color w:val="auto"/>
                <w:sz w:val="24"/>
                <w:szCs w:val="24"/>
                <w:highlight w:val="none"/>
              </w:rPr>
              <w:t>资信部分</w:t>
            </w:r>
          </w:p>
          <w:p>
            <w:pPr>
              <w:spacing w:line="288" w:lineRule="auto"/>
              <w:jc w:val="center"/>
              <w:rPr>
                <w:rFonts w:ascii="宋体" w:hAnsi="宋体" w:cs="宋体"/>
                <w:snapToGrid w:val="0"/>
                <w:color w:val="auto"/>
                <w:sz w:val="24"/>
                <w:szCs w:val="24"/>
                <w:highlight w:val="none"/>
              </w:rPr>
            </w:pPr>
            <w:r>
              <w:rPr>
                <w:rFonts w:hint="eastAsia" w:ascii="宋体" w:hAnsi="宋体" w:cs="宋体"/>
                <w:b/>
                <w:bCs/>
                <w:snapToGrid w:val="0"/>
                <w:color w:val="auto"/>
                <w:sz w:val="24"/>
                <w:szCs w:val="24"/>
                <w:highlight w:val="none"/>
              </w:rPr>
              <w:t>（8分）</w:t>
            </w:r>
          </w:p>
        </w:tc>
        <w:tc>
          <w:tcPr>
            <w:tcW w:w="1578" w:type="dxa"/>
            <w:vAlign w:val="center"/>
          </w:tcPr>
          <w:p>
            <w:pPr>
              <w:pStyle w:val="25"/>
              <w:tabs>
                <w:tab w:val="clear" w:pos="574"/>
              </w:tabs>
              <w:spacing w:line="288" w:lineRule="auto"/>
              <w:ind w:firstLine="0" w:firstLineChars="0"/>
              <w:jc w:val="both"/>
              <w:rPr>
                <w:rFonts w:hint="eastAsia" w:hAnsi="宋体" w:cs="宋体"/>
                <w:color w:val="auto"/>
                <w:sz w:val="24"/>
                <w:szCs w:val="24"/>
                <w:highlight w:val="none"/>
              </w:rPr>
            </w:pPr>
            <w:r>
              <w:rPr>
                <w:rFonts w:hint="eastAsia" w:hAnsi="宋体" w:cs="宋体"/>
                <w:color w:val="auto"/>
                <w:sz w:val="24"/>
                <w:szCs w:val="24"/>
                <w:highlight w:val="none"/>
              </w:rPr>
              <w:t>企业业绩与荣誉</w:t>
            </w:r>
          </w:p>
          <w:p>
            <w:pPr>
              <w:pStyle w:val="25"/>
              <w:tabs>
                <w:tab w:val="clear" w:pos="574"/>
              </w:tabs>
              <w:spacing w:line="288" w:lineRule="auto"/>
              <w:ind w:firstLine="0" w:firstLineChars="0"/>
              <w:jc w:val="both"/>
              <w:rPr>
                <w:rFonts w:hAnsi="宋体" w:cs="宋体"/>
                <w:snapToGrid w:val="0"/>
                <w:color w:val="auto"/>
                <w:kern w:val="0"/>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4</w:t>
            </w:r>
            <w:r>
              <w:rPr>
                <w:rFonts w:hint="eastAsia" w:hAnsi="宋体" w:cs="宋体"/>
                <w:color w:val="auto"/>
                <w:sz w:val="24"/>
                <w:szCs w:val="24"/>
                <w:highlight w:val="none"/>
              </w:rPr>
              <w:t>分）</w:t>
            </w:r>
          </w:p>
        </w:tc>
        <w:tc>
          <w:tcPr>
            <w:tcW w:w="6105" w:type="dxa"/>
            <w:vAlign w:val="center"/>
          </w:tcPr>
          <w:p>
            <w:pPr>
              <w:pStyle w:val="14"/>
              <w:numPr>
                <w:ilvl w:val="0"/>
                <w:numId w:val="0"/>
              </w:numPr>
              <w:spacing w:line="360" w:lineRule="auto"/>
              <w:ind w:firstLine="0" w:firstLineChars="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投标人（联合体投标时，联合体任一方）自2018年1月1日以来（以施工交（竣工）验收证书时间为准），单独完成或以联合体身份完成过单个项目道路里程长度不少于2.3km的新（改、扩）建城市快速路或城市主干路或一级公路兼具城市道路功能（且该业绩中均须包含长度不少于1.0km的高架桥）的全过程工程咨询服务（合同服务范围内容须同时包含项目管理、工程监理）或工程监理业绩的得2分，最多得2分；</w:t>
            </w:r>
          </w:p>
          <w:p>
            <w:pPr>
              <w:pStyle w:val="14"/>
              <w:numPr>
                <w:ilvl w:val="0"/>
                <w:numId w:val="0"/>
              </w:numPr>
              <w:spacing w:line="360" w:lineRule="auto"/>
              <w:ind w:firstLine="0" w:firstLineChars="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需提供的有效证明材料：①中标通知书②合同协议书③施工交（竣）工验验收资料【</w:t>
            </w:r>
            <w:r>
              <w:rPr>
                <w:rFonts w:hint="eastAsia" w:hAnsi="宋体" w:cs="宋体"/>
                <w:color w:val="auto"/>
                <w:sz w:val="24"/>
                <w:szCs w:val="24"/>
                <w:highlight w:val="none"/>
                <w:lang w:val="zh-CN" w:eastAsia="zh-CN"/>
              </w:rPr>
              <w:t>交（竣）工</w:t>
            </w:r>
            <w:r>
              <w:rPr>
                <w:rFonts w:hint="eastAsia" w:hAnsi="宋体" w:cs="宋体"/>
                <w:color w:val="auto"/>
                <w:sz w:val="24"/>
                <w:szCs w:val="24"/>
                <w:highlight w:val="none"/>
                <w:lang w:val="en-US" w:eastAsia="zh-CN"/>
              </w:rPr>
              <w:t>验收证书或竣工验收报告或竣工验收备案表】，上述证明材料的复制件须加盖投标人公章。上述资料缺一不可，否则业绩不予认可。</w:t>
            </w:r>
          </w:p>
          <w:p>
            <w:pPr>
              <w:pStyle w:val="14"/>
              <w:numPr>
                <w:ilvl w:val="0"/>
                <w:numId w:val="0"/>
              </w:numPr>
              <w:spacing w:line="360" w:lineRule="auto"/>
              <w:ind w:firstLine="0" w:firstLineChars="0"/>
              <w:rPr>
                <w:rFonts w:hint="eastAsia" w:hAnsi="宋体" w:cs="宋体"/>
                <w:color w:val="auto"/>
                <w:sz w:val="24"/>
                <w:szCs w:val="24"/>
                <w:highlight w:val="none"/>
                <w:lang w:val="en-US" w:eastAsia="zh-CN"/>
              </w:rPr>
            </w:pPr>
            <w:r>
              <w:rPr>
                <w:rFonts w:hint="eastAsia" w:hAnsi="宋体" w:cs="宋体"/>
                <w:color w:val="auto"/>
                <w:sz w:val="24"/>
                <w:szCs w:val="24"/>
                <w:highlight w:val="none"/>
                <w:lang w:val="zh-CN" w:eastAsia="zh-CN"/>
              </w:rPr>
              <w:t>如上述材料均未体现项目性质、业绩规模、</w:t>
            </w:r>
            <w:r>
              <w:rPr>
                <w:rFonts w:hint="eastAsia" w:hAnsi="宋体" w:cs="宋体"/>
                <w:color w:val="auto"/>
                <w:sz w:val="24"/>
                <w:szCs w:val="24"/>
                <w:highlight w:val="none"/>
                <w:lang w:val="en-US" w:eastAsia="zh-CN"/>
              </w:rPr>
              <w:t>主要工程内容</w:t>
            </w:r>
            <w:r>
              <w:rPr>
                <w:rFonts w:hint="eastAsia" w:hAnsi="宋体" w:cs="宋体"/>
                <w:color w:val="auto"/>
                <w:sz w:val="24"/>
                <w:szCs w:val="24"/>
                <w:highlight w:val="none"/>
                <w:lang w:val="zh-CN" w:eastAsia="zh-CN"/>
              </w:rPr>
              <w:t>的，还需提供立项批复文件</w:t>
            </w:r>
            <w:r>
              <w:rPr>
                <w:rFonts w:hint="eastAsia" w:hAnsi="宋体" w:cs="宋体"/>
                <w:color w:val="auto"/>
                <w:sz w:val="24"/>
                <w:szCs w:val="24"/>
                <w:highlight w:val="none"/>
                <w:lang w:val="en-US" w:eastAsia="zh-CN"/>
              </w:rPr>
              <w:t>或</w:t>
            </w:r>
            <w:r>
              <w:rPr>
                <w:rFonts w:hint="eastAsia" w:hAnsi="宋体" w:cs="宋体"/>
                <w:color w:val="auto"/>
                <w:sz w:val="24"/>
                <w:szCs w:val="24"/>
                <w:highlight w:val="none"/>
                <w:lang w:val="zh-CN" w:eastAsia="zh-CN"/>
              </w:rPr>
              <w:t>业主</w:t>
            </w:r>
            <w:r>
              <w:rPr>
                <w:rFonts w:hint="eastAsia" w:hAnsi="宋体" w:cs="宋体"/>
                <w:color w:val="auto"/>
                <w:sz w:val="24"/>
                <w:szCs w:val="24"/>
                <w:highlight w:val="none"/>
                <w:lang w:val="en-US" w:eastAsia="zh-CN"/>
              </w:rPr>
              <w:t>出具的并经相关行业主管部门确认的</w:t>
            </w:r>
            <w:r>
              <w:rPr>
                <w:rFonts w:hint="eastAsia" w:hAnsi="宋体" w:cs="宋体"/>
                <w:color w:val="auto"/>
                <w:sz w:val="24"/>
                <w:szCs w:val="24"/>
                <w:highlight w:val="none"/>
                <w:lang w:val="zh-CN" w:eastAsia="zh-CN"/>
              </w:rPr>
              <w:t>证明材料</w:t>
            </w:r>
            <w:r>
              <w:rPr>
                <w:rFonts w:hint="eastAsia" w:hAnsi="宋体" w:cs="宋体"/>
                <w:color w:val="auto"/>
                <w:sz w:val="24"/>
                <w:szCs w:val="24"/>
                <w:highlight w:val="none"/>
                <w:lang w:val="en-US" w:eastAsia="zh-CN"/>
              </w:rPr>
              <w:t>复制件</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并加盖投标人公章，</w:t>
            </w:r>
            <w:r>
              <w:rPr>
                <w:rFonts w:hint="eastAsia" w:hAnsi="宋体" w:cs="宋体"/>
                <w:color w:val="auto"/>
                <w:sz w:val="24"/>
                <w:szCs w:val="24"/>
                <w:highlight w:val="none"/>
                <w:lang w:val="zh-CN" w:eastAsia="zh-CN"/>
              </w:rPr>
              <w:t>否则不予认可。</w:t>
            </w:r>
          </w:p>
          <w:p>
            <w:pPr>
              <w:pStyle w:val="14"/>
              <w:numPr>
                <w:ilvl w:val="0"/>
                <w:numId w:val="0"/>
              </w:numPr>
              <w:spacing w:line="36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投标人（联合体投标时，联合体任一方）自2018年</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月1日以来（以获奖证书或获奖文件的落款时间为准），单独完成或以联合体身份完成</w:t>
            </w:r>
            <w:r>
              <w:rPr>
                <w:rFonts w:hint="eastAsia" w:hAnsi="宋体" w:cs="宋体"/>
                <w:color w:val="auto"/>
                <w:sz w:val="24"/>
                <w:szCs w:val="24"/>
                <w:highlight w:val="none"/>
                <w:lang w:val="en-US" w:eastAsia="zh-CN"/>
              </w:rPr>
              <w:t>过的市政公用工程或含城市高架的公路项目的</w:t>
            </w:r>
            <w:r>
              <w:rPr>
                <w:rFonts w:hint="eastAsia" w:hAnsi="宋体" w:cs="宋体"/>
                <w:color w:val="auto"/>
                <w:sz w:val="24"/>
                <w:szCs w:val="24"/>
                <w:highlight w:val="none"/>
              </w:rPr>
              <w:t>全过程工程咨询</w:t>
            </w:r>
            <w:r>
              <w:rPr>
                <w:rFonts w:hint="eastAsia"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合同服务范围内容须同时包含项目管理、工程监理</w:t>
            </w:r>
            <w:r>
              <w:rPr>
                <w:rFonts w:hint="eastAsia" w:hAnsi="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或工程监理项目业绩,且该工程项目</w:t>
            </w:r>
            <w:r>
              <w:rPr>
                <w:rFonts w:hint="eastAsia" w:ascii="宋体" w:hAnsi="宋体" w:eastAsia="宋体" w:cs="宋体"/>
                <w:color w:val="auto"/>
                <w:sz w:val="24"/>
                <w:szCs w:val="24"/>
                <w:highlight w:val="none"/>
                <w:lang w:val="en-US" w:eastAsia="zh-CN"/>
              </w:rPr>
              <w:t>获得过省级及以上</w:t>
            </w:r>
            <w:r>
              <w:rPr>
                <w:rFonts w:hint="eastAsia" w:hAnsi="宋体" w:cs="宋体"/>
                <w:color w:val="auto"/>
                <w:sz w:val="24"/>
                <w:szCs w:val="24"/>
                <w:highlight w:val="none"/>
                <w:lang w:val="en-US" w:eastAsia="zh-CN"/>
              </w:rPr>
              <w:t>工程质量</w:t>
            </w:r>
            <w:r>
              <w:rPr>
                <w:rFonts w:hint="eastAsia" w:ascii="宋体" w:hAnsi="宋体" w:eastAsia="宋体" w:cs="宋体"/>
                <w:color w:val="auto"/>
                <w:sz w:val="24"/>
                <w:szCs w:val="24"/>
                <w:highlight w:val="none"/>
                <w:lang w:val="en-US" w:eastAsia="zh-CN"/>
              </w:rPr>
              <w:t>奖项的得2分，最多得2分。</w:t>
            </w:r>
          </w:p>
          <w:p>
            <w:pPr>
              <w:pStyle w:val="14"/>
              <w:numPr>
                <w:ilvl w:val="0"/>
                <w:numId w:val="0"/>
              </w:numPr>
              <w:spacing w:line="360" w:lineRule="auto"/>
              <w:ind w:firstLine="0" w:firstLineChars="0"/>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注:在该</w:t>
            </w:r>
            <w:r>
              <w:rPr>
                <w:rFonts w:hint="eastAsia" w:ascii="宋体" w:hAnsi="宋体" w:cs="宋体"/>
                <w:color w:val="auto"/>
                <w:sz w:val="24"/>
                <w:szCs w:val="24"/>
                <w:highlight w:val="none"/>
                <w:lang w:val="en-US" w:eastAsia="zh-CN"/>
              </w:rPr>
              <w:t>工程</w:t>
            </w:r>
            <w:r>
              <w:rPr>
                <w:rFonts w:hint="eastAsia" w:hAnsi="宋体" w:cs="宋体"/>
                <w:color w:val="auto"/>
                <w:sz w:val="24"/>
                <w:szCs w:val="24"/>
                <w:highlight w:val="none"/>
                <w:lang w:val="en-US" w:eastAsia="zh-CN"/>
              </w:rPr>
              <w:t>项目上以设计单位身份获奖的除外;</w:t>
            </w:r>
          </w:p>
          <w:p>
            <w:pPr>
              <w:pStyle w:val="1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需提供的有效证明材料：①中标通知书②合同</w:t>
            </w:r>
            <w:r>
              <w:rPr>
                <w:rFonts w:hint="eastAsia" w:hAnsi="宋体" w:cs="宋体"/>
                <w:color w:val="auto"/>
                <w:sz w:val="24"/>
                <w:szCs w:val="24"/>
                <w:highlight w:val="none"/>
                <w:lang w:val="en-US" w:eastAsia="zh-CN"/>
              </w:rPr>
              <w:t>协议书</w:t>
            </w:r>
            <w:r>
              <w:rPr>
                <w:rFonts w:hint="eastAsia" w:ascii="宋体" w:hAnsi="宋体" w:eastAsia="宋体" w:cs="宋体"/>
                <w:color w:val="auto"/>
                <w:sz w:val="24"/>
                <w:szCs w:val="24"/>
                <w:highlight w:val="none"/>
                <w:lang w:val="en-US" w:eastAsia="zh-CN"/>
              </w:rPr>
              <w:t>③获奖证书（或获奖文件），以上证明材料的复制件须加盖投标人公章。上述资料缺一不可，否则奖项不予认可。</w:t>
            </w:r>
          </w:p>
          <w:p>
            <w:pPr>
              <w:pStyle w:val="14"/>
              <w:spacing w:line="360" w:lineRule="auto"/>
              <w:rPr>
                <w:rFonts w:hint="default" w:ascii="宋体" w:hAnsi="宋体" w:eastAsia="宋体" w:cs="宋体"/>
                <w:color w:val="auto"/>
                <w:sz w:val="24"/>
                <w:szCs w:val="24"/>
                <w:highlight w:val="none"/>
                <w:lang w:val="en-US" w:eastAsia="zh-CN"/>
              </w:rPr>
            </w:pPr>
            <w:r>
              <w:rPr>
                <w:rFonts w:hint="eastAsia" w:ascii="Times New Roman" w:hAnsi="Times New Roman" w:cs="Times New Roman"/>
                <w:b w:val="0"/>
                <w:bCs w:val="0"/>
                <w:color w:val="auto"/>
                <w:kern w:val="0"/>
                <w:sz w:val="24"/>
                <w:szCs w:val="24"/>
                <w:highlight w:val="none"/>
                <w:lang w:val="zh-CN"/>
              </w:rPr>
              <w:t>如上述材料均未体现项目性质、业绩规模、</w:t>
            </w:r>
            <w:r>
              <w:rPr>
                <w:rFonts w:hint="eastAsia" w:ascii="Times New Roman" w:hAnsi="Times New Roman" w:cs="Times New Roman"/>
                <w:b w:val="0"/>
                <w:bCs w:val="0"/>
                <w:color w:val="auto"/>
                <w:kern w:val="0"/>
                <w:sz w:val="24"/>
                <w:szCs w:val="24"/>
                <w:highlight w:val="none"/>
              </w:rPr>
              <w:t>主要工程内容</w:t>
            </w:r>
            <w:r>
              <w:rPr>
                <w:rFonts w:hint="eastAsia" w:ascii="Times New Roman" w:hAnsi="Times New Roman" w:cs="Times New Roman"/>
                <w:b w:val="0"/>
                <w:bCs w:val="0"/>
                <w:color w:val="auto"/>
                <w:kern w:val="0"/>
                <w:sz w:val="24"/>
                <w:szCs w:val="24"/>
                <w:highlight w:val="none"/>
                <w:lang w:val="zh-CN"/>
              </w:rPr>
              <w:t>的，还需提供立项批复文件</w:t>
            </w:r>
            <w:r>
              <w:rPr>
                <w:rFonts w:hint="eastAsia" w:ascii="Times New Roman" w:hAnsi="Times New Roman" w:cs="Times New Roman"/>
                <w:b w:val="0"/>
                <w:bCs w:val="0"/>
                <w:color w:val="auto"/>
                <w:kern w:val="0"/>
                <w:sz w:val="24"/>
                <w:szCs w:val="24"/>
                <w:highlight w:val="none"/>
              </w:rPr>
              <w:t>或</w:t>
            </w:r>
            <w:r>
              <w:rPr>
                <w:rFonts w:hint="eastAsia" w:ascii="Times New Roman" w:hAnsi="Times New Roman" w:cs="Times New Roman"/>
                <w:b w:val="0"/>
                <w:bCs w:val="0"/>
                <w:color w:val="auto"/>
                <w:kern w:val="0"/>
                <w:sz w:val="24"/>
                <w:szCs w:val="24"/>
                <w:highlight w:val="none"/>
                <w:lang w:val="zh-CN"/>
              </w:rPr>
              <w:t>业主</w:t>
            </w:r>
            <w:r>
              <w:rPr>
                <w:rFonts w:hint="eastAsia" w:ascii="Times New Roman" w:hAnsi="Times New Roman" w:cs="Times New Roman"/>
                <w:b w:val="0"/>
                <w:bCs w:val="0"/>
                <w:color w:val="auto"/>
                <w:kern w:val="0"/>
                <w:sz w:val="24"/>
                <w:szCs w:val="24"/>
                <w:highlight w:val="none"/>
              </w:rPr>
              <w:t>出具的并经相关行业主管部门确认的</w:t>
            </w:r>
            <w:r>
              <w:rPr>
                <w:rFonts w:hint="eastAsia" w:ascii="Times New Roman" w:hAnsi="Times New Roman" w:cs="Times New Roman"/>
                <w:b w:val="0"/>
                <w:bCs w:val="0"/>
                <w:color w:val="auto"/>
                <w:kern w:val="0"/>
                <w:sz w:val="24"/>
                <w:szCs w:val="24"/>
                <w:highlight w:val="none"/>
                <w:lang w:val="zh-CN"/>
              </w:rPr>
              <w:t>证明材料</w:t>
            </w:r>
            <w:r>
              <w:rPr>
                <w:rFonts w:hint="eastAsia" w:ascii="Times New Roman" w:hAnsi="Times New Roman" w:cs="Times New Roman"/>
                <w:b w:val="0"/>
                <w:bCs w:val="0"/>
                <w:color w:val="auto"/>
                <w:kern w:val="0"/>
                <w:sz w:val="24"/>
                <w:szCs w:val="24"/>
                <w:highlight w:val="none"/>
              </w:rPr>
              <w:t>复制件并加盖投标人公章，</w:t>
            </w:r>
            <w:r>
              <w:rPr>
                <w:rFonts w:hint="eastAsia" w:ascii="Times New Roman" w:hAnsi="Times New Roman" w:cs="Times New Roman"/>
                <w:b w:val="0"/>
                <w:bCs w:val="0"/>
                <w:color w:val="auto"/>
                <w:kern w:val="0"/>
                <w:sz w:val="24"/>
                <w:szCs w:val="24"/>
                <w:highlight w:val="none"/>
                <w:lang w:val="zh-CN"/>
              </w:rPr>
              <w:t>否则不予认可</w:t>
            </w:r>
            <w:r>
              <w:rPr>
                <w:rFonts w:hint="eastAsia" w:ascii="Times New Roman" w:hAnsi="Times New Roman" w:cs="Times New Roman"/>
                <w:b w:val="0"/>
                <w:bCs w:val="0"/>
                <w:color w:val="auto"/>
                <w:kern w:val="0"/>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87" w:type="dxa"/>
            <w:vAlign w:val="center"/>
          </w:tcPr>
          <w:p>
            <w:pPr>
              <w:spacing w:line="288"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7</w:t>
            </w:r>
          </w:p>
        </w:tc>
        <w:tc>
          <w:tcPr>
            <w:tcW w:w="1556" w:type="dxa"/>
            <w:vMerge w:val="continue"/>
            <w:vAlign w:val="center"/>
          </w:tcPr>
          <w:p>
            <w:pPr>
              <w:spacing w:line="288" w:lineRule="auto"/>
              <w:jc w:val="center"/>
              <w:rPr>
                <w:rFonts w:hint="eastAsia" w:ascii="宋体" w:hAnsi="宋体" w:cs="宋体"/>
                <w:snapToGrid w:val="0"/>
                <w:color w:val="auto"/>
                <w:sz w:val="24"/>
                <w:szCs w:val="24"/>
                <w:highlight w:val="none"/>
              </w:rPr>
            </w:pPr>
          </w:p>
        </w:tc>
        <w:tc>
          <w:tcPr>
            <w:tcW w:w="1578" w:type="dxa"/>
            <w:vAlign w:val="center"/>
          </w:tcPr>
          <w:p>
            <w:pPr>
              <w:pStyle w:val="25"/>
              <w:tabs>
                <w:tab w:val="clear" w:pos="574"/>
              </w:tabs>
              <w:spacing w:line="288" w:lineRule="auto"/>
              <w:ind w:firstLine="0" w:firstLineChars="0"/>
              <w:jc w:val="center"/>
              <w:rPr>
                <w:rFonts w:hint="eastAsia" w:hAnsi="宋体" w:cs="宋体"/>
                <w:color w:val="auto"/>
                <w:sz w:val="24"/>
                <w:szCs w:val="24"/>
                <w:highlight w:val="none"/>
              </w:rPr>
            </w:pPr>
          </w:p>
          <w:p>
            <w:pPr>
              <w:pStyle w:val="25"/>
              <w:tabs>
                <w:tab w:val="clear" w:pos="574"/>
              </w:tabs>
              <w:spacing w:line="288" w:lineRule="auto"/>
              <w:ind w:firstLine="0" w:firstLineChars="0"/>
              <w:jc w:val="both"/>
              <w:rPr>
                <w:rFonts w:hint="eastAsia" w:hAnsi="宋体" w:cs="宋体"/>
                <w:color w:val="auto"/>
                <w:sz w:val="24"/>
                <w:szCs w:val="24"/>
                <w:highlight w:val="none"/>
              </w:rPr>
            </w:pPr>
          </w:p>
          <w:p>
            <w:pPr>
              <w:pStyle w:val="25"/>
              <w:tabs>
                <w:tab w:val="clear" w:pos="574"/>
              </w:tabs>
              <w:spacing w:line="288" w:lineRule="auto"/>
              <w:ind w:firstLine="0" w:firstLineChars="0"/>
              <w:jc w:val="both"/>
              <w:rPr>
                <w:rFonts w:hint="eastAsia" w:hAnsi="宋体" w:cs="宋体"/>
                <w:color w:val="auto"/>
                <w:sz w:val="24"/>
                <w:szCs w:val="24"/>
                <w:highlight w:val="none"/>
              </w:rPr>
            </w:pPr>
          </w:p>
          <w:p>
            <w:pPr>
              <w:pStyle w:val="25"/>
              <w:tabs>
                <w:tab w:val="clear" w:pos="574"/>
              </w:tabs>
              <w:spacing w:line="288" w:lineRule="auto"/>
              <w:ind w:firstLine="0" w:firstLineChars="0"/>
              <w:jc w:val="both"/>
              <w:rPr>
                <w:rFonts w:hint="eastAsia" w:hAnsi="宋体" w:cs="宋体"/>
                <w:color w:val="auto"/>
                <w:sz w:val="24"/>
                <w:szCs w:val="24"/>
                <w:highlight w:val="none"/>
              </w:rPr>
            </w:pPr>
          </w:p>
          <w:p>
            <w:pPr>
              <w:pStyle w:val="25"/>
              <w:tabs>
                <w:tab w:val="clear" w:pos="574"/>
              </w:tabs>
              <w:spacing w:line="288" w:lineRule="auto"/>
              <w:ind w:firstLine="0" w:firstLineChars="0"/>
              <w:jc w:val="both"/>
              <w:rPr>
                <w:rFonts w:hint="eastAsia" w:hAnsi="宋体" w:cs="宋体"/>
                <w:color w:val="auto"/>
                <w:sz w:val="24"/>
                <w:szCs w:val="24"/>
                <w:highlight w:val="none"/>
              </w:rPr>
            </w:pPr>
            <w:r>
              <w:rPr>
                <w:rFonts w:hint="eastAsia" w:hAnsi="宋体" w:cs="宋体"/>
                <w:color w:val="auto"/>
                <w:sz w:val="24"/>
                <w:szCs w:val="24"/>
                <w:highlight w:val="none"/>
                <w:lang w:val="en-US" w:eastAsia="zh-CN"/>
              </w:rPr>
              <w:t>拟派</w:t>
            </w:r>
            <w:r>
              <w:rPr>
                <w:rFonts w:hint="eastAsia" w:hAnsi="宋体" w:cs="宋体"/>
                <w:color w:val="auto"/>
                <w:sz w:val="24"/>
                <w:szCs w:val="24"/>
                <w:highlight w:val="none"/>
              </w:rPr>
              <w:t>项</w:t>
            </w:r>
            <w:r>
              <w:rPr>
                <w:rFonts w:hint="eastAsia" w:hAnsi="宋体" w:cs="宋体"/>
                <w:color w:val="auto"/>
                <w:sz w:val="24"/>
                <w:szCs w:val="24"/>
                <w:highlight w:val="none"/>
                <w:lang w:val="en-US" w:eastAsia="zh-CN"/>
              </w:rPr>
              <w:t>目</w:t>
            </w:r>
            <w:r>
              <w:rPr>
                <w:rFonts w:hint="eastAsia" w:hAnsi="宋体" w:cs="宋体"/>
                <w:color w:val="auto"/>
                <w:sz w:val="24"/>
                <w:szCs w:val="24"/>
                <w:highlight w:val="none"/>
              </w:rPr>
              <w:t>负责人</w:t>
            </w:r>
            <w:r>
              <w:rPr>
                <w:rFonts w:hint="eastAsia" w:hAnsi="宋体" w:cs="宋体"/>
                <w:color w:val="auto"/>
                <w:sz w:val="24"/>
                <w:szCs w:val="24"/>
                <w:highlight w:val="none"/>
                <w:lang w:val="en-US" w:eastAsia="zh-CN"/>
              </w:rPr>
              <w:t>业</w:t>
            </w:r>
            <w:r>
              <w:rPr>
                <w:rFonts w:hint="eastAsia" w:hAnsi="宋体" w:cs="宋体"/>
                <w:color w:val="auto"/>
                <w:sz w:val="24"/>
                <w:szCs w:val="24"/>
                <w:highlight w:val="none"/>
              </w:rPr>
              <w:t>绩</w:t>
            </w:r>
          </w:p>
          <w:p>
            <w:pPr>
              <w:pStyle w:val="25"/>
              <w:tabs>
                <w:tab w:val="clear" w:pos="574"/>
              </w:tabs>
              <w:spacing w:line="288" w:lineRule="auto"/>
              <w:ind w:firstLine="0" w:firstLineChars="0"/>
              <w:jc w:val="both"/>
              <w:rPr>
                <w:rFonts w:hint="eastAsia" w:hAnsi="宋体" w:cs="宋体"/>
                <w:color w:val="auto"/>
                <w:sz w:val="24"/>
                <w:szCs w:val="24"/>
                <w:highlight w:val="none"/>
              </w:rPr>
            </w:pPr>
            <w:r>
              <w:rPr>
                <w:rFonts w:hint="eastAsia" w:hAnsi="宋体" w:cs="宋体"/>
                <w:color w:val="auto"/>
                <w:sz w:val="24"/>
                <w:szCs w:val="24"/>
                <w:highlight w:val="none"/>
              </w:rPr>
              <w:t>（2分）</w:t>
            </w:r>
          </w:p>
        </w:tc>
        <w:tc>
          <w:tcPr>
            <w:tcW w:w="6105" w:type="dxa"/>
            <w:vAlign w:val="center"/>
          </w:tcPr>
          <w:p>
            <w:pPr>
              <w:pStyle w:val="14"/>
              <w:numPr>
                <w:ilvl w:val="-1"/>
                <w:numId w:val="0"/>
              </w:numPr>
              <w:spacing w:line="360" w:lineRule="auto"/>
              <w:ind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自2018年</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1日以来（以施工交（竣工）验收证书时间为准），拟派项目负责人以项目负责人身份完成过单个项目道路里程长度不少于2.3km的新（改、扩）建城市快速路或城市主干路或一级公路兼具城市道路功能（且该业绩中均须包含长度不少于1.0km的高架桥）的全过程工程咨询服务业绩(合同服务范围内容须同时包含项目管理、工程监理)或工程监理项目业绩的每个得2分，最多得2分；</w:t>
            </w:r>
          </w:p>
          <w:p>
            <w:pPr>
              <w:pStyle w:val="14"/>
              <w:numPr>
                <w:ilvl w:val="-1"/>
                <w:numId w:val="0"/>
              </w:numPr>
              <w:spacing w:line="360" w:lineRule="auto"/>
              <w:ind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需提供的有效证明材料：①中标通知书②合同协议书③施工交（竣）工验验收资料【</w:t>
            </w:r>
            <w:r>
              <w:rPr>
                <w:rFonts w:hint="eastAsia" w:ascii="宋体" w:hAnsi="宋体" w:eastAsia="宋体" w:cs="宋体"/>
                <w:color w:val="auto"/>
                <w:sz w:val="24"/>
                <w:szCs w:val="24"/>
                <w:highlight w:val="none"/>
                <w:lang w:val="zh-CN" w:eastAsia="zh-CN"/>
              </w:rPr>
              <w:t>交（竣）工</w:t>
            </w:r>
            <w:r>
              <w:rPr>
                <w:rFonts w:hint="eastAsia" w:ascii="宋体" w:hAnsi="宋体" w:eastAsia="宋体" w:cs="宋体"/>
                <w:color w:val="auto"/>
                <w:sz w:val="24"/>
                <w:szCs w:val="24"/>
                <w:highlight w:val="none"/>
                <w:lang w:val="en-US" w:eastAsia="zh-CN"/>
              </w:rPr>
              <w:t>验收证书或竣工验收报告或竣工验收备案表】，上述在证明材料的复制件须加盖投标人公章。上述资料缺一不可，否则业绩不予认可。</w:t>
            </w:r>
          </w:p>
          <w:p>
            <w:pPr>
              <w:pStyle w:val="14"/>
              <w:numPr>
                <w:ilvl w:val="-1"/>
                <w:numId w:val="0"/>
              </w:numPr>
              <w:spacing w:line="360" w:lineRule="auto"/>
              <w:ind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如上述材料均未体现项目性质、业绩规模、</w:t>
            </w:r>
            <w:r>
              <w:rPr>
                <w:rFonts w:hint="eastAsia" w:ascii="宋体" w:hAnsi="宋体" w:eastAsia="宋体" w:cs="宋体"/>
                <w:color w:val="auto"/>
                <w:sz w:val="24"/>
                <w:szCs w:val="24"/>
                <w:highlight w:val="none"/>
                <w:lang w:val="en-US" w:eastAsia="zh-CN"/>
              </w:rPr>
              <w:t>主要工程内容</w:t>
            </w:r>
            <w:r>
              <w:rPr>
                <w:rFonts w:hint="eastAsia" w:ascii="宋体" w:hAnsi="宋体" w:eastAsia="宋体" w:cs="宋体"/>
                <w:color w:val="auto"/>
                <w:sz w:val="24"/>
                <w:szCs w:val="24"/>
                <w:highlight w:val="none"/>
                <w:lang w:val="zh-CN" w:eastAsia="zh-CN"/>
              </w:rPr>
              <w:t>的，还需提供立项批复文件</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lang w:val="zh-CN" w:eastAsia="zh-CN"/>
              </w:rPr>
              <w:t>业主</w:t>
            </w:r>
            <w:r>
              <w:rPr>
                <w:rFonts w:hint="eastAsia" w:ascii="宋体" w:hAnsi="宋体" w:eastAsia="宋体" w:cs="宋体"/>
                <w:color w:val="auto"/>
                <w:sz w:val="24"/>
                <w:szCs w:val="24"/>
                <w:highlight w:val="none"/>
                <w:lang w:val="en-US" w:eastAsia="zh-CN"/>
              </w:rPr>
              <w:t>出具的并经相关行业主管部门确认的</w:t>
            </w:r>
            <w:r>
              <w:rPr>
                <w:rFonts w:hint="eastAsia" w:ascii="宋体" w:hAnsi="宋体" w:eastAsia="宋体" w:cs="宋体"/>
                <w:color w:val="auto"/>
                <w:sz w:val="24"/>
                <w:szCs w:val="24"/>
                <w:highlight w:val="none"/>
                <w:lang w:val="zh-CN" w:eastAsia="zh-CN"/>
              </w:rPr>
              <w:t>证明材料</w:t>
            </w:r>
            <w:r>
              <w:rPr>
                <w:rFonts w:hint="eastAsia" w:ascii="宋体" w:hAnsi="宋体" w:eastAsia="宋体" w:cs="宋体"/>
                <w:color w:val="auto"/>
                <w:sz w:val="24"/>
                <w:szCs w:val="24"/>
                <w:highlight w:val="none"/>
                <w:lang w:val="en-US" w:eastAsia="zh-CN"/>
              </w:rPr>
              <w:t>复制件</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并加盖投标人公章，</w:t>
            </w:r>
            <w:r>
              <w:rPr>
                <w:rFonts w:hint="eastAsia" w:ascii="宋体" w:hAnsi="宋体" w:eastAsia="宋体" w:cs="宋体"/>
                <w:color w:val="auto"/>
                <w:sz w:val="24"/>
                <w:szCs w:val="24"/>
                <w:highlight w:val="none"/>
                <w:lang w:val="zh-CN" w:eastAsia="zh-CN"/>
              </w:rPr>
              <w:t>否则不予认可</w:t>
            </w:r>
            <w:r>
              <w:rPr>
                <w:rFonts w:hint="eastAsia" w:ascii="宋体" w:hAnsi="宋体" w:eastAsia="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787" w:type="dxa"/>
            <w:vAlign w:val="center"/>
          </w:tcPr>
          <w:p>
            <w:pPr>
              <w:spacing w:line="288"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8</w:t>
            </w:r>
          </w:p>
        </w:tc>
        <w:tc>
          <w:tcPr>
            <w:tcW w:w="1556" w:type="dxa"/>
            <w:vMerge w:val="continue"/>
            <w:vAlign w:val="center"/>
          </w:tcPr>
          <w:p>
            <w:pPr>
              <w:spacing w:line="288" w:lineRule="auto"/>
              <w:jc w:val="center"/>
              <w:rPr>
                <w:rFonts w:ascii="宋体" w:hAnsi="宋体" w:cs="宋体"/>
                <w:snapToGrid w:val="0"/>
                <w:color w:val="auto"/>
                <w:sz w:val="24"/>
                <w:szCs w:val="24"/>
                <w:highlight w:val="none"/>
              </w:rPr>
            </w:pPr>
          </w:p>
        </w:tc>
        <w:tc>
          <w:tcPr>
            <w:tcW w:w="1578" w:type="dxa"/>
            <w:vAlign w:val="center"/>
          </w:tcPr>
          <w:p>
            <w:pPr>
              <w:pStyle w:val="25"/>
              <w:tabs>
                <w:tab w:val="clear" w:pos="574"/>
              </w:tabs>
              <w:spacing w:line="288" w:lineRule="auto"/>
              <w:ind w:firstLine="0" w:firstLineChars="0"/>
              <w:jc w:val="center"/>
              <w:rPr>
                <w:rFonts w:hAnsi="宋体" w:cs="宋体"/>
                <w:color w:val="auto"/>
                <w:sz w:val="24"/>
                <w:szCs w:val="24"/>
                <w:highlight w:val="none"/>
              </w:rPr>
            </w:pPr>
            <w:r>
              <w:rPr>
                <w:rFonts w:hint="eastAsia" w:hAnsi="宋体" w:cs="宋体"/>
                <w:color w:val="auto"/>
                <w:sz w:val="24"/>
                <w:szCs w:val="24"/>
                <w:highlight w:val="none"/>
                <w:lang w:val="en-US" w:eastAsia="zh-CN"/>
              </w:rPr>
              <w:t>拟派监理</w:t>
            </w:r>
            <w:r>
              <w:rPr>
                <w:rFonts w:hint="eastAsia" w:hAnsi="宋体" w:cs="宋体"/>
                <w:color w:val="auto"/>
                <w:sz w:val="24"/>
                <w:szCs w:val="24"/>
                <w:highlight w:val="none"/>
              </w:rPr>
              <w:t>负责</w:t>
            </w:r>
            <w:r>
              <w:rPr>
                <w:rFonts w:hint="eastAsia" w:hAnsi="宋体" w:cs="宋体"/>
                <w:color w:val="auto"/>
                <w:sz w:val="24"/>
                <w:szCs w:val="24"/>
                <w:highlight w:val="none"/>
                <w:lang w:val="en-US" w:eastAsia="zh-CN"/>
              </w:rPr>
              <w:t>人</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总监）</w:t>
            </w:r>
            <w:r>
              <w:rPr>
                <w:rFonts w:hint="eastAsia" w:hAnsi="宋体" w:cs="宋体"/>
                <w:color w:val="auto"/>
                <w:sz w:val="24"/>
                <w:szCs w:val="24"/>
                <w:highlight w:val="none"/>
              </w:rPr>
              <w:t>业绩（2分）</w:t>
            </w:r>
          </w:p>
        </w:tc>
        <w:tc>
          <w:tcPr>
            <w:tcW w:w="6105" w:type="dxa"/>
            <w:vAlign w:val="center"/>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自2018年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月1日以来</w:t>
            </w:r>
            <w:r>
              <w:rPr>
                <w:rFonts w:hint="eastAsia" w:ascii="宋体" w:hAnsi="宋体" w:cs="宋体"/>
                <w:color w:val="auto"/>
                <w:sz w:val="24"/>
                <w:szCs w:val="24"/>
                <w:highlight w:val="none"/>
                <w:lang w:val="en-US" w:eastAsia="zh-CN"/>
              </w:rPr>
              <w:t>（</w:t>
            </w:r>
            <w:r>
              <w:rPr>
                <w:rFonts w:hint="eastAsia" w:hAnsi="宋体" w:cs="宋体"/>
                <w:color w:val="auto"/>
                <w:sz w:val="24"/>
                <w:szCs w:val="24"/>
                <w:highlight w:val="none"/>
                <w:lang w:val="en-US" w:eastAsia="zh-CN"/>
              </w:rPr>
              <w:t>以施工交（竣工）验收证书时间为准</w:t>
            </w:r>
            <w:r>
              <w:rPr>
                <w:rFonts w:hint="eastAsia" w:hAnsi="宋体" w:cs="宋体"/>
                <w:color w:val="auto"/>
                <w:sz w:val="24"/>
                <w:szCs w:val="24"/>
                <w:highlight w:val="none"/>
              </w:rPr>
              <w:t>）</w:t>
            </w:r>
            <w:r>
              <w:rPr>
                <w:rFonts w:hint="eastAsia" w:ascii="宋体" w:hAnsi="宋体" w:eastAsia="宋体" w:cs="宋体"/>
                <w:color w:val="auto"/>
                <w:sz w:val="24"/>
                <w:szCs w:val="24"/>
                <w:highlight w:val="none"/>
                <w:lang w:val="en-US" w:eastAsia="zh-CN"/>
              </w:rPr>
              <w:t>，拟派监理负责人</w:t>
            </w:r>
            <w:r>
              <w:rPr>
                <w:rFonts w:hint="eastAsia" w:ascii="宋体" w:hAnsi="宋体" w:cs="宋体"/>
                <w:color w:val="auto"/>
                <w:sz w:val="24"/>
                <w:szCs w:val="24"/>
                <w:highlight w:val="none"/>
                <w:lang w:val="en-US" w:eastAsia="zh-CN"/>
              </w:rPr>
              <w:t>（总监）</w:t>
            </w:r>
            <w:r>
              <w:rPr>
                <w:rFonts w:hint="eastAsia" w:ascii="宋体" w:hAnsi="宋体" w:eastAsia="宋体" w:cs="宋体"/>
                <w:color w:val="auto"/>
                <w:sz w:val="24"/>
                <w:szCs w:val="24"/>
                <w:highlight w:val="none"/>
                <w:lang w:val="en-US" w:eastAsia="zh-CN"/>
              </w:rPr>
              <w:t>担任</w:t>
            </w:r>
            <w:r>
              <w:rPr>
                <w:rFonts w:hint="eastAsia" w:ascii="宋体" w:hAnsi="宋体" w:eastAsia="宋体" w:cs="宋体"/>
                <w:color w:val="auto"/>
                <w:sz w:val="24"/>
                <w:szCs w:val="24"/>
                <w:highlight w:val="none"/>
              </w:rPr>
              <w:t>过单个项目道路里程长度不少于</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km的</w:t>
            </w:r>
            <w:r>
              <w:rPr>
                <w:rFonts w:hint="eastAsia" w:hAnsi="宋体" w:cs="宋体"/>
                <w:color w:val="auto"/>
                <w:sz w:val="24"/>
                <w:szCs w:val="24"/>
                <w:highlight w:val="none"/>
                <w:lang w:val="en-US" w:eastAsia="zh-CN"/>
              </w:rPr>
              <w:t>新（改、扩）建</w:t>
            </w:r>
            <w:r>
              <w:rPr>
                <w:rFonts w:hint="eastAsia" w:ascii="宋体" w:hAnsi="宋体" w:eastAsia="宋体" w:cs="宋体"/>
                <w:color w:val="auto"/>
                <w:sz w:val="24"/>
                <w:szCs w:val="24"/>
                <w:highlight w:val="none"/>
              </w:rPr>
              <w:t>城市快速路或城市主干路或一级公路兼具城市道路功能（且该业绩中均须包含长度不少于</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km的高架桥）的</w:t>
            </w:r>
            <w:r>
              <w:rPr>
                <w:rFonts w:hint="eastAsia" w:ascii="宋体" w:hAnsi="宋体" w:eastAsia="宋体" w:cs="宋体"/>
                <w:color w:val="auto"/>
                <w:sz w:val="24"/>
                <w:szCs w:val="24"/>
                <w:highlight w:val="none"/>
                <w:lang w:val="en-US" w:eastAsia="zh-CN"/>
              </w:rPr>
              <w:t>施工监理项目的总监业绩的每个得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分，最多得2分；</w:t>
            </w:r>
          </w:p>
          <w:p>
            <w:pPr>
              <w:pStyle w:val="1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需提供的</w:t>
            </w:r>
            <w:r>
              <w:rPr>
                <w:rFonts w:hint="eastAsia" w:ascii="宋体" w:hAnsi="宋体" w:eastAsia="宋体" w:cs="宋体"/>
                <w:color w:val="auto"/>
                <w:sz w:val="24"/>
                <w:szCs w:val="24"/>
                <w:highlight w:val="none"/>
              </w:rPr>
              <w:t>有效证明材料</w:t>
            </w:r>
            <w:r>
              <w:rPr>
                <w:rFonts w:hint="eastAsia" w:ascii="宋体" w:hAnsi="宋体" w:eastAsia="宋体" w:cs="宋体"/>
                <w:color w:val="auto"/>
                <w:sz w:val="24"/>
                <w:szCs w:val="24"/>
                <w:highlight w:val="none"/>
                <w:lang w:val="en-US" w:eastAsia="zh-CN"/>
              </w:rPr>
              <w:t>:①监理合同协议书；②</w:t>
            </w:r>
            <w:r>
              <w:rPr>
                <w:rFonts w:hint="eastAsia" w:hAnsi="宋体" w:cs="宋体"/>
                <w:color w:val="auto"/>
                <w:sz w:val="24"/>
                <w:szCs w:val="24"/>
                <w:highlight w:val="none"/>
                <w:lang w:val="en-US" w:eastAsia="zh-CN"/>
              </w:rPr>
              <w:t>施工</w:t>
            </w:r>
            <w:r>
              <w:rPr>
                <w:rFonts w:hint="eastAsia" w:ascii="宋体" w:hAnsi="宋体" w:eastAsia="宋体" w:cs="宋体"/>
                <w:color w:val="auto"/>
                <w:kern w:val="0"/>
                <w:sz w:val="24"/>
                <w:szCs w:val="24"/>
                <w:highlight w:val="none"/>
                <w:lang w:val="en-US" w:eastAsia="zh-CN" w:bidi="ar-SA"/>
              </w:rPr>
              <w:t>交（竣）工验收资料【</w:t>
            </w:r>
            <w:r>
              <w:rPr>
                <w:rFonts w:hint="eastAsia" w:ascii="宋体" w:hAnsi="宋体" w:eastAsia="宋体" w:cs="宋体"/>
                <w:color w:val="auto"/>
                <w:kern w:val="0"/>
                <w:sz w:val="24"/>
                <w:szCs w:val="24"/>
                <w:highlight w:val="none"/>
                <w:lang w:val="zh-CN" w:eastAsia="zh-CN" w:bidi="ar-SA"/>
              </w:rPr>
              <w:t>交（竣）工</w:t>
            </w:r>
            <w:r>
              <w:rPr>
                <w:rFonts w:hint="eastAsia" w:ascii="宋体" w:hAnsi="宋体" w:eastAsia="宋体" w:cs="宋体"/>
                <w:color w:val="auto"/>
                <w:kern w:val="0"/>
                <w:sz w:val="24"/>
                <w:szCs w:val="24"/>
                <w:highlight w:val="none"/>
                <w:lang w:val="en-US" w:eastAsia="zh-CN" w:bidi="ar-SA"/>
              </w:rPr>
              <w:t>验收证书或竣工验收报告或竣工验收备案表】</w:t>
            </w:r>
            <w:r>
              <w:rPr>
                <w:rFonts w:hint="eastAsia" w:ascii="宋体" w:hAnsi="宋体" w:eastAsia="宋体" w:cs="宋体"/>
                <w:color w:val="auto"/>
                <w:sz w:val="24"/>
                <w:szCs w:val="24"/>
                <w:highlight w:val="none"/>
                <w:lang w:val="en-US" w:eastAsia="zh-CN"/>
              </w:rPr>
              <w:t>或主管部门出具的质量监督报告；上述在证明材料的复制件须加盖投标人公章。</w:t>
            </w:r>
            <w:r>
              <w:rPr>
                <w:rFonts w:hint="eastAsia" w:ascii="宋体" w:hAnsi="宋体" w:eastAsia="宋体" w:cs="宋体"/>
                <w:color w:val="auto"/>
                <w:sz w:val="24"/>
                <w:szCs w:val="24"/>
                <w:highlight w:val="none"/>
                <w:lang w:val="en-US"/>
              </w:rPr>
              <w:t>上述资料缺一不可，否则</w:t>
            </w:r>
            <w:r>
              <w:rPr>
                <w:rFonts w:hint="eastAsia" w:ascii="宋体" w:hAnsi="宋体" w:eastAsia="宋体" w:cs="宋体"/>
                <w:color w:val="auto"/>
                <w:sz w:val="24"/>
                <w:szCs w:val="24"/>
                <w:highlight w:val="none"/>
                <w:lang w:val="en-US" w:eastAsia="zh-CN"/>
              </w:rPr>
              <w:t>业绩</w:t>
            </w:r>
            <w:r>
              <w:rPr>
                <w:rFonts w:hint="eastAsia" w:ascii="宋体" w:hAnsi="宋体" w:eastAsia="宋体" w:cs="宋体"/>
                <w:color w:val="auto"/>
                <w:sz w:val="24"/>
                <w:szCs w:val="24"/>
                <w:highlight w:val="none"/>
                <w:lang w:val="en-US"/>
              </w:rPr>
              <w:t>不予认可。</w:t>
            </w:r>
          </w:p>
          <w:p>
            <w:pPr>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如上述材料均未体现项目性质、业绩规模、主要工程内容的，还需提供立项批复文件或业主出具的并经相关行业主管部门确认的证明材料复制件，并加盖投标人公章，否则不予认可）；</w:t>
            </w:r>
          </w:p>
        </w:tc>
      </w:tr>
    </w:tbl>
    <w:p>
      <w:pPr>
        <w:tabs>
          <w:tab w:val="left" w:pos="510"/>
        </w:tabs>
        <w:adjustRightInd/>
        <w:spacing w:line="420" w:lineRule="exact"/>
        <w:ind w:firstLine="400" w:firstLineChars="200"/>
        <w:textAlignment w:val="auto"/>
        <w:rPr>
          <w:rFonts w:hint="eastAsia"/>
          <w:color w:val="auto"/>
          <w:highlight w:val="none"/>
        </w:rPr>
      </w:pPr>
      <w:r>
        <w:rPr>
          <w:rFonts w:hint="eastAsia" w:ascii="Times New Roman" w:hAnsi="Times New Roman" w:eastAsia="宋体" w:cs="Times New Roman"/>
          <w:color w:val="auto"/>
          <w:highlight w:val="none"/>
        </w:rPr>
        <w:t>注：</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上</w:t>
      </w:r>
      <w:r>
        <w:rPr>
          <w:rFonts w:hint="eastAsia" w:ascii="Times New Roman" w:hAnsi="Times New Roman" w:eastAsia="宋体" w:cs="Times New Roman"/>
          <w:color w:val="auto"/>
          <w:highlight w:val="none"/>
          <w:lang w:val="zh-CN"/>
        </w:rPr>
        <w:t>述业绩的长度指主线长度，不包含匝道</w:t>
      </w:r>
      <w:r>
        <w:rPr>
          <w:rFonts w:hint="eastAsia" w:ascii="Times New Roman" w:hAnsi="Times New Roman" w:eastAsia="宋体" w:cs="Times New Roman"/>
          <w:color w:val="auto"/>
          <w:highlight w:val="none"/>
        </w:rPr>
        <w:t>长度；类似工程业绩、项目负责人</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监理负责人（总监）</w:t>
      </w:r>
      <w:r>
        <w:rPr>
          <w:rFonts w:hint="eastAsia" w:ascii="Times New Roman" w:hAnsi="Times New Roman" w:eastAsia="宋体" w:cs="Times New Roman"/>
          <w:color w:val="auto"/>
          <w:highlight w:val="none"/>
        </w:rPr>
        <w:t>业绩及获奖情况均指在中华人民共和国境内的工程项目。</w:t>
      </w:r>
    </w:p>
    <w:p>
      <w:pPr>
        <w:tabs>
          <w:tab w:val="left" w:pos="510"/>
        </w:tabs>
        <w:adjustRightInd/>
        <w:spacing w:line="420" w:lineRule="exact"/>
        <w:ind w:firstLine="800" w:firstLineChars="40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rPr>
        <w:t>）以上人员不得兼任，不得重复加分。</w:t>
      </w:r>
    </w:p>
    <w:p>
      <w:pPr>
        <w:adjustRightInd/>
        <w:spacing w:line="420" w:lineRule="exact"/>
        <w:textAlignment w:val="auto"/>
        <w:outlineLvl w:val="2"/>
        <w:rPr>
          <w:rFonts w:ascii="宋体"/>
          <w:b/>
          <w:color w:val="auto"/>
          <w:kern w:val="2"/>
          <w:sz w:val="28"/>
          <w:szCs w:val="28"/>
          <w:highlight w:val="none"/>
        </w:rPr>
      </w:pPr>
      <w:bookmarkStart w:id="871" w:name="_Toc16878"/>
      <w:bookmarkStart w:id="872" w:name="_Toc17736"/>
      <w:bookmarkStart w:id="873" w:name="_Toc18969"/>
      <w:bookmarkStart w:id="874" w:name="_Toc21301"/>
      <w:bookmarkStart w:id="875" w:name="_Toc11018"/>
      <w:bookmarkStart w:id="876" w:name="_Toc2725"/>
      <w:bookmarkStart w:id="877" w:name="_Toc22471"/>
      <w:bookmarkStart w:id="878" w:name="_Toc23670"/>
      <w:bookmarkStart w:id="879" w:name="_Toc4074"/>
      <w:bookmarkStart w:id="880" w:name="_Toc23986"/>
      <w:bookmarkStart w:id="881" w:name="_Toc14439"/>
      <w:bookmarkStart w:id="882" w:name="_Toc32439"/>
      <w:bookmarkStart w:id="883" w:name="_Toc28092"/>
      <w:bookmarkStart w:id="884" w:name="_Toc19980"/>
      <w:bookmarkStart w:id="885" w:name="_Toc19884"/>
      <w:bookmarkStart w:id="886" w:name="_Toc20403"/>
      <w:bookmarkStart w:id="887" w:name="_Toc4065"/>
      <w:bookmarkStart w:id="888" w:name="_Toc25472"/>
      <w:bookmarkStart w:id="889" w:name="_Toc7646"/>
      <w:bookmarkStart w:id="890" w:name="_Toc15130"/>
      <w:bookmarkStart w:id="891" w:name="_Toc16273"/>
      <w:bookmarkStart w:id="892" w:name="_Toc28259"/>
      <w:bookmarkStart w:id="893" w:name="_Toc7598"/>
      <w:bookmarkStart w:id="894" w:name="_Toc13764"/>
      <w:bookmarkStart w:id="895" w:name="_Toc24929"/>
      <w:bookmarkStart w:id="896" w:name="_Toc24704"/>
      <w:bookmarkStart w:id="897" w:name="_Toc2064"/>
      <w:r>
        <w:rPr>
          <w:rFonts w:hint="eastAsia" w:ascii="宋体"/>
          <w:b/>
          <w:color w:val="auto"/>
          <w:kern w:val="2"/>
          <w:sz w:val="28"/>
          <w:szCs w:val="28"/>
          <w:highlight w:val="none"/>
        </w:rPr>
        <w:t>（三）商务文件评分标准（分值30分）</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p>
    <w:p>
      <w:pPr>
        <w:tabs>
          <w:tab w:val="left" w:pos="510"/>
        </w:tabs>
        <w:adjustRightInd/>
        <w:spacing w:line="42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1.投标人按下浮率进行报价，下浮率报价范围</w:t>
      </w:r>
      <w:r>
        <w:rPr>
          <w:rFonts w:ascii="宋体"/>
          <w:color w:val="auto"/>
          <w:kern w:val="2"/>
          <w:sz w:val="24"/>
          <w:szCs w:val="24"/>
          <w:highlight w:val="none"/>
        </w:rPr>
        <w:t>[</w:t>
      </w:r>
      <w:r>
        <w:rPr>
          <w:rFonts w:hint="eastAsia" w:ascii="宋体"/>
          <w:color w:val="auto"/>
          <w:kern w:val="2"/>
          <w:sz w:val="24"/>
          <w:szCs w:val="24"/>
          <w:highlight w:val="none"/>
        </w:rPr>
        <w:t>5</w:t>
      </w:r>
      <w:r>
        <w:rPr>
          <w:rFonts w:ascii="宋体"/>
          <w:color w:val="auto"/>
          <w:kern w:val="2"/>
          <w:sz w:val="24"/>
          <w:szCs w:val="24"/>
          <w:highlight w:val="none"/>
        </w:rPr>
        <w:t>%-</w:t>
      </w:r>
      <w:r>
        <w:rPr>
          <w:rFonts w:hint="eastAsia" w:ascii="宋体"/>
          <w:color w:val="auto"/>
          <w:kern w:val="2"/>
          <w:sz w:val="24"/>
          <w:szCs w:val="24"/>
          <w:highlight w:val="none"/>
        </w:rPr>
        <w:t>15</w:t>
      </w:r>
      <w:r>
        <w:rPr>
          <w:rFonts w:ascii="宋体"/>
          <w:color w:val="auto"/>
          <w:kern w:val="2"/>
          <w:sz w:val="24"/>
          <w:szCs w:val="24"/>
          <w:highlight w:val="none"/>
        </w:rPr>
        <w:t>%]</w:t>
      </w:r>
      <w:r>
        <w:rPr>
          <w:rFonts w:hint="eastAsia" w:ascii="宋体"/>
          <w:color w:val="auto"/>
          <w:kern w:val="2"/>
          <w:sz w:val="24"/>
          <w:szCs w:val="24"/>
          <w:highlight w:val="none"/>
        </w:rPr>
        <w:t>，下浮率数值保留到小数点后两位（超过这个范围作无效标处理）。</w:t>
      </w:r>
    </w:p>
    <w:p>
      <w:pPr>
        <w:tabs>
          <w:tab w:val="left" w:pos="510"/>
        </w:tabs>
        <w:adjustRightInd/>
        <w:spacing w:line="420" w:lineRule="exact"/>
        <w:ind w:left="30" w:leftChars="15" w:firstLine="480" w:firstLineChars="200"/>
        <w:textAlignment w:val="auto"/>
        <w:rPr>
          <w:rFonts w:hint="eastAsia" w:ascii="宋体"/>
          <w:color w:val="auto"/>
          <w:kern w:val="2"/>
          <w:sz w:val="24"/>
          <w:szCs w:val="24"/>
          <w:highlight w:val="none"/>
        </w:rPr>
      </w:pPr>
      <w:r>
        <w:rPr>
          <w:rFonts w:hint="eastAsia" w:ascii="宋体"/>
          <w:color w:val="auto"/>
          <w:kern w:val="2"/>
          <w:sz w:val="24"/>
          <w:szCs w:val="24"/>
          <w:highlight w:val="none"/>
        </w:rPr>
        <w:t>2.下浮率抽取方式：有关监督部门监督下</w:t>
      </w:r>
      <w:r>
        <w:rPr>
          <w:rFonts w:hint="eastAsia" w:ascii="宋体" w:hAnsi="Times New Roman" w:eastAsia="宋体" w:cs="Times New Roman"/>
          <w:color w:val="auto"/>
          <w:kern w:val="2"/>
          <w:sz w:val="24"/>
          <w:szCs w:val="24"/>
          <w:highlight w:val="none"/>
        </w:rPr>
        <w:t>由招标人1名代表</w:t>
      </w:r>
      <w:r>
        <w:rPr>
          <w:rFonts w:hint="eastAsia" w:ascii="宋体" w:hAnsi="Times New Roman" w:eastAsia="宋体" w:cs="Times New Roman"/>
          <w:color w:val="auto"/>
          <w:kern w:val="2"/>
          <w:sz w:val="24"/>
          <w:szCs w:val="24"/>
          <w:highlight w:val="none"/>
          <w:lang w:eastAsia="zh-CN"/>
        </w:rPr>
        <w:t>在规定</w:t>
      </w:r>
      <w:r>
        <w:rPr>
          <w:rFonts w:hint="eastAsia" w:ascii="宋体" w:hAnsi="Times New Roman" w:eastAsia="宋体" w:cs="Times New Roman"/>
          <w:color w:val="auto"/>
          <w:kern w:val="2"/>
          <w:sz w:val="24"/>
          <w:szCs w:val="24"/>
          <w:highlight w:val="none"/>
          <w:lang w:val="en-US" w:eastAsia="zh-CN"/>
        </w:rPr>
        <w:t>的下浮率有效范围内[5% ~ 15%]（包含本数）随机抽取两次下浮率</w:t>
      </w:r>
      <w:r>
        <w:rPr>
          <w:rFonts w:hint="eastAsia" w:ascii="宋体" w:hAnsi="Times New Roman" w:eastAsia="宋体" w:cs="Times New Roman"/>
          <w:color w:val="auto"/>
          <w:kern w:val="2"/>
          <w:sz w:val="24"/>
          <w:szCs w:val="24"/>
          <w:highlight w:val="none"/>
        </w:rPr>
        <w:t>，</w:t>
      </w:r>
      <w:r>
        <w:rPr>
          <w:rFonts w:hint="eastAsia" w:ascii="宋体" w:hAnsi="Times New Roman" w:eastAsia="宋体" w:cs="Times New Roman"/>
          <w:color w:val="auto"/>
          <w:kern w:val="2"/>
          <w:sz w:val="24"/>
          <w:szCs w:val="24"/>
          <w:highlight w:val="none"/>
          <w:lang w:val="en-US" w:eastAsia="zh-CN"/>
        </w:rPr>
        <w:t>其算术平均值作为基准评标下浮率</w:t>
      </w:r>
      <w:r>
        <w:rPr>
          <w:rFonts w:hint="eastAsia" w:ascii="宋体"/>
          <w:color w:val="auto"/>
          <w:kern w:val="2"/>
          <w:sz w:val="24"/>
          <w:szCs w:val="24"/>
          <w:highlight w:val="none"/>
        </w:rPr>
        <w:t>（精确到小数点后两位，第三位四舍五入）。当投标人报价下浮率等于基准下浮率时得满分；投标人报价下浮率与基准下浮率相比每少下浮</w:t>
      </w:r>
      <w:r>
        <w:rPr>
          <w:rFonts w:ascii="宋体"/>
          <w:color w:val="auto"/>
          <w:kern w:val="2"/>
          <w:sz w:val="24"/>
          <w:szCs w:val="24"/>
          <w:highlight w:val="none"/>
        </w:rPr>
        <w:t>1</w:t>
      </w:r>
      <w:r>
        <w:rPr>
          <w:rFonts w:hint="eastAsia" w:ascii="宋体"/>
          <w:color w:val="auto"/>
          <w:kern w:val="2"/>
          <w:sz w:val="24"/>
          <w:szCs w:val="24"/>
          <w:highlight w:val="none"/>
        </w:rPr>
        <w:t>个百分点扣</w:t>
      </w:r>
      <w:r>
        <w:rPr>
          <w:rFonts w:hint="eastAsia" w:ascii="宋体"/>
          <w:color w:val="auto"/>
          <w:kern w:val="2"/>
          <w:sz w:val="24"/>
          <w:szCs w:val="24"/>
          <w:highlight w:val="none"/>
          <w:lang w:val="en-US" w:eastAsia="zh-CN"/>
        </w:rPr>
        <w:t>4</w:t>
      </w:r>
      <w:r>
        <w:rPr>
          <w:rFonts w:hint="eastAsia" w:ascii="宋体"/>
          <w:color w:val="auto"/>
          <w:kern w:val="2"/>
          <w:sz w:val="24"/>
          <w:szCs w:val="24"/>
          <w:highlight w:val="none"/>
        </w:rPr>
        <w:t>分，每多下浮</w:t>
      </w:r>
      <w:r>
        <w:rPr>
          <w:rFonts w:ascii="宋体"/>
          <w:color w:val="auto"/>
          <w:kern w:val="2"/>
          <w:sz w:val="24"/>
          <w:szCs w:val="24"/>
          <w:highlight w:val="none"/>
        </w:rPr>
        <w:t>1</w:t>
      </w:r>
      <w:r>
        <w:rPr>
          <w:rFonts w:hint="eastAsia" w:ascii="宋体"/>
          <w:color w:val="auto"/>
          <w:kern w:val="2"/>
          <w:sz w:val="24"/>
          <w:szCs w:val="24"/>
          <w:highlight w:val="none"/>
        </w:rPr>
        <w:t>个百分点扣</w:t>
      </w:r>
      <w:r>
        <w:rPr>
          <w:rFonts w:hint="eastAsia" w:ascii="宋体"/>
          <w:color w:val="auto"/>
          <w:kern w:val="2"/>
          <w:sz w:val="24"/>
          <w:szCs w:val="24"/>
          <w:highlight w:val="none"/>
          <w:lang w:val="en-US" w:eastAsia="zh-CN"/>
        </w:rPr>
        <w:t>2</w:t>
      </w:r>
      <w:r>
        <w:rPr>
          <w:rFonts w:hint="eastAsia" w:ascii="宋体"/>
          <w:color w:val="auto"/>
          <w:kern w:val="2"/>
          <w:sz w:val="24"/>
          <w:szCs w:val="24"/>
          <w:highlight w:val="none"/>
        </w:rPr>
        <w:t>分。中间用插入法计算，分值计算结果保留两位小数。</w:t>
      </w:r>
    </w:p>
    <w:p>
      <w:pPr>
        <w:adjustRightInd/>
        <w:spacing w:line="420" w:lineRule="exact"/>
        <w:textAlignment w:val="auto"/>
        <w:outlineLvl w:val="2"/>
        <w:rPr>
          <w:rFonts w:ascii="宋体"/>
          <w:b/>
          <w:color w:val="auto"/>
          <w:kern w:val="2"/>
          <w:sz w:val="28"/>
          <w:szCs w:val="28"/>
          <w:highlight w:val="none"/>
        </w:rPr>
      </w:pPr>
      <w:bookmarkStart w:id="898" w:name="_Toc10341"/>
      <w:bookmarkStart w:id="899" w:name="_Toc5773"/>
      <w:bookmarkStart w:id="900" w:name="_Toc24075"/>
      <w:bookmarkStart w:id="901" w:name="_Toc13257"/>
      <w:bookmarkStart w:id="902" w:name="_Toc25376"/>
      <w:bookmarkStart w:id="903" w:name="_Toc25908"/>
      <w:bookmarkStart w:id="904" w:name="_Toc29404"/>
      <w:bookmarkStart w:id="905" w:name="_Toc70"/>
      <w:bookmarkStart w:id="906" w:name="_Toc26768"/>
      <w:bookmarkStart w:id="907" w:name="_Toc2716"/>
      <w:bookmarkStart w:id="908" w:name="_Toc23529"/>
      <w:bookmarkStart w:id="909" w:name="_Toc7836"/>
      <w:bookmarkStart w:id="910" w:name="_Toc3820"/>
      <w:bookmarkStart w:id="911" w:name="_Toc19119"/>
      <w:bookmarkStart w:id="912" w:name="_Toc18728"/>
      <w:bookmarkStart w:id="913" w:name="_Toc19769"/>
      <w:bookmarkStart w:id="914" w:name="_Toc22759"/>
      <w:bookmarkStart w:id="915" w:name="_Toc10671"/>
      <w:bookmarkStart w:id="916" w:name="_Toc25119"/>
      <w:bookmarkStart w:id="917" w:name="_Toc25833"/>
      <w:bookmarkStart w:id="918" w:name="_Toc12305"/>
      <w:bookmarkStart w:id="919" w:name="_Toc16457"/>
      <w:bookmarkStart w:id="920" w:name="_Toc16131"/>
      <w:bookmarkStart w:id="921" w:name="_Toc3527"/>
      <w:bookmarkStart w:id="922" w:name="_Toc19013"/>
      <w:bookmarkStart w:id="923" w:name="_Toc3511"/>
      <w:bookmarkStart w:id="924" w:name="_Toc6539"/>
      <w:r>
        <w:rPr>
          <w:rFonts w:hint="eastAsia" w:ascii="宋体"/>
          <w:b/>
          <w:color w:val="auto"/>
          <w:kern w:val="2"/>
          <w:sz w:val="28"/>
          <w:szCs w:val="28"/>
          <w:highlight w:val="none"/>
        </w:rPr>
        <w:t>（四）计算投标人最终得分（满分为8</w:t>
      </w:r>
      <w:r>
        <w:rPr>
          <w:rFonts w:hint="eastAsia" w:ascii="宋体"/>
          <w:b/>
          <w:color w:val="auto"/>
          <w:kern w:val="2"/>
          <w:sz w:val="28"/>
          <w:szCs w:val="28"/>
          <w:highlight w:val="none"/>
          <w:lang w:val="en-US" w:eastAsia="zh-CN"/>
        </w:rPr>
        <w:t>1</w:t>
      </w:r>
      <w:r>
        <w:rPr>
          <w:rFonts w:hint="eastAsia" w:ascii="宋体"/>
          <w:b/>
          <w:color w:val="auto"/>
          <w:kern w:val="2"/>
          <w:sz w:val="28"/>
          <w:szCs w:val="28"/>
          <w:highlight w:val="none"/>
        </w:rPr>
        <w:t>分）</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pPr>
        <w:tabs>
          <w:tab w:val="left" w:pos="510"/>
        </w:tabs>
        <w:adjustRightInd/>
        <w:spacing w:line="420" w:lineRule="exact"/>
        <w:ind w:left="30" w:leftChars="15" w:firstLine="480" w:firstLineChars="200"/>
        <w:textAlignment w:val="auto"/>
        <w:rPr>
          <w:rFonts w:hint="eastAsia" w:ascii="宋体" w:hAnsi="Times New Roman" w:eastAsia="宋体" w:cs="Times New Roman"/>
          <w:color w:val="auto"/>
          <w:kern w:val="2"/>
          <w:sz w:val="24"/>
          <w:szCs w:val="24"/>
          <w:highlight w:val="none"/>
        </w:rPr>
      </w:pPr>
      <w:r>
        <w:rPr>
          <w:rFonts w:hint="eastAsia" w:ascii="宋体" w:hAnsi="Times New Roman" w:eastAsia="宋体" w:cs="Times New Roman"/>
          <w:color w:val="auto"/>
          <w:kern w:val="2"/>
          <w:sz w:val="24"/>
          <w:szCs w:val="24"/>
          <w:highlight w:val="none"/>
        </w:rPr>
        <w:t>投标人最终得分=技术标得分+商务标得分（计算结果保留到小数点后两位，小数点后第三位四舍五入）。</w:t>
      </w:r>
    </w:p>
    <w:p>
      <w:pPr>
        <w:rPr>
          <w:rFonts w:hint="eastAsia"/>
          <w:color w:val="auto"/>
          <w:highlight w:val="none"/>
        </w:rPr>
      </w:pPr>
      <w:r>
        <w:rPr>
          <w:rFonts w:hint="eastAsia" w:ascii="宋体" w:hAnsi="Times New Roman" w:eastAsia="宋体" w:cs="Times New Roman"/>
          <w:color w:val="auto"/>
          <w:kern w:val="2"/>
          <w:sz w:val="24"/>
          <w:szCs w:val="24"/>
          <w:highlight w:val="none"/>
        </w:rPr>
        <w:br w:type="page"/>
      </w:r>
    </w:p>
    <w:p>
      <w:pPr>
        <w:pStyle w:val="32"/>
        <w:ind w:firstLine="240"/>
        <w:rPr>
          <w:rFonts w:ascii="宋体" w:hAnsi="宋体"/>
          <w:color w:val="auto"/>
          <w:sz w:val="24"/>
          <w:szCs w:val="24"/>
          <w:highlight w:val="none"/>
        </w:rPr>
      </w:pPr>
    </w:p>
    <w:p>
      <w:pPr>
        <w:pStyle w:val="2"/>
        <w:numPr>
          <w:ilvl w:val="0"/>
          <w:numId w:val="5"/>
        </w:numPr>
        <w:spacing w:before="0" w:after="0" w:line="360" w:lineRule="auto"/>
        <w:jc w:val="center"/>
        <w:rPr>
          <w:color w:val="auto"/>
          <w:highlight w:val="none"/>
        </w:rPr>
      </w:pPr>
      <w:bookmarkStart w:id="925" w:name="_Toc3418"/>
      <w:bookmarkStart w:id="926" w:name="_Toc28267"/>
      <w:bookmarkStart w:id="927" w:name="_Toc1636"/>
      <w:bookmarkStart w:id="928" w:name="_Toc25557"/>
      <w:bookmarkStart w:id="929" w:name="_Toc22089"/>
      <w:bookmarkStart w:id="930" w:name="_Toc1929"/>
      <w:bookmarkStart w:id="931" w:name="_Toc18131"/>
      <w:bookmarkStart w:id="932" w:name="_Toc28691"/>
      <w:bookmarkStart w:id="933" w:name="_Toc204"/>
      <w:bookmarkStart w:id="934" w:name="_Toc19292"/>
      <w:bookmarkStart w:id="935" w:name="_Toc25400"/>
      <w:bookmarkStart w:id="936" w:name="_Toc1150"/>
      <w:bookmarkStart w:id="937" w:name="_Toc3269"/>
      <w:bookmarkStart w:id="938" w:name="_Toc15705"/>
      <w:bookmarkStart w:id="939" w:name="_Toc9460"/>
      <w:bookmarkStart w:id="940" w:name="_Toc27874"/>
      <w:bookmarkStart w:id="941" w:name="_Toc20118"/>
      <w:bookmarkStart w:id="942" w:name="_Toc18219"/>
      <w:bookmarkStart w:id="943" w:name="_Toc8926"/>
      <w:bookmarkStart w:id="944" w:name="_Toc8354"/>
      <w:bookmarkStart w:id="945" w:name="_Toc30258"/>
      <w:bookmarkStart w:id="946" w:name="_Toc2578"/>
      <w:bookmarkStart w:id="947" w:name="_Toc14434"/>
      <w:bookmarkStart w:id="948" w:name="_Toc15506"/>
      <w:bookmarkStart w:id="949" w:name="_Toc9654"/>
      <w:bookmarkStart w:id="950" w:name="_Toc29247"/>
      <w:bookmarkStart w:id="951" w:name="_Toc28201"/>
      <w:r>
        <w:rPr>
          <w:rFonts w:hint="eastAsia"/>
          <w:color w:val="auto"/>
          <w:highlight w:val="none"/>
        </w:rPr>
        <w:t>服务技术要求</w:t>
      </w:r>
      <w:bookmarkEnd w:id="839"/>
      <w:bookmarkEnd w:id="840"/>
      <w:r>
        <w:rPr>
          <w:rFonts w:hint="eastAsia"/>
          <w:color w:val="auto"/>
          <w:highlight w:val="none"/>
        </w:rPr>
        <w:t>及标准</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bookmarkEnd w:id="841"/>
    <w:p>
      <w:pPr>
        <w:pStyle w:val="7"/>
        <w:numPr>
          <w:ilvl w:val="0"/>
          <w:numId w:val="6"/>
        </w:numPr>
        <w:spacing w:line="420" w:lineRule="exact"/>
        <w:ind w:left="0" w:firstLine="241" w:firstLineChars="100"/>
        <w:jc w:val="left"/>
        <w:rPr>
          <w:rFonts w:hint="eastAsia" w:ascii="宋体" w:hAnsi="宋体" w:eastAsia="宋体" w:cs="宋体"/>
          <w:color w:val="auto"/>
          <w:sz w:val="24"/>
          <w:szCs w:val="24"/>
          <w:highlight w:val="none"/>
          <w:lang w:val="zh-CN" w:eastAsia="zh-CN"/>
        </w:rPr>
      </w:pPr>
      <w:bookmarkStart w:id="952" w:name="_Toc2221"/>
      <w:r>
        <w:rPr>
          <w:rFonts w:hint="eastAsia" w:ascii="宋体" w:hAnsi="宋体" w:eastAsia="宋体" w:cs="宋体"/>
          <w:color w:val="auto"/>
          <w:highlight w:val="none"/>
          <w:lang w:val="en-US" w:eastAsia="zh-CN"/>
        </w:rPr>
        <w:t>项目概况</w:t>
      </w:r>
      <w:bookmarkEnd w:id="952"/>
    </w:p>
    <w:p>
      <w:pPr>
        <w:rPr>
          <w:rFonts w:hint="eastAsia"/>
          <w:color w:val="auto"/>
          <w:highlight w:val="none"/>
          <w:lang w:val="zh-CN" w:eastAsia="zh-CN"/>
        </w:rPr>
      </w:pPr>
    </w:p>
    <w:p>
      <w:pPr>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二环路智慧快速化改造工程（柯诸高速至S211省道公路连接线）项目总投资约</w:t>
      </w:r>
      <w:r>
        <w:rPr>
          <w:rFonts w:hint="eastAsia" w:ascii="宋体" w:hAnsi="宋体" w:eastAsia="宋体" w:cs="宋体"/>
          <w:color w:val="auto"/>
          <w:sz w:val="24"/>
          <w:szCs w:val="24"/>
          <w:highlight w:val="none"/>
          <w:lang w:val="en-US" w:eastAsia="zh-CN"/>
        </w:rPr>
        <w:t>33亿</w:t>
      </w:r>
      <w:r>
        <w:rPr>
          <w:rFonts w:hint="eastAsia" w:ascii="宋体" w:hAnsi="宋体" w:eastAsia="宋体" w:cs="宋体"/>
          <w:color w:val="auto"/>
          <w:sz w:val="24"/>
          <w:szCs w:val="24"/>
          <w:highlight w:val="none"/>
          <w:lang w:val="zh-CN" w:eastAsia="zh-CN"/>
        </w:rPr>
        <w:t>元，总长度约8km，起点为北二环线育英路口（柯诸高速与二环北路互通项目终点），终点为环城南路艮塔路口（环城南路快速路项目终点）。该项目</w:t>
      </w:r>
      <w:r>
        <w:rPr>
          <w:rFonts w:hint="eastAsia"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zh-CN" w:eastAsia="zh-CN"/>
        </w:rPr>
        <w:t>Ⅰ标段、Ⅱ标段、Ⅲ标段</w:t>
      </w:r>
      <w:r>
        <w:rPr>
          <w:rFonts w:hint="eastAsia" w:ascii="宋体" w:hAnsi="宋体" w:eastAsia="宋体" w:cs="宋体"/>
          <w:color w:val="auto"/>
          <w:sz w:val="24"/>
          <w:szCs w:val="24"/>
          <w:highlight w:val="none"/>
          <w:lang w:val="en-US" w:eastAsia="zh-CN"/>
        </w:rPr>
        <w:t>3个</w:t>
      </w:r>
      <w:r>
        <w:rPr>
          <w:rFonts w:hint="eastAsia" w:ascii="宋体" w:hAnsi="宋体" w:cs="宋体"/>
          <w:color w:val="auto"/>
          <w:sz w:val="24"/>
          <w:szCs w:val="24"/>
          <w:highlight w:val="none"/>
          <w:lang w:val="en-US" w:eastAsia="zh-CN"/>
        </w:rPr>
        <w:t>施工</w:t>
      </w:r>
      <w:r>
        <w:rPr>
          <w:rFonts w:hint="eastAsia" w:ascii="宋体" w:hAnsi="宋体" w:eastAsia="宋体" w:cs="宋体"/>
          <w:color w:val="auto"/>
          <w:sz w:val="24"/>
          <w:szCs w:val="24"/>
          <w:highlight w:val="none"/>
          <w:lang w:val="en-US" w:eastAsia="zh-CN"/>
        </w:rPr>
        <w:t>标段，其中</w:t>
      </w:r>
      <w:r>
        <w:rPr>
          <w:rFonts w:hint="eastAsia" w:ascii="宋体" w:hAnsi="宋体" w:eastAsia="宋体" w:cs="宋体"/>
          <w:color w:val="auto"/>
          <w:sz w:val="24"/>
          <w:szCs w:val="24"/>
          <w:highlight w:val="none"/>
          <w:lang w:val="zh-CN" w:eastAsia="zh-CN"/>
        </w:rPr>
        <w:t>Ⅰ标段北起育英路交叉口东，南至永乐路交叉口北，起始桩K0+143~K3+120，长约2.98km，采用“快速化主线+地面辅道”的建设形式，</w:t>
      </w:r>
      <w:r>
        <w:rPr>
          <w:rFonts w:hint="eastAsia" w:ascii="宋体" w:hAnsi="宋体" w:eastAsia="宋体" w:cs="宋体"/>
          <w:color w:val="auto"/>
          <w:sz w:val="24"/>
          <w:szCs w:val="24"/>
          <w:highlight w:val="none"/>
          <w:lang w:val="en-US" w:eastAsia="zh-CN"/>
        </w:rPr>
        <w:t>工程概算 85069.81万元，建安工程造价66600.36万元；</w:t>
      </w:r>
      <w:r>
        <w:rPr>
          <w:rFonts w:hint="eastAsia" w:ascii="宋体" w:hAnsi="宋体" w:eastAsia="宋体" w:cs="宋体"/>
          <w:color w:val="auto"/>
          <w:sz w:val="24"/>
          <w:szCs w:val="24"/>
          <w:highlight w:val="none"/>
          <w:lang w:val="zh-CN" w:eastAsia="zh-CN"/>
        </w:rPr>
        <w:t>Ⅱ标段北起永乐路交叉口，南至东三路交叉口，起始桩K3+120~K5+554.749，长约2.4km，采用“快速化主线+地面辅道”的建设形式，</w:t>
      </w:r>
      <w:r>
        <w:rPr>
          <w:rFonts w:hint="eastAsia" w:ascii="宋体" w:hAnsi="宋体" w:eastAsia="宋体" w:cs="宋体"/>
          <w:color w:val="auto"/>
          <w:sz w:val="24"/>
          <w:szCs w:val="24"/>
          <w:highlight w:val="none"/>
          <w:lang w:val="en-US" w:eastAsia="zh-CN"/>
        </w:rPr>
        <w:t>工程概算124878.95万元，建安工程造价用 94862.94万元</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III标包含主线道路、地面道路（二环路和环城南路两条道路）和匝道道路，主线起点桩号5+554.749，向南至环城南路后，向西终于东兴</w:t>
      </w:r>
      <w:r>
        <w:rPr>
          <w:rFonts w:hint="eastAsia" w:ascii="宋体" w:hAnsi="宋体" w:cs="宋体"/>
          <w:color w:val="auto"/>
          <w:sz w:val="24"/>
          <w:szCs w:val="24"/>
          <w:highlight w:val="none"/>
          <w:lang w:val="en-US" w:eastAsia="zh-CN"/>
        </w:rPr>
        <w:t>路</w:t>
      </w:r>
      <w:r>
        <w:rPr>
          <w:rFonts w:hint="eastAsia" w:ascii="宋体" w:hAnsi="宋体" w:eastAsia="宋体" w:cs="宋体"/>
          <w:color w:val="auto"/>
          <w:sz w:val="24"/>
          <w:szCs w:val="24"/>
          <w:highlight w:val="none"/>
          <w:lang w:val="en-US" w:eastAsia="zh-CN"/>
        </w:rPr>
        <w:t>西侧，终点桩号8+297.118，道路全长2742m，采用“快速化主线+地面辅道”的建设形式，地面道路东二环路地面道路北起东三</w:t>
      </w:r>
      <w:r>
        <w:rPr>
          <w:rFonts w:hint="eastAsia" w:ascii="宋体" w:hAnsi="宋体" w:cs="宋体"/>
          <w:color w:val="auto"/>
          <w:sz w:val="24"/>
          <w:szCs w:val="24"/>
          <w:highlight w:val="none"/>
          <w:lang w:val="en-US" w:eastAsia="zh-CN"/>
        </w:rPr>
        <w:t>路</w:t>
      </w:r>
      <w:r>
        <w:rPr>
          <w:rFonts w:hint="eastAsia" w:ascii="宋体" w:hAnsi="宋体" w:eastAsia="宋体" w:cs="宋体"/>
          <w:color w:val="auto"/>
          <w:sz w:val="24"/>
          <w:szCs w:val="24"/>
          <w:highlight w:val="none"/>
          <w:lang w:val="en-US" w:eastAsia="zh-CN"/>
        </w:rPr>
        <w:t>北侧，起点桩号DE5+547.914,南至朝五相路，终点桩号DE7+080,长约1532m。环城南路地面道路东起新晖路东侧，起点桩号HND0+000，西至东兴路西侧，终点桩号8+297.118，全长约1960m。工程概算 100359.19万元，建安工程造价74487.86万元。</w:t>
      </w:r>
    </w:p>
    <w:p>
      <w:pPr>
        <w:pStyle w:val="7"/>
        <w:spacing w:line="420" w:lineRule="exact"/>
        <w:ind w:left="0" w:firstLine="241" w:firstLineChars="1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服务范围</w:t>
      </w:r>
    </w:p>
    <w:p>
      <w:pPr>
        <w:pStyle w:val="14"/>
        <w:rPr>
          <w:b/>
          <w:bCs/>
          <w:color w:val="auto"/>
          <w:highlight w:val="none"/>
        </w:rPr>
      </w:pPr>
      <w:r>
        <w:rPr>
          <w:rFonts w:hint="eastAsia"/>
          <w:b/>
          <w:bCs/>
          <w:color w:val="auto"/>
          <w:highlight w:val="none"/>
        </w:rPr>
        <w:t>（一）项目管理</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1.1项目计划统筹及总体管理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1.1.1制订项目管理具体目标，建立项目管理的组织机构，明确各部门及岗位工作职责，分解项目管理的工作内容，制订项目管理工作程序及工作制度，制订各阶段各岗位的人力资源计划。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1.1.2编制项目管理的总体进度计划，根据项目实施情况进行动态调整。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1.1.3协调项目各层面、各相关单位、各项工作关系，协调项目外部关系。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1.2前期工作管理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1.2.1管理工作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协助</w:t>
      </w:r>
      <w:r>
        <w:rPr>
          <w:rFonts w:hint="eastAsia" w:ascii="宋体" w:hAnsi="宋体" w:cs="宋体"/>
          <w:color w:val="auto"/>
          <w:sz w:val="24"/>
          <w:szCs w:val="24"/>
          <w:highlight w:val="none"/>
        </w:rPr>
        <w:t xml:space="preserve">办理各项前期报建手续、完成相关招标工作。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1.2.2技术服务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（1）协助委托人负责现场情况调查；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（2）对项目咨询、勘察、设计等技术文件进行把关，并提出优化建议。</w:t>
      </w:r>
    </w:p>
    <w:p>
      <w:pPr>
        <w:spacing w:line="420" w:lineRule="exact"/>
        <w:ind w:firstLine="241" w:firstLineChars="100"/>
        <w:rPr>
          <w:rFonts w:ascii="宋体" w:hAnsi="宋体" w:cs="宋体"/>
          <w:color w:val="auto"/>
          <w:sz w:val="24"/>
          <w:szCs w:val="24"/>
          <w:highlight w:val="none"/>
        </w:rPr>
      </w:pPr>
      <w:r>
        <w:rPr>
          <w:rFonts w:hint="eastAsia" w:ascii="宋体" w:hAnsi="宋体" w:cs="宋体"/>
          <w:b/>
          <w:bCs/>
          <w:color w:val="auto"/>
          <w:sz w:val="24"/>
          <w:szCs w:val="24"/>
          <w:highlight w:val="none"/>
        </w:rPr>
        <w:t>1.3报批报建管理服务</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1.3.1办理施工图审查、各专业报批、建设工程施工许可证、开工报告和工程实施中的有关手续。</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1.3.2办理质监、安监手续。</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1.3.3办理施工现场临时用水、用电手续，管理场地平整工作。</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1.3.4协调工程施工所需的与政府主管部门及周边环境的关系。</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1.3.5对工程资料实施规范管理包括：1）负责各类相关文件资料的收发、归档。2）负责各类工程建设资料的日常收集、整理、归档工作。3）为委托人建立并整理完善项目建设档案。4）负责工程建设档案资料的归档和移交工作。</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1.3.6上述建设手续代办如纳入工程总承包合同时，则由全过程工程咨询人提供相应建设手续办理的配合及协调管理工作。</w:t>
      </w:r>
    </w:p>
    <w:p>
      <w:pPr>
        <w:spacing w:line="420" w:lineRule="exact"/>
        <w:ind w:firstLine="240" w:firstLineChars="100"/>
        <w:rPr>
          <w:color w:val="auto"/>
          <w:highlight w:val="none"/>
        </w:rPr>
      </w:pPr>
      <w:r>
        <w:rPr>
          <w:rFonts w:hint="eastAsia" w:ascii="宋体" w:hAnsi="宋体" w:cs="宋体"/>
          <w:color w:val="auto"/>
          <w:sz w:val="24"/>
          <w:szCs w:val="24"/>
          <w:highlight w:val="none"/>
        </w:rPr>
        <w:t>1.3.7完成委托人委托的本工程其他管理工作。</w:t>
      </w:r>
    </w:p>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1.4综合协调管理服务</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1.4.1对项目建设实施计划管理，编制包括项目管理规划、项目总控计划、月度工作计划、 专题工作计划等报委托人审核后执行，并针对计划的执行情况进行工作总结，实施风险防范管理和工作经验的及时总结制度。对项目建设期的投资控制、工程造价、建设工期、工程质量、资金使用、安全生产等负全面责任。</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1.4.2做好项目相关利益方协调，包括建设前期地方政府关系协调，建设过程中参建单位的工作协调以及关于质量、安全施工等专项协调工作。主持和参与各种会议（包括建设管理月度联席会议、专题工作会议及各项外部协调、论证会议），进行建设过程中的多方工作协调，做好与工程涉及的相关单位的协调工作，做好或协助委托人做好工程建设所需的各项报批核准及建设所需外部环境协调；注重信息管理并负责建设方档案管理工作；负责会议记录，均需编写（除有明确会议纪要编写的责任方的会议外）会议纪要，并负责其会签、发放工作。</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1.4.3对工程资料实施规范管理包括：1）负责各类相关文件资料的收发、归档。2）负责各类工程建设资料的日常收集、整理、归档工作。3）为委托人建立并整理完善项目建设档案。4）负责工程建设档案资料的归档和移交工作。</w:t>
      </w:r>
    </w:p>
    <w:p>
      <w:pPr>
        <w:spacing w:line="4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 1.5设计管理服务</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若有</w:t>
      </w:r>
      <w:r>
        <w:rPr>
          <w:rFonts w:hint="eastAsia" w:ascii="宋体" w:hAnsi="宋体" w:cs="宋体"/>
          <w:b/>
          <w:bCs/>
          <w:color w:val="auto"/>
          <w:sz w:val="24"/>
          <w:szCs w:val="24"/>
          <w:highlight w:val="none"/>
          <w:lang w:eastAsia="zh-CN"/>
        </w:rPr>
        <w:t>）</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.1组织方案设计评审；督促设计单位完善优化初步设计；技术经济方案比选并进行投资控制；办理方案设计批准手续。</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1.5.2受托提供设计条件及要求、设备订购情况的资料。</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1.5.3受托对地质勘察及设计的工作进度和质量进行定期和不定期的检查，对勘察报告和设计文件进行初步验收，提供前期咨询服务和项目建设合理化建议。</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1.5.4做好施工图内部会审工作，接收施工图及专项设计成果，主持设计交底。</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1.5.5负责施工过程中的设计变更的管理工作。</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1.5.6组织参加设备选型、设计优化等研讨，主动提出各项合理化建议。</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1.5.7主持或参加质量问题处理专题会议。</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1.5.8编写功能要求说明书、功能满足情况分析书、各阶段及各专项设计任务书等，做好各项设计任务界面划分、设计条件提供、设计要求明确等工作，掌控设计进度，做好设计文件研读和初审，对设计图纸“差”、“错”、“漏”、“碰”等问题进行汇总并协商设计进行修改等；负责设计报批审核及外部协调。</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1.6进度管理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1.6.1工程咨询人负责确定进度管理总体目标及节点目标，编制项目进度计划及控制措施，约定各参加建设单位工作行为的施工计划系统。工程咨询人还应分析影响进度的主要因素，对进度计划的实施进行检查和调整。总控制计划应报委托人书面核准后生效。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1.6.2工程咨询人应督促、协助参加本项目建设的各方按照上述总控制计划的要求，编制各自的工作计划，使之相互协调，构成整体计划系统，工程咨询人应检查各类计划的执行情况，督查有关单位采取措施确保进度符合计划要求。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1.7投资管理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1.7.1确定投资控制目标，制订投资管理制度、措施和工作程序，做好决策、招标、施工、结算各阶段的投资控制。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1.7.2负责概预算的审核，配合发改、财政等部门概预算评审工作（如需），以批复的可行性研究报告中建安工程投资为依据，控制设计单位限额设计。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1.7.3管理造价咨询单位，组织概预算全面审查工作，组织专家评审会议，根据项目特点参考同类工程经济指标。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1.7.4概预算经委托人批准后报送发改、财政等部门（如需），与发改、财政等部门进行沟通、协调确保评审结果的合理性。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1.7.5审核并且确认造价咨询单位编制的工程量清单、标底、控制价的准确性，尤其是材料设备的名称、规格、数量等内容，招标上限价应按分项预算严格控制，对超过预算项说明原因，并报委托人批准。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1.7.6审核工程进度款支付，审核工程变更及签证并报相关部门审批和备案，做好用款计划、月报、年报、年度投资计划等统计工作，建立分管项目的合同、支付、变更、预结算等各种台账；负责对项目投资进行动态控制，处理各类有关工程造价的事宜，定期提交投资控制报告；参与甲供材料设备招标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1.7.7定期组织召开造价专题会议，解决造价问题争议，建立投资控制台账，督促完善设计变更等程序。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1.7.8协助工程量清单审核，负责检查督促造价咨询单位、监理单位及时审核工程量清单复核报告、设计变更及现场签证等，督促监理单位及时办理设计变更、现场签证等审批手续。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1.7.9负责工程结算的内审并配合报相关部门审定；负责对项目工程造价进行经济指标分析，负责提交结算内审事项表；负责结算资料收集整理和归档工作；配合财务办理竣工决算；负责审核结算款、保修款，协助办理审批手续。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1.7.10负责协调和造价咨询单位有关结算问题的分歧。负责对监理和造价咨询单位的结算工作的管理。并在造价咨询单位的结算审核报告上签署意见。负责结算报告的审批手续和报送审计部门。负责跟踪审计进度，及时反馈审计意见。负责审计报告征求意见稿的审批手续和审计报告的整理归档。负责在工程项目所有结算完成后书面通知委托人财务处办理项目决算，按委托人财务部门要求准备相关决算资料并配合决算审计。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1.7.11负责监理及造价咨询单位的工程结算管理，送审、跟踪审计进度，反馈审计意见、归档审计报告，配合决算审计。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1.7.12工程投资控制月报制度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1.7.13每月25日前，应向委托人提供当月的投资控制月报。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1.7.14投资控制月报应包括上月工程款支付情况、工程形象进度、工程完成投资额、承包商人员和机械设备投入情况、工程质量情况、检测资料、数据、工程设计变更及投资增加情况，提出问题，查找原因，并提出下月的工作建议。 对于建设单位有特殊要求的情况，应向委托人提供投资控制双周报。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1.7.15投资控制工作总结制度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1.7.16在工程竣工验收后，应向委托人提交该项目的工程投资工作总结，该总结作为工程咨询 工作的一项竣工验收资料，并报送委托人资料室备案。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1.7.17投资控制工作总结报告内容应包括并不限于：工程概况及建设全过程情况、造价咨询工作手段、造价管理情况，设计变更的内容、原因、造价审计中存在的问题及解决办法，对项目造价管理工作的评价与分析（包括但不限于概算与结算情况对比分析），工程遗留问题的总结与分析等，并提出合理的建议。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1.8质量安全管理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1.8.1工程咨询人代表委托人负责施工现场的全面管理工作，包括但不限于制定与完善工程质量及安全管理制度、组织各参建单位控制施工过程对环境的影响、制订项目安全生产计划并监督强力推行，以确保现场人身与财产安全，防止灾害发生；组织现场平面布局使之易于安全、保卫、后勤及物料搬运的管理；应对工程咨询人在现场的施工人员进行安全教育，并对他们的安全负责。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1.8.2工程咨询人负责监督各施工单位安全施工及文明施工，凡政府主管部门规定需办理的工程保险，均安排委托人或总包、分包施工单位按建筑行业规定投保，避免该项目发生重大的工程事故及安全事故。如投保的项目出现险情和损失，协助保险受益人和投保人向保险公司索赔。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ascii="宋体" w:hAnsi="宋体" w:cs="宋体"/>
          <w:b/>
          <w:bCs/>
          <w:color w:val="auto"/>
          <w:sz w:val="24"/>
          <w:szCs w:val="24"/>
          <w:highlight w:val="none"/>
        </w:rPr>
        <w:t>9</w:t>
      </w:r>
      <w:r>
        <w:rPr>
          <w:rFonts w:hint="eastAsia" w:ascii="宋体" w:hAnsi="宋体" w:cs="宋体"/>
          <w:b/>
          <w:bCs/>
          <w:color w:val="auto"/>
          <w:sz w:val="24"/>
          <w:szCs w:val="24"/>
          <w:highlight w:val="none"/>
        </w:rPr>
        <w:t xml:space="preserve">合同管理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负责本项目涉及的土建项目和各专业系统地设计、咨询、施工、供货及相关的专业合同的起草、</w:t>
      </w:r>
      <w:r>
        <w:rPr>
          <w:rFonts w:hint="eastAsia" w:ascii="宋体" w:hAnsi="宋体" w:cs="宋体"/>
          <w:color w:val="auto"/>
          <w:sz w:val="24"/>
          <w:szCs w:val="24"/>
          <w:highlight w:val="none"/>
        </w:rPr>
        <w:t>合法性审查（法律）、</w:t>
      </w:r>
      <w:r>
        <w:rPr>
          <w:rFonts w:hint="eastAsia" w:ascii="宋体" w:hAnsi="宋体" w:cs="宋体"/>
          <w:color w:val="auto"/>
          <w:sz w:val="24"/>
          <w:szCs w:val="24"/>
          <w:highlight w:val="none"/>
          <w:lang w:val="zh-CN"/>
        </w:rPr>
        <w:t>谈判，协助签订；对合同履约、变更、索赔、合同后评价进行管理；对合同风险进行分析并制定应对措施。</w:t>
      </w:r>
      <w:r>
        <w:rPr>
          <w:rFonts w:hint="eastAsia" w:ascii="宋体" w:hAnsi="宋体" w:cs="宋体"/>
          <w:color w:val="auto"/>
          <w:sz w:val="24"/>
          <w:szCs w:val="24"/>
          <w:highlight w:val="none"/>
        </w:rPr>
        <w:t xml:space="preserve">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0</w:t>
      </w:r>
      <w:r>
        <w:rPr>
          <w:rFonts w:hint="eastAsia" w:ascii="宋体" w:hAnsi="宋体" w:cs="宋体"/>
          <w:b/>
          <w:bCs/>
          <w:color w:val="auto"/>
          <w:sz w:val="24"/>
          <w:szCs w:val="24"/>
          <w:highlight w:val="none"/>
        </w:rPr>
        <w:t xml:space="preserve">档案与信息管理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 xml:space="preserve">.1借助专业的信息管理软件及先进的信息技术平台，根据时间、内容、类型进行分类、编码、归集，高效检索、分享、传递、审批工程项目信息，保存能清楚证明与项目有关的电子、文档资料直至项目移交。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0</w:t>
      </w:r>
      <w:r>
        <w:rPr>
          <w:rFonts w:hint="eastAsia" w:ascii="宋体" w:hAnsi="宋体" w:cs="宋体"/>
          <w:color w:val="auto"/>
          <w:sz w:val="24"/>
          <w:szCs w:val="24"/>
          <w:highlight w:val="none"/>
        </w:rPr>
        <w:t xml:space="preserve">.2负责对勘察、设计、监理、施工单位工程档案的编制工作进行指导，督促各单位编制合格的竣工资料，负责本项目所有竣工资料的收集、整理、汇编，并负责通过档案资料的竣工验收以及移交。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0</w:t>
      </w:r>
      <w:r>
        <w:rPr>
          <w:rFonts w:hint="eastAsia" w:ascii="宋体" w:hAnsi="宋体" w:cs="宋体"/>
          <w:color w:val="auto"/>
          <w:sz w:val="24"/>
          <w:szCs w:val="24"/>
          <w:highlight w:val="none"/>
        </w:rPr>
        <w:t xml:space="preserve">.3借助先进的信息管理软件或信息技术平台，对工程建设过程中如质量、安全、文明施工等信息进行高效的分享、传递、监督、反馈、管理。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1</w:t>
      </w:r>
      <w:r>
        <w:rPr>
          <w:rFonts w:hint="eastAsia" w:ascii="宋体" w:hAnsi="宋体" w:cs="宋体"/>
          <w:b/>
          <w:bCs/>
          <w:color w:val="auto"/>
          <w:sz w:val="24"/>
          <w:szCs w:val="24"/>
          <w:highlight w:val="none"/>
        </w:rPr>
        <w:t xml:space="preserve">工程技术管理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 xml:space="preserve">.1委托人委托工程咨询人按照国家有关规定及本合同约定，负责本项目各参建单位协调工作，监督、控制、协调和解决设计、施工、监理三方工作中的任何问题，确保技术方案、进度、质量、安全、成本等计划和预期目标的全面实现。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1</w:t>
      </w:r>
      <w:r>
        <w:rPr>
          <w:rFonts w:hint="eastAsia" w:ascii="宋体" w:hAnsi="宋体" w:cs="宋体"/>
          <w:color w:val="auto"/>
          <w:sz w:val="24"/>
          <w:szCs w:val="24"/>
          <w:highlight w:val="none"/>
        </w:rPr>
        <w:t xml:space="preserve">.2对工程建设过程中的特殊结构、复杂技术、关键工序等技术措施和技术方案进行审核、评价、分析，解决施工过程中出现的设计问题，优化设计方案，对工程建设新技术、新工艺新材料进行研究论证，对重要材料、设备、工艺进行考察、调研、论证、总结，从技术角度提出合理化建议或专项技术咨询报告。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1</w:t>
      </w:r>
      <w:r>
        <w:rPr>
          <w:rFonts w:hint="eastAsia" w:ascii="宋体" w:hAnsi="宋体" w:cs="宋体"/>
          <w:color w:val="auto"/>
          <w:sz w:val="24"/>
          <w:szCs w:val="24"/>
          <w:highlight w:val="none"/>
        </w:rPr>
        <w:t xml:space="preserve">.3组织设计单位对监理和施工单位进行技术交底，对重点工序、重点环节的技术、质量进行控制，处理工程建设过程中发生的重大技术质量问题。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1</w:t>
      </w:r>
      <w:r>
        <w:rPr>
          <w:rFonts w:hint="eastAsia" w:ascii="宋体" w:hAnsi="宋体" w:cs="宋体"/>
          <w:color w:val="auto"/>
          <w:sz w:val="24"/>
          <w:szCs w:val="24"/>
          <w:highlight w:val="none"/>
        </w:rPr>
        <w:t xml:space="preserve">.4项目实施阶段，根据委托人要求组织现场技术指导，因技术指导产生的出差调研、专题会会务、专家（含专家咨询、专家差旅）以及现场技术指导会议的组织等费用由工程咨询人承担。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2</w:t>
      </w:r>
      <w:r>
        <w:rPr>
          <w:rFonts w:hint="eastAsia" w:ascii="宋体" w:hAnsi="宋体" w:cs="宋体"/>
          <w:b/>
          <w:bCs/>
          <w:color w:val="auto"/>
          <w:sz w:val="24"/>
          <w:szCs w:val="24"/>
          <w:highlight w:val="none"/>
        </w:rPr>
        <w:t xml:space="preserve">竣工验收及移交管理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2</w:t>
      </w:r>
      <w:r>
        <w:rPr>
          <w:rFonts w:hint="eastAsia" w:ascii="宋体" w:hAnsi="宋体" w:cs="宋体"/>
          <w:color w:val="auto"/>
          <w:sz w:val="24"/>
          <w:szCs w:val="24"/>
          <w:highlight w:val="none"/>
        </w:rPr>
        <w:t xml:space="preserve">.1负责组织项目相关参建各方办理项目专业验收和总体竣工验收申报手续，并协助进行项目专业验收和总体竣工验收，及时解决工程竣工验收中发现的工程质量问题。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2</w:t>
      </w:r>
      <w:r>
        <w:rPr>
          <w:rFonts w:hint="eastAsia" w:ascii="宋体" w:hAnsi="宋体" w:cs="宋体"/>
          <w:color w:val="auto"/>
          <w:sz w:val="24"/>
          <w:szCs w:val="24"/>
          <w:highlight w:val="none"/>
        </w:rPr>
        <w:t xml:space="preserve">.2负责项目移交工作的管理，包括质量监督、档案验收、项目审计、财务决算、环境保护、卫生监督、劳动安全、消防、节能、工程总结等。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3</w:t>
      </w:r>
      <w:r>
        <w:rPr>
          <w:rFonts w:hint="eastAsia" w:ascii="宋体" w:hAnsi="宋体" w:cs="宋体"/>
          <w:b/>
          <w:bCs/>
          <w:color w:val="auto"/>
          <w:sz w:val="24"/>
          <w:szCs w:val="24"/>
          <w:highlight w:val="none"/>
        </w:rPr>
        <w:t xml:space="preserve">与项目建设管理相关的其他工作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3</w:t>
      </w:r>
      <w:r>
        <w:rPr>
          <w:rFonts w:hint="eastAsia" w:ascii="宋体" w:hAnsi="宋体" w:cs="宋体"/>
          <w:color w:val="auto"/>
          <w:sz w:val="24"/>
          <w:szCs w:val="24"/>
          <w:highlight w:val="none"/>
        </w:rPr>
        <w:t xml:space="preserve">.1会议制度和报告制度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工程咨询人应坚持定期的月/周例会和非定期的专题会议制度。有关专题会议的纪要及例会研定的会议内容、月/周工作计划，由工程咨询人在会后第二个工作日整理完成并交委托人存阅。委托人对会议内容、工作计划或会议纪要有权质询，工程咨询人有责任进行答复。工程咨询人于每月7日向委托人提交上个月度的项目管理工作月报，由委托人审阅。委托人召集的涉及工程的会议， 工程咨询人也应参加并说明与议题相关的工作。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3</w:t>
      </w:r>
      <w:r>
        <w:rPr>
          <w:rFonts w:hint="eastAsia" w:ascii="宋体" w:hAnsi="宋体" w:cs="宋体"/>
          <w:color w:val="auto"/>
          <w:sz w:val="24"/>
          <w:szCs w:val="24"/>
          <w:highlight w:val="none"/>
        </w:rPr>
        <w:t xml:space="preserve">.2各类合同的签署及款项的支付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3</w:t>
      </w:r>
      <w:r>
        <w:rPr>
          <w:rFonts w:hint="eastAsia" w:ascii="宋体" w:hAnsi="宋体" w:cs="宋体"/>
          <w:color w:val="auto"/>
          <w:sz w:val="24"/>
          <w:szCs w:val="24"/>
          <w:highlight w:val="none"/>
        </w:rPr>
        <w:t xml:space="preserve">.3在委托人委托工程咨询人管理的工作范围内，凡属本项目对外签署的合同以及对合同的修改、补充，均由委托人与有关方直接签署。工程咨询人负责合同的起草、合同签署后的监督、执行以及合同的管理工作。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本项目工程建设所涉及的合同款项和其他款项，委托人委托工程咨询人按时编制详尽的款项支付凭证，报经委托人批准后，由委托人按计划直接支付给有关单位。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4</w:t>
      </w:r>
      <w:r>
        <w:rPr>
          <w:rFonts w:hint="eastAsia" w:ascii="宋体" w:hAnsi="宋体" w:cs="宋体"/>
          <w:b/>
          <w:bCs/>
          <w:color w:val="auto"/>
          <w:sz w:val="24"/>
          <w:szCs w:val="24"/>
          <w:highlight w:val="none"/>
        </w:rPr>
        <w:t xml:space="preserve">竣工验收及移交管理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.1负责组织项目相关参建各方办理项目专业验收和总体竣工验收申报手续，并协助进行项目专业验收和总体竣工验收，及时解决工程竣工验收中发现的工程质量问题。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.2负责项目移交工作的管理，包括质量监督、档案验收、项目审计、财务决算、环境保护、卫生监督、劳动安全、消防、工程总结等。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5</w:t>
      </w:r>
      <w:r>
        <w:rPr>
          <w:rFonts w:hint="eastAsia" w:ascii="宋体" w:hAnsi="宋体" w:cs="宋体"/>
          <w:b/>
          <w:bCs/>
          <w:color w:val="auto"/>
          <w:sz w:val="24"/>
          <w:szCs w:val="24"/>
          <w:highlight w:val="none"/>
        </w:rPr>
        <w:t>工程结算管理</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5</w:t>
      </w:r>
      <w:r>
        <w:rPr>
          <w:rFonts w:hint="eastAsia" w:ascii="宋体" w:hAnsi="宋体" w:cs="宋体"/>
          <w:color w:val="auto"/>
          <w:sz w:val="24"/>
          <w:szCs w:val="24"/>
          <w:highlight w:val="none"/>
        </w:rPr>
        <w:t xml:space="preserve">.1负责项目结算的总体安排，对项目结算进度负责。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5</w:t>
      </w:r>
      <w:r>
        <w:rPr>
          <w:rFonts w:hint="eastAsia" w:ascii="宋体" w:hAnsi="宋体" w:cs="宋体"/>
          <w:color w:val="auto"/>
          <w:sz w:val="24"/>
          <w:szCs w:val="24"/>
          <w:highlight w:val="none"/>
        </w:rPr>
        <w:t xml:space="preserve">.2负责在第一次付款前保存归档招标文件、答疑、标底、投标文件、评标报告、会议纪要、中标通知书、合同协议书、全套招标用施工图纸等招标阶段结算资料。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5</w:t>
      </w:r>
      <w:r>
        <w:rPr>
          <w:rFonts w:hint="eastAsia" w:ascii="宋体" w:hAnsi="宋体" w:cs="宋体"/>
          <w:color w:val="auto"/>
          <w:sz w:val="24"/>
          <w:szCs w:val="24"/>
          <w:highlight w:val="none"/>
        </w:rPr>
        <w:t xml:space="preserve">.3负责办理工程量清单复核报告、设计变更、现场签证、补充合同等结算资料的审批手续。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5</w:t>
      </w:r>
      <w:r>
        <w:rPr>
          <w:rFonts w:hint="eastAsia" w:ascii="宋体" w:hAnsi="宋体" w:cs="宋体"/>
          <w:color w:val="auto"/>
          <w:sz w:val="24"/>
          <w:szCs w:val="24"/>
          <w:highlight w:val="none"/>
        </w:rPr>
        <w:t xml:space="preserve">.4及时办理设备开箱检查及移交记录、合同外单价分析资料、主材设备价格确定依据、图纸会审纪要、实物移交清单、相关验收证明资料等审批手续。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5</w:t>
      </w:r>
      <w:r>
        <w:rPr>
          <w:rFonts w:hint="eastAsia" w:ascii="宋体" w:hAnsi="宋体" w:cs="宋体"/>
          <w:color w:val="auto"/>
          <w:sz w:val="24"/>
          <w:szCs w:val="24"/>
          <w:highlight w:val="none"/>
        </w:rPr>
        <w:t xml:space="preserve">.5配合委托人造价工程师管理监理单位的结算工作。检查催办监理单位的结算资料收集情况和结算审核进度，重点审核竣工资料与现场实际情况的一致性，并在监理单位的结算初审报告上签署意见。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5</w:t>
      </w:r>
      <w:r>
        <w:rPr>
          <w:rFonts w:hint="eastAsia" w:ascii="宋体" w:hAnsi="宋体" w:cs="宋体"/>
          <w:color w:val="auto"/>
          <w:sz w:val="24"/>
          <w:szCs w:val="24"/>
          <w:highlight w:val="none"/>
        </w:rPr>
        <w:t xml:space="preserve">.6负责协调施工、监理、造价咨询和项目组各成员的结算分歧，督促专业工程师和造价工程师及时办理设计变更等结算资料，必要时召集各方协调解决造价分歧。负责监理和咨询单位的结算工作的管理。并在咨询单位的结算审核报告上签署意见。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6</w:t>
      </w:r>
      <w:r>
        <w:rPr>
          <w:rFonts w:hint="eastAsia" w:ascii="宋体" w:hAnsi="宋体" w:cs="宋体"/>
          <w:b/>
          <w:bCs/>
          <w:color w:val="auto"/>
          <w:sz w:val="24"/>
          <w:szCs w:val="24"/>
          <w:highlight w:val="none"/>
        </w:rPr>
        <w:t xml:space="preserve">协调管理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.1根据项目的特点建立协调管理的相关制度，完善沟通、交流程序和渠道。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.2搭建通用、高效、协同的交互平台，保证沟通的顺畅。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.3动态维护沟通渠道的顺畅性，做好沟通障碍管理工作。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.4根据沟通内容、层级，选择合适的沟通方式，并做好沟通记录。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1.1</w:t>
      </w:r>
      <w:r>
        <w:rPr>
          <w:rFonts w:ascii="宋体" w:hAnsi="宋体" w:cs="宋体"/>
          <w:b/>
          <w:bCs/>
          <w:color w:val="auto"/>
          <w:sz w:val="24"/>
          <w:szCs w:val="24"/>
          <w:highlight w:val="none"/>
        </w:rPr>
        <w:t>7</w:t>
      </w:r>
      <w:r>
        <w:rPr>
          <w:rFonts w:hint="eastAsia" w:ascii="宋体" w:hAnsi="宋体" w:cs="宋体"/>
          <w:b/>
          <w:bCs/>
          <w:color w:val="auto"/>
          <w:sz w:val="24"/>
          <w:szCs w:val="24"/>
          <w:highlight w:val="none"/>
        </w:rPr>
        <w:t xml:space="preserve">工程保修管理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负责项目建成后，监督相关单位落实工程保修责任。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（二）工程监理工作内容及要求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2.1监理服务内容和要求（包括但不限于）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本工程施工监理服务内容包括：按照《建设工程监理规范》及相关规范的要求，对项目的投资控制、工程质量、工程安全和建设工期采用科学有效的方法和手段进行控制、管理，协调相关单位之间的关系，向委托人提交完整的监理档案资料，参与工程的交工和竣工验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2.1.2本工程的监理服务期从签订合同之日开始至工程通过竣工验收交付使用为止，但在工程质量保修期内，监理单位应承担相应的义务和责任。</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2.1.3监理单位必须严格按照国家、省有关建设监理规定进行监理，完成监理规范要求的工作内容。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2.1.4组织设计交底及图纸会审，审核施工组织方案、专项施工方案（包括大型构件吊装、支模架、深基坑、交通组织等）。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2.1.5审核分包单位资质，专项管理人员及特殊作业人员的资格证、上岗证。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2.1.6复核施工放线测量成果。</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2.1.7编制平行检测实施细则、现场安全文明施工监理专项方案。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2.1.8编制、检查施工进度计划，并在实施过程中检查、督促施工单位严格执行合同和施工规范、工程技术标准；审查采购清单，检查工程使用材料、构件、设备的规格、质量和数量，并按照规定比例做好平行检测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2.1.9做好施工单位大型外构件生产的现场监理工作。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2.1.10质量控制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（1）熟悉施工图，参加设计交底会议，提出相关建议或意见。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（2）协助招标人审核施工图的设计和概(预)算，参与主持组织图纸会审,做好记录,写出会审纪要。</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（3）参与招标人与承包商签订施工承包合同,审核施工进度计划，并在实施过程中检查、督促承包商严格按合同和施工规范、工程技术标准、设计要求进行施工，监督承包商现场施工管理。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（4）审查和批准施工组织设计，核实并签发施工必须遵循的设计要求、采用的技术标准、技术规程规范等质量文件；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（5）检查施工许可等手续的办理情况，向委托人提交检查报告。</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（6）审查工程开工条件，检查施工前的各项准备工作。</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（7）复核和审查施工单位、分包单位以及材料、设备、构配件等供应单位的资格及发包手续、备案情况等；严格监控工程材料、构配件和设备的数量、质量，按委托人的授权要求管理甲供的材料。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（8）审批工程项目单位工程、分部分项工程和检验批的划分，并依据监理规划分析、调整和确定质量控制重点、质量控制工作流程和监理措施，制定质量控制的各项实施细则、规定及其它管理制度。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（9）检查督促承包人建立健全适合于本工程的质量管理体系，并能切实发挥作用，督促承包人进行全面质量管理工作。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（10）协助委托人移交与项目施工有关的测量控制网点；审查承包人提交的测量实施报告，并依据监理规范要求检查和复核有关测量成果。</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（11）审查承包人自建的试验室或委托试验的试验室；审查批准承包人按合同规定进行的材料、工艺试验及确定各项施工参数的试验。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（12）审查进场工程材料的质量证明文件及施工承包人按有关规定进行的试验检测结果。必要时，监理人可按合同约定进行一定数量的抽样检测试验。</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施工质量进行全过程的监督管理，在加强现场管理工作的前提下对重要部位、隐蔽工程和关键工序应采取旁站监理；对施工质量情况及时做好记录和统计工作，对发现质量问题的施工现场及时进行拍照或录像。</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（14）组织或参与质量事故的调查，审批事故处理方案，并监督质量事故的处理。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（15）组织并主持定期或不定期的质量检查会和分析会，分析、通报施工质量情况，协调有关单位间的施工活动以消除影响质量的各种外部干扰因素。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（16）对工程项目的检验批、分部分项工程、单位工程等及时进行施工质量验收和质量评定工作。</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（17）审查竣工资料，协助委托人组织竣工预验收。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（18）参与委托人组织的竣工验收，提交质量评估报告。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2.1.11进度控制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（1）熟悉招标文件和合同文件中有关进度的条款。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（2）审核、分析各投标单位的进度计划。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（3）审核施工总进度计划，并在项目施工过程中控制其执行，必要时，及时调整施工总进度。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（4）审核项目施工各阶段、年、季、月度的进度计划，并控制其执行，必要时作调整建议。</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（5）在项目实施过程中，必要时采用计算机进行进度计划值与实际值的比较，每月、季、年提交各种进度控制报告。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2.1.12费用控制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（1）对工程实际进度情况作好完善的记录和必要的签证。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（2）对工程的修改、变更以及返工等情况作好完善的记录和必要的签证。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（3）对与工程有关的措施等作好完善的记录和必要的签证。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（4）利用专业投资控制软件每月进行投资计划值与实际值的比较，并提供各种报表。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（5）协助工程付款审核。</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（6）协助审核其它付款申请单。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（7）协助审核及处理各项施工索赔中与资金有关的事宜。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2.1.13安全文明生产监督管理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（1）审核施工安全专项方案、督促施工单位落实安全保证体系。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（2）督促施工单位履行施工安全、文明保障义务。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（3）组织工地安全检查。</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（4）协助制订项目委托人方的应急措施。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（5）协助处理安全事故。</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（6）督促施工单位组织工地卫生及文明施工检查。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（7）督促施工单位协调处理工地的各种纠纷。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（8）督促施工单位组织落实工地的保卫及产品保护工作。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审查特种作业人员资格，督促施工单位进行安全生产基础知识培训，督促检查施工单位建立健全安全生产保证体系和逐级安全交底工作。施工过程中对关键工序实施现场跟班监督检查，落实专项安全施工方案.</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2.1.14合同管理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（1）协助委托人处理有关索赔事宜，并处理合同纠纷。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（2）进行各类合同的跟踪管理并定期提供合同管理的各种报告。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2.1.15信息管理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（1）进行各种工程信息的收集、整理、存档。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（2）定期提供各类工程项目管理报表。</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（3）建立工地例会制度,并做好会议记录。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（4）督促各施工单位整理工程技术资料。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2.2保修阶段监理 </w:t>
      </w:r>
    </w:p>
    <w:p>
      <w:pPr>
        <w:spacing w:line="420" w:lineRule="exact"/>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协助委托人检查回访工程质量，及时处理客户投诉，参与工程质量事故（缺陷）的鉴定，督促施工单位及时维修。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2.2.1工程进入保修阶段，监理人编写保修阶段的监理细则，安排足够的监理人员进行定期质量回访，主动找出工程质量及服务质量存在的问题，及时安排施工单位进行处理。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2.2.2</w:t>
      </w:r>
      <w:r>
        <w:rPr>
          <w:rFonts w:hint="eastAsia" w:ascii="宋体" w:hAnsi="宋体" w:cs="宋体"/>
          <w:color w:val="auto"/>
          <w:sz w:val="24"/>
          <w:szCs w:val="24"/>
          <w:highlight w:val="none"/>
          <w:lang w:val="zh-CN"/>
        </w:rPr>
        <w:t>工程质量缺陷：监理人应主动配合委托人组织设计、承包人和有关各方对工程质量缺陷的原因、责任进行调查和确认，并协助处理至客户满意。</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2.2.3接到投诉后，监理工程师应会同承包人及时到达现场，认真分析投诉产生的原因，确定质量缺陷的责任，提出缺陷的解决方案，经委托人审批后实施，一般整改期限不超过七天，特殊的经委托人同意后制定整改计划，按计划实施。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2.2.4保修期内发生质量缺陷，监理工程师应将引起工程保修延长的事件及延长时间书面通知委托人和承包人，在工程保修期内发生质量缺陷或损害， 致使工程不能使用，则工程保修期应延长。</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2.2.5项目总监理工程师应在保修期结束之后及时签发解除保修期质量责任书给承包人并抄报委托人。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2.3对监理程序及技术的基本要求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2.3.1监理单位在监理过程中须独立地进行检测、检验、试验工作，即凡施工单位须做的检测、检验、试验项目，经过监理单位的旁站见证或独立检测、检验、试验后，能足以客观反映施工单位所做的检测、检验、试验项目数据及工程质量的真实情况。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2.3.2中标人在监理过程中不得使用施工单位的任何仪器、设备，不得使用施工单位的任何技术资料，不得与施工单位送到同一检测中心（站）进行检测。施工过程中的各类测量复核、设备安装等检测测试工作，均应按国家相关规定组织实施，中标人与施工单位的测试数据不得相互套用。</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2.3.3为保证本工程建设的有序管理，保证本项目及周边地区综合管线信息的科学性、完整性、准确性和现实性，根据建设部《关于加强城市地下管线规划管理的通知》及有关规定以及有关法律法规，结合本工程实际情况，监理单位应对施工全过程进行旁站监督，并督促施工单位在管线埋设后覆土前及时书面通知有关部门。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2.3.4监理资料的提供，应执行国家《建设工程监理规范》，使用的表式在确定监理中标人后，由招标人档案部门与中标人具体交底明确。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2.3.5中标人提供的资料应符合《建设工程监理规范》之规定，同时需满足招标人的《档案管理和归档要求》的规定。 </w:t>
      </w:r>
    </w:p>
    <w:p>
      <w:pPr>
        <w:spacing w:line="420" w:lineRule="exact"/>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2.4对监理工作的管理要求</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2.4.1如因监理单位过失而造成招标人的经济损失，应当向招标人进行赔偿。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2.4.2如监理单位对施工单位上报的已完成工作量未能准确复核，并签署了与实际不符的工作量的工程进度付款凭证，招标人将追究其责任，对由此造成的损失应当向招标人进行赔偿。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2.4.3监理单位必须按照约定及时足额发放监理员的工资，如委托人发现监理人有流动资金不足、拖欠员工工资等现象，委托人有权先支付监理人资金，保证监理工作的正常进行，支付的费用在应付工程咨询报酬中扣除，并视情节要求监理人支付扣款费用 20％的违约金。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2.4.4监理人每月支付监理部人员的工资表应报委托人备案。</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2.4.5对监理部所配物资不能满足监理办公需要，监理人又不能及时解决，已影响监理工作正常进行时，委托人有权进行配给，所需费用从应付工程咨询报酬中扣除。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2.4.6因项目进展需要，我方委托人提出增加管理人员时，你方监理人必须保证及时补充符合要求的监理人员。</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2.4.7监理人应正确处理与委托人、乙方的关系，监理人应理解、落实监理委托人工程管理的延伸，而不仅仅是简单的合同关系。 </w:t>
      </w:r>
    </w:p>
    <w:p>
      <w:pPr>
        <w:numPr>
          <w:ilvl w:val="0"/>
          <w:numId w:val="7"/>
        </w:num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造价咨询服务（全过程造价控制及咨询）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制定造价控制的实施流程，对承包人报送的工程预算、报价进行审核，确定造价控制目标，并出具书面审核成果报告。</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根据施工承包合同、进度计划，编制用款计划书。</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参与造价控制有关的工程会议，包括且不限于工程例会、图纸会审会议；造价专题会、工程结（决）算审计对账会等，同时做好会议记录。</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负责对承包人报送的每月(期)完成进度款月报表进行审核，并提出当月(期)付款建议书；对报送的工程量的审核包括现场测量、拍摄影像图片资料，形成相关原始数据资料。</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承、发包方提出索赔时，凭据合同和有关法律、法规，提供咨询意见。</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协助业主及时审核因设计变更、现场签证等发生的费用，协助业主现场测量施工图不详的工程量，相应调整造价控制目标，并向业主提供造价控制动态分析报告。</w:t>
      </w:r>
    </w:p>
    <w:p>
      <w:pPr>
        <w:spacing w:line="420" w:lineRule="exact"/>
        <w:ind w:firstLine="480" w:firstLineChars="200"/>
        <w:rPr>
          <w:rFonts w:asci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7</w:t>
      </w:r>
      <w:r>
        <w:rPr>
          <w:rFonts w:hint="eastAsia" w:ascii="宋体" w:cs="宋体"/>
          <w:color w:val="auto"/>
          <w:sz w:val="24"/>
          <w:szCs w:val="24"/>
          <w:highlight w:val="none"/>
        </w:rPr>
        <w:t>审核及汇总过程分阶段工程结算，出具结算审核的初步意见。</w:t>
      </w:r>
    </w:p>
    <w:p>
      <w:pPr>
        <w:spacing w:line="420" w:lineRule="exact"/>
        <w:ind w:firstLine="480" w:firstLineChars="200"/>
        <w:rPr>
          <w:color w:val="auto"/>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协助业主办理工程竣工结算，提供完整的结算报告及各项费用汇总表。</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提供与造价控制相关的人工、材料、机械、设备等造价信息；协助业主确定“甲供材料”、“甲定乙供材料”，并通过市场调查询价确定价格范围，明确甲供材料取费的规定。</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参加招标文件讨论会，协助业主审核招标文件及合同和其中有关工程量清单及投标报价方面的条款、对承包人的投标文件进行复核，对不合理的报价应及时提出，协助业主签订施工承包合同。</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积极配合业主的法定审计（含招标人上级各部门的审计）工作，并及时提交各项所需资料。</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现场驻场（响应）要求：服务期内派造价咨询人员提供驻场（响应）服务，且不得少于投标承诺。造价咨询项目负责人及驻场造价咨询服务人员未经业主同意不得随意更换变动，因客观情况确需更换的，应征得发包人同意，且更换后的人员不得低于原投标承诺人员所具有的资格和业绩条件。</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除满足项目班子配备的人数要求外，公司还须安排造价咨询的专家库成员协助完成全过程工程造价控制及咨询服务内容的所有工作。</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建设单位要求的其他与工程建设相关的咨询服务。</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xml:space="preserve">质量要求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严格按《建设工程工程量清单计价规范》、以及省、市建设行政主管部门有关工程计价、结算的规定开展工作，确保编制、审核质量满足下列要求： </w:t>
      </w:r>
    </w:p>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(四)工程咨询工作其他要求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4.1在履行其义务时，应本着严格工作、热情服务、秉公执行、一丝不苟的原则，运用专业的技能谨慎而勤奋地工作；在履行其义务时，应遵守国家法律和行政法规，不得损害委托人利益和任何第三者的利益，不得泄露涉及工程的任何机密。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4.2本项目建设过程中发生的工程咨询人出差调研费（不含招标人的费用）、举办各种专题会（评审会）产生的会务费、专家劳务费、专家差旅费（高铁或飞机经济舱）、专家交通住宿（三星以上酒店、单人间）（专家劳务费标准由委托人确定）等费用由工程咨询人承担，如不履行则从咨询报酬费中扣除相应费用。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4.3履行职责 </w:t>
      </w:r>
    </w:p>
    <w:p>
      <w:pPr>
        <w:spacing w:line="420" w:lineRule="exact"/>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工程咨询人应遵循职业道德准则和行为规范，严格按照法律法规、工程建设有关标准及本合同履行职责，依法承担技术咨询工作、工程监理工作相应的法律责任。包括：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4.3.1</w:t>
      </w:r>
      <w:r>
        <w:rPr>
          <w:rFonts w:hint="eastAsia" w:ascii="宋体" w:hAnsi="宋体" w:cs="宋体"/>
          <w:color w:val="auto"/>
          <w:sz w:val="24"/>
          <w:szCs w:val="24"/>
          <w:highlight w:val="none"/>
          <w:lang w:val="zh-CN"/>
        </w:rPr>
        <w:t>在工程咨询与</w:t>
      </w:r>
      <w:r>
        <w:rPr>
          <w:rFonts w:hint="eastAsia" w:ascii="宋体" w:hAnsi="宋体" w:cs="宋体"/>
          <w:color w:val="auto"/>
          <w:sz w:val="24"/>
          <w:szCs w:val="24"/>
          <w:highlight w:val="none"/>
        </w:rPr>
        <w:t xml:space="preserve">相关服务范围内，委托人和承包人提出的意见和要求，工程咨询人应及时提出处置意见。当委托人与其他承包人之间发生合同争议时，工程咨询人应协助委托人、承包人协商解决；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4.3.2当委托人与其他承包人之间的合同争议提交仲裁机构仲裁或人民法院审理时，工程咨询人应为委托人提供必要的证明资料；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4.3.3工程咨询人应在授权范围内，处理委托人与其他承包人所签订合同的变更事宜。如果变更超过授权范围，应以书面形式报委托人批准。在紧急情况下，为了保护财产和人身安全，工程咨询人所发出的指令未能事先报委托人批准时，应在发出指令后的 24 小时内以书面形式报委托人； </w:t>
      </w:r>
    </w:p>
    <w:p>
      <w:pPr>
        <w:spacing w:line="420" w:lineRule="exact"/>
        <w:ind w:firstLine="480" w:firstLineChars="200"/>
        <w:rPr>
          <w:color w:val="auto"/>
          <w:highlight w:val="none"/>
        </w:rPr>
      </w:pPr>
      <w:r>
        <w:rPr>
          <w:rFonts w:hint="eastAsia" w:ascii="宋体" w:hAnsi="宋体" w:cs="宋体"/>
          <w:color w:val="auto"/>
          <w:sz w:val="24"/>
          <w:szCs w:val="24"/>
          <w:highlight w:val="none"/>
        </w:rPr>
        <w:t xml:space="preserve">4.3.4工程咨询人发现其他承包人的人员不能胜任本职工作的，有权要求其他承包人予以调换，并以书面形式报委托人 。 </w:t>
      </w:r>
    </w:p>
    <w:p>
      <w:pPr>
        <w:pStyle w:val="7"/>
        <w:spacing w:line="420" w:lineRule="exact"/>
        <w:ind w:left="0" w:firstLine="241" w:firstLineChars="1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全过程工程咨询服务办公和检测设备配置及项目组织机构人员配备</w:t>
      </w:r>
    </w:p>
    <w:p>
      <w:pPr>
        <w:spacing w:line="4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工程咨询人应组建满足工作需要的项目组织机构，配备必要的办公用具和检测设备，包括： </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工程咨询人配置的项目组织机构人员必须满足本项目实际工作要求；</w:t>
      </w:r>
    </w:p>
    <w:p>
      <w:pP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项目组织机构的主要人员应具有相应的资格条件，在本合同履行过程中，项目主要负责人及重要岗位工程咨询人员应保持相对稳定，以保证工程咨询工作正常进行； </w:t>
      </w:r>
    </w:p>
    <w:p>
      <w:pPr>
        <w:spacing w:line="4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3.由咨询</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lang w:val="en-US" w:eastAsia="zh-CN"/>
        </w:rPr>
        <w:t>自行负责解决办公设施、办公场地且食宿自理。不得使用或借用施工单位生活用房，不得搭伙施工单位食堂（建设单位按合同约定提供的施工现场办公用房除外）。</w:t>
      </w:r>
    </w:p>
    <w:p>
      <w:pPr>
        <w:spacing w:line="4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4.车辆、通讯、办公及设备生活、检测设备配置应能够满足工程实际需要，费用由投标人在报价中综合考虑； </w:t>
      </w:r>
    </w:p>
    <w:p>
      <w:pPr>
        <w:spacing w:line="4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5.项目组织机构人员配备：</w:t>
      </w:r>
    </w:p>
    <w:tbl>
      <w:tblPr>
        <w:tblStyle w:val="26"/>
        <w:tblW w:w="987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1"/>
        <w:gridCol w:w="2274"/>
        <w:gridCol w:w="2160"/>
        <w:gridCol w:w="1160"/>
        <w:gridCol w:w="1600"/>
        <w:gridCol w:w="1430"/>
        <w:gridCol w:w="6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5" w:hRule="atLeast"/>
          <w:tblHeader/>
        </w:trPr>
        <w:tc>
          <w:tcPr>
            <w:tcW w:w="571" w:type="dxa"/>
            <w:vAlign w:val="center"/>
          </w:tcPr>
          <w:p>
            <w:pPr>
              <w:jc w:val="center"/>
              <w:rPr>
                <w:b/>
                <w:bCs/>
                <w:color w:val="auto"/>
                <w:sz w:val="22"/>
                <w:szCs w:val="22"/>
                <w:highlight w:val="none"/>
                <w:shd w:val="clear" w:color="auto" w:fill="auto"/>
              </w:rPr>
            </w:pPr>
            <w:r>
              <w:rPr>
                <w:b/>
                <w:bCs/>
                <w:color w:val="auto"/>
                <w:sz w:val="22"/>
                <w:szCs w:val="22"/>
                <w:highlight w:val="none"/>
                <w:shd w:val="clear" w:color="auto" w:fill="auto"/>
              </w:rPr>
              <w:t>序号</w:t>
            </w:r>
          </w:p>
        </w:tc>
        <w:tc>
          <w:tcPr>
            <w:tcW w:w="2274" w:type="dxa"/>
            <w:vAlign w:val="center"/>
          </w:tcPr>
          <w:p>
            <w:pPr>
              <w:jc w:val="center"/>
              <w:rPr>
                <w:b/>
                <w:bCs/>
                <w:color w:val="auto"/>
                <w:sz w:val="22"/>
                <w:szCs w:val="22"/>
                <w:highlight w:val="none"/>
                <w:shd w:val="clear" w:color="auto" w:fill="auto"/>
              </w:rPr>
            </w:pPr>
            <w:r>
              <w:rPr>
                <w:rFonts w:hint="eastAsia"/>
                <w:b/>
                <w:bCs/>
                <w:color w:val="auto"/>
                <w:sz w:val="22"/>
                <w:szCs w:val="22"/>
                <w:highlight w:val="none"/>
                <w:shd w:val="clear" w:color="auto" w:fill="auto"/>
              </w:rPr>
              <w:t>工程咨询</w:t>
            </w:r>
            <w:r>
              <w:rPr>
                <w:b/>
                <w:bCs/>
                <w:color w:val="auto"/>
                <w:sz w:val="22"/>
                <w:szCs w:val="22"/>
                <w:highlight w:val="none"/>
                <w:shd w:val="clear" w:color="auto" w:fill="auto"/>
              </w:rPr>
              <w:t>岗位</w:t>
            </w:r>
          </w:p>
        </w:tc>
        <w:tc>
          <w:tcPr>
            <w:tcW w:w="2160" w:type="dxa"/>
            <w:vAlign w:val="center"/>
          </w:tcPr>
          <w:p>
            <w:pPr>
              <w:jc w:val="center"/>
              <w:rPr>
                <w:b/>
                <w:bCs/>
                <w:color w:val="auto"/>
                <w:sz w:val="22"/>
                <w:szCs w:val="22"/>
                <w:highlight w:val="none"/>
                <w:shd w:val="clear" w:color="auto" w:fill="auto"/>
              </w:rPr>
            </w:pPr>
            <w:r>
              <w:rPr>
                <w:b/>
                <w:bCs/>
                <w:color w:val="auto"/>
                <w:sz w:val="22"/>
                <w:szCs w:val="22"/>
                <w:highlight w:val="none"/>
                <w:shd w:val="clear" w:color="auto" w:fill="auto"/>
              </w:rPr>
              <w:t>资格要求</w:t>
            </w:r>
          </w:p>
        </w:tc>
        <w:tc>
          <w:tcPr>
            <w:tcW w:w="1160" w:type="dxa"/>
            <w:vAlign w:val="center"/>
          </w:tcPr>
          <w:p>
            <w:pPr>
              <w:jc w:val="center"/>
              <w:rPr>
                <w:b/>
                <w:bCs/>
                <w:color w:val="auto"/>
                <w:sz w:val="22"/>
                <w:szCs w:val="22"/>
                <w:highlight w:val="none"/>
                <w:shd w:val="clear" w:color="auto" w:fill="auto"/>
              </w:rPr>
            </w:pPr>
            <w:r>
              <w:rPr>
                <w:b/>
                <w:bCs/>
                <w:color w:val="auto"/>
                <w:sz w:val="22"/>
                <w:szCs w:val="22"/>
                <w:highlight w:val="none"/>
                <w:shd w:val="clear" w:color="auto" w:fill="auto"/>
              </w:rPr>
              <w:t>人数</w:t>
            </w:r>
          </w:p>
          <w:p>
            <w:pPr>
              <w:jc w:val="center"/>
              <w:rPr>
                <w:b/>
                <w:bCs/>
                <w:color w:val="auto"/>
                <w:sz w:val="22"/>
                <w:szCs w:val="22"/>
                <w:highlight w:val="none"/>
                <w:shd w:val="clear" w:color="auto" w:fill="auto"/>
              </w:rPr>
            </w:pPr>
            <w:r>
              <w:rPr>
                <w:b/>
                <w:bCs/>
                <w:color w:val="auto"/>
                <w:sz w:val="22"/>
                <w:szCs w:val="22"/>
                <w:highlight w:val="none"/>
                <w:shd w:val="clear" w:color="auto" w:fill="auto"/>
              </w:rPr>
              <w:t>（不少于）</w:t>
            </w:r>
          </w:p>
        </w:tc>
        <w:tc>
          <w:tcPr>
            <w:tcW w:w="1600" w:type="dxa"/>
            <w:vAlign w:val="center"/>
          </w:tcPr>
          <w:p>
            <w:pPr>
              <w:jc w:val="center"/>
              <w:rPr>
                <w:b/>
                <w:bCs/>
                <w:color w:val="auto"/>
                <w:sz w:val="22"/>
                <w:szCs w:val="22"/>
                <w:highlight w:val="none"/>
                <w:shd w:val="clear" w:color="auto" w:fill="auto"/>
              </w:rPr>
            </w:pPr>
            <w:r>
              <w:rPr>
                <w:b/>
                <w:bCs/>
                <w:color w:val="auto"/>
                <w:sz w:val="22"/>
                <w:szCs w:val="22"/>
                <w:highlight w:val="none"/>
                <w:shd w:val="clear" w:color="auto" w:fill="auto"/>
              </w:rPr>
              <w:t>驻场时间</w:t>
            </w:r>
          </w:p>
        </w:tc>
        <w:tc>
          <w:tcPr>
            <w:tcW w:w="1430" w:type="dxa"/>
            <w:vAlign w:val="center"/>
          </w:tcPr>
          <w:p>
            <w:pPr>
              <w:jc w:val="center"/>
              <w:rPr>
                <w:b/>
                <w:bCs/>
                <w:color w:val="auto"/>
                <w:sz w:val="22"/>
                <w:szCs w:val="22"/>
                <w:highlight w:val="none"/>
                <w:shd w:val="clear" w:color="auto" w:fill="auto"/>
              </w:rPr>
            </w:pPr>
            <w:r>
              <w:rPr>
                <w:b/>
                <w:bCs/>
                <w:color w:val="auto"/>
                <w:sz w:val="22"/>
                <w:szCs w:val="22"/>
                <w:highlight w:val="none"/>
                <w:shd w:val="clear" w:color="auto" w:fill="auto"/>
              </w:rPr>
              <w:t>到位率</w:t>
            </w:r>
          </w:p>
          <w:p>
            <w:pPr>
              <w:jc w:val="center"/>
              <w:rPr>
                <w:b/>
                <w:bCs/>
                <w:color w:val="auto"/>
                <w:sz w:val="22"/>
                <w:szCs w:val="22"/>
                <w:highlight w:val="none"/>
                <w:shd w:val="clear" w:color="auto" w:fill="auto"/>
              </w:rPr>
            </w:pPr>
            <w:r>
              <w:rPr>
                <w:b/>
                <w:bCs/>
                <w:color w:val="auto"/>
                <w:sz w:val="22"/>
                <w:szCs w:val="22"/>
                <w:highlight w:val="none"/>
                <w:shd w:val="clear" w:color="auto" w:fill="auto"/>
              </w:rPr>
              <w:t>（不少于）</w:t>
            </w:r>
          </w:p>
        </w:tc>
        <w:tc>
          <w:tcPr>
            <w:tcW w:w="676" w:type="dxa"/>
            <w:vAlign w:val="center"/>
          </w:tcPr>
          <w:p>
            <w:pPr>
              <w:jc w:val="center"/>
              <w:rPr>
                <w:b/>
                <w:bCs/>
                <w:color w:val="auto"/>
                <w:sz w:val="22"/>
                <w:szCs w:val="22"/>
                <w:highlight w:val="none"/>
                <w:shd w:val="clear" w:color="auto" w:fill="auto"/>
              </w:rPr>
            </w:pPr>
            <w:r>
              <w:rPr>
                <w:b/>
                <w:bCs/>
                <w:color w:val="auto"/>
                <w:sz w:val="22"/>
                <w:szCs w:val="22"/>
                <w:highlight w:val="none"/>
                <w:shd w:val="clear" w:color="auto" w:fill="auto"/>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571" w:type="dxa"/>
            <w:vAlign w:val="center"/>
          </w:tcPr>
          <w:p>
            <w:pPr>
              <w:jc w:val="center"/>
              <w:rPr>
                <w:rFonts w:ascii="宋体" w:hAnsi="宋体" w:cs="宋体"/>
                <w:color w:val="auto"/>
                <w:sz w:val="22"/>
                <w:szCs w:val="22"/>
                <w:highlight w:val="none"/>
              </w:rPr>
            </w:pP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项目负责人</w:t>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（不得兼任监理负责人</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总监</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、造价</w:t>
            </w:r>
            <w:r>
              <w:rPr>
                <w:rFonts w:hint="eastAsia" w:ascii="宋体" w:hAnsi="宋体" w:cs="宋体"/>
                <w:color w:val="auto"/>
                <w:sz w:val="22"/>
                <w:szCs w:val="22"/>
                <w:highlight w:val="none"/>
                <w:lang w:val="en-US" w:eastAsia="zh-CN"/>
              </w:rPr>
              <w:t>咨询</w:t>
            </w:r>
            <w:r>
              <w:rPr>
                <w:rFonts w:hint="eastAsia" w:ascii="宋体" w:hAnsi="宋体" w:cs="宋体"/>
                <w:color w:val="auto"/>
                <w:sz w:val="22"/>
                <w:szCs w:val="22"/>
                <w:highlight w:val="none"/>
              </w:rPr>
              <w:t>负责人）</w:t>
            </w:r>
          </w:p>
        </w:tc>
        <w:tc>
          <w:tcPr>
            <w:tcW w:w="2160" w:type="dxa"/>
            <w:vAlign w:val="center"/>
          </w:tcPr>
          <w:p>
            <w:pPr>
              <w:jc w:val="center"/>
              <w:rPr>
                <w:color w:val="auto"/>
                <w:highlight w:val="none"/>
              </w:rPr>
            </w:pPr>
            <w:r>
              <w:rPr>
                <w:rFonts w:hint="eastAsia" w:ascii="Times New Roman" w:hAnsi="Times New Roman" w:eastAsia="宋体" w:cs="Times New Roman"/>
                <w:color w:val="auto"/>
                <w:sz w:val="22"/>
                <w:szCs w:val="24"/>
                <w:highlight w:val="none"/>
              </w:rPr>
              <w:t>满足招标公告要求</w:t>
            </w:r>
          </w:p>
        </w:tc>
        <w:tc>
          <w:tcPr>
            <w:tcW w:w="1160" w:type="dxa"/>
            <w:vAlign w:val="center"/>
          </w:tcPr>
          <w:p>
            <w:pPr>
              <w:jc w:val="center"/>
              <w:rPr>
                <w:rFonts w:ascii="宋体" w:hAnsi="宋体" w:cs="宋体"/>
                <w:color w:val="auto"/>
                <w:sz w:val="22"/>
                <w:szCs w:val="22"/>
                <w:highlight w:val="none"/>
              </w:rPr>
            </w:pP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600" w:type="dxa"/>
            <w:vAlign w:val="center"/>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符合服务期要求</w:t>
            </w: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天/月</w:t>
            </w:r>
          </w:p>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 </w:t>
            </w:r>
          </w:p>
        </w:tc>
        <w:tc>
          <w:tcPr>
            <w:tcW w:w="676"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需提供社保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871" w:type="dxa"/>
            <w:gridSpan w:val="7"/>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项目管理人员配备</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5人</w:t>
            </w:r>
            <w:r>
              <w:rPr>
                <w:rFonts w:hint="eastAsia" w:ascii="宋体" w:hAnsi="宋体" w:cs="宋体"/>
                <w:color w:val="auto"/>
                <w:sz w:val="22"/>
                <w:szCs w:val="22"/>
                <w:highlight w:val="none"/>
                <w:lang w:eastAsia="zh-CN"/>
              </w:rPr>
              <w:t>）</w:t>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（不得兼任工程监理人员、造价咨询人员）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571" w:type="dxa"/>
            <w:tcBorders>
              <w:top w:val="single" w:color="auto" w:sz="4" w:space="0"/>
              <w:bottom w:val="single" w:color="auto" w:sz="4" w:space="0"/>
            </w:tcBorders>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2</w:t>
            </w:r>
          </w:p>
        </w:tc>
        <w:tc>
          <w:tcPr>
            <w:tcW w:w="2274" w:type="dxa"/>
            <w:tcBorders>
              <w:top w:val="single" w:color="auto" w:sz="4" w:space="0"/>
            </w:tcBorders>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项目管理人员</w:t>
            </w:r>
          </w:p>
        </w:tc>
        <w:tc>
          <w:tcPr>
            <w:tcW w:w="2160" w:type="dxa"/>
            <w:vAlign w:val="center"/>
          </w:tcPr>
          <w:p>
            <w:pPr>
              <w:jc w:val="center"/>
              <w:rPr>
                <w:rFonts w:ascii="宋体" w:hAnsi="宋体" w:cs="宋体"/>
                <w:color w:val="auto"/>
                <w:spacing w:val="-2"/>
                <w:sz w:val="22"/>
                <w:szCs w:val="24"/>
                <w:highlight w:val="none"/>
              </w:rPr>
            </w:pPr>
            <w:r>
              <w:rPr>
                <w:rFonts w:hint="eastAsia" w:ascii="宋体" w:hAnsi="宋体" w:cs="宋体"/>
                <w:color w:val="auto"/>
                <w:spacing w:val="-2"/>
                <w:sz w:val="22"/>
                <w:szCs w:val="24"/>
                <w:highlight w:val="none"/>
              </w:rPr>
              <w:t>具有</w:t>
            </w:r>
            <w:r>
              <w:rPr>
                <w:rFonts w:hint="eastAsia" w:ascii="宋体" w:hAnsi="宋体" w:cs="宋体"/>
                <w:color w:val="auto"/>
                <w:spacing w:val="-2"/>
                <w:sz w:val="22"/>
                <w:szCs w:val="24"/>
                <w:highlight w:val="none"/>
                <w:lang w:val="en-US" w:eastAsia="zh-CN"/>
              </w:rPr>
              <w:t>中级</w:t>
            </w:r>
            <w:r>
              <w:rPr>
                <w:rFonts w:ascii="宋体" w:hAnsi="宋体" w:cs="宋体"/>
                <w:color w:val="auto"/>
                <w:spacing w:val="-2"/>
                <w:sz w:val="22"/>
                <w:szCs w:val="24"/>
                <w:highlight w:val="none"/>
              </w:rPr>
              <w:t>及以上</w:t>
            </w:r>
          </w:p>
          <w:p>
            <w:pPr>
              <w:jc w:val="center"/>
              <w:rPr>
                <w:rFonts w:ascii="宋体" w:hAnsi="宋体" w:cs="宋体"/>
                <w:color w:val="auto"/>
                <w:sz w:val="22"/>
                <w:szCs w:val="22"/>
                <w:highlight w:val="none"/>
              </w:rPr>
            </w:pPr>
            <w:r>
              <w:rPr>
                <w:rFonts w:ascii="宋体" w:hAnsi="宋体" w:cs="宋体"/>
                <w:color w:val="auto"/>
                <w:spacing w:val="-2"/>
                <w:sz w:val="22"/>
                <w:szCs w:val="24"/>
                <w:highlight w:val="none"/>
              </w:rPr>
              <w:t>职称</w:t>
            </w:r>
          </w:p>
        </w:tc>
        <w:tc>
          <w:tcPr>
            <w:tcW w:w="1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3人</w:t>
            </w:r>
          </w:p>
        </w:tc>
        <w:tc>
          <w:tcPr>
            <w:tcW w:w="1600" w:type="dxa"/>
            <w:vAlign w:val="center"/>
          </w:tcPr>
          <w:p>
            <w:pPr>
              <w:ind w:firstLine="480" w:firstLineChars="200"/>
              <w:rPr>
                <w:rFonts w:hint="eastAsia" w:ascii="宋体" w:hAnsi="宋体" w:cs="宋体"/>
                <w:color w:val="auto"/>
                <w:sz w:val="24"/>
                <w:szCs w:val="24"/>
                <w:highlight w:val="none"/>
              </w:rPr>
            </w:pPr>
          </w:p>
          <w:p>
            <w:pPr>
              <w:rPr>
                <w:rFonts w:hint="eastAsia" w:ascii="宋体" w:hAnsi="宋体" w:cs="宋体"/>
                <w:color w:val="auto"/>
                <w:sz w:val="24"/>
                <w:szCs w:val="24"/>
                <w:highlight w:val="none"/>
              </w:rPr>
            </w:pPr>
            <w:r>
              <w:rPr>
                <w:rFonts w:hint="eastAsia" w:ascii="宋体" w:hAnsi="宋体" w:cs="宋体"/>
                <w:color w:val="auto"/>
                <w:sz w:val="22"/>
                <w:szCs w:val="22"/>
                <w:highlight w:val="none"/>
                <w:lang w:val="en-US" w:eastAsia="zh-CN"/>
              </w:rPr>
              <w:t>符合服务期要求</w:t>
            </w:r>
          </w:p>
          <w:p>
            <w:pPr>
              <w:jc w:val="center"/>
              <w:rPr>
                <w:rFonts w:ascii="宋体" w:hAnsi="宋体" w:cs="宋体"/>
                <w:color w:val="auto"/>
                <w:sz w:val="22"/>
                <w:szCs w:val="22"/>
                <w:highlight w:val="none"/>
              </w:rPr>
            </w:pPr>
          </w:p>
        </w:tc>
        <w:tc>
          <w:tcPr>
            <w:tcW w:w="1430" w:type="dxa"/>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pacing w:val="-2"/>
                <w:sz w:val="22"/>
                <w:szCs w:val="24"/>
                <w:highlight w:val="none"/>
              </w:rPr>
              <w:t>天/ 月</w:t>
            </w:r>
          </w:p>
        </w:tc>
        <w:tc>
          <w:tcPr>
            <w:tcW w:w="676" w:type="dxa"/>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需提供社保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571" w:type="dxa"/>
            <w:tcBorders>
              <w:top w:val="single" w:color="auto" w:sz="4" w:space="0"/>
              <w:bottom w:val="single" w:color="auto" w:sz="4" w:space="0"/>
            </w:tcBorders>
            <w:vAlign w:val="center"/>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w:t>
            </w:r>
          </w:p>
        </w:tc>
        <w:tc>
          <w:tcPr>
            <w:tcW w:w="2274" w:type="dxa"/>
            <w:tcBorders>
              <w:top w:val="single" w:color="auto" w:sz="4" w:space="0"/>
            </w:tcBorders>
          </w:tcPr>
          <w:p>
            <w:pPr>
              <w:jc w:val="center"/>
              <w:rPr>
                <w:rFonts w:hint="default" w:ascii="宋体" w:hAnsi="宋体" w:eastAsia="宋体" w:cs="宋体"/>
                <w:color w:val="auto"/>
                <w:sz w:val="22"/>
                <w:szCs w:val="24"/>
                <w:highlight w:val="none"/>
                <w:lang w:val="en-US" w:eastAsia="zh-CN"/>
              </w:rPr>
            </w:pPr>
            <w:r>
              <w:rPr>
                <w:rFonts w:hint="eastAsia" w:ascii="宋体" w:hAnsi="宋体" w:cs="宋体"/>
                <w:color w:val="auto"/>
                <w:sz w:val="22"/>
                <w:szCs w:val="22"/>
                <w:highlight w:val="none"/>
                <w:lang w:val="en-US" w:eastAsia="zh-CN"/>
              </w:rPr>
              <w:t>其它协调人员</w:t>
            </w:r>
          </w:p>
        </w:tc>
        <w:tc>
          <w:tcPr>
            <w:tcW w:w="2160" w:type="dxa"/>
            <w:vAlign w:val="center"/>
          </w:tcPr>
          <w:p>
            <w:pPr>
              <w:jc w:val="center"/>
              <w:rPr>
                <w:rFonts w:ascii="宋体" w:hAnsi="宋体" w:cs="宋体"/>
                <w:color w:val="auto"/>
                <w:spacing w:val="-2"/>
                <w:sz w:val="22"/>
                <w:szCs w:val="24"/>
                <w:highlight w:val="none"/>
              </w:rPr>
            </w:pPr>
          </w:p>
        </w:tc>
        <w:tc>
          <w:tcPr>
            <w:tcW w:w="1160" w:type="dxa"/>
            <w:vAlign w:val="center"/>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2人</w:t>
            </w:r>
          </w:p>
        </w:tc>
        <w:tc>
          <w:tcPr>
            <w:tcW w:w="1600" w:type="dxa"/>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tc>
        <w:tc>
          <w:tcPr>
            <w:tcW w:w="1430" w:type="dxa"/>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pacing w:val="-2"/>
                <w:sz w:val="22"/>
                <w:szCs w:val="24"/>
                <w:highlight w:val="none"/>
              </w:rPr>
              <w:t>天/ 月</w:t>
            </w:r>
          </w:p>
        </w:tc>
        <w:tc>
          <w:tcPr>
            <w:tcW w:w="676" w:type="dxa"/>
          </w:tcPr>
          <w:p>
            <w:pPr>
              <w:jc w:val="center"/>
              <w:rPr>
                <w:rFonts w:hint="eastAsia" w:ascii="宋体" w:hAnsi="宋体" w:cs="宋体"/>
                <w:color w:val="auto"/>
                <w:sz w:val="22"/>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9871" w:type="dxa"/>
            <w:gridSpan w:val="7"/>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工程监理人员配备</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12人</w:t>
            </w:r>
            <w:r>
              <w:rPr>
                <w:rFonts w:hint="eastAsia" w:ascii="宋体" w:hAnsi="宋体" w:cs="宋体"/>
                <w:color w:val="auto"/>
                <w:sz w:val="22"/>
                <w:szCs w:val="22"/>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0" w:hRule="atLeast"/>
        </w:trPr>
        <w:tc>
          <w:tcPr>
            <w:tcW w:w="571"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4</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监理负责人（总监）</w:t>
            </w:r>
          </w:p>
        </w:tc>
        <w:tc>
          <w:tcPr>
            <w:tcW w:w="2160" w:type="dxa"/>
            <w:vAlign w:val="center"/>
          </w:tcPr>
          <w:p>
            <w:pPr>
              <w:jc w:val="center"/>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满足招标公告要求</w:t>
            </w:r>
          </w:p>
        </w:tc>
        <w:tc>
          <w:tcPr>
            <w:tcW w:w="1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60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正式开工后， </w:t>
            </w: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天/月</w:t>
            </w:r>
          </w:p>
        </w:tc>
        <w:tc>
          <w:tcPr>
            <w:tcW w:w="676" w:type="dxa"/>
            <w:vMerge w:val="restart"/>
            <w:tcBorders>
              <w:top w:val="single" w:color="auto" w:sz="4" w:space="0"/>
            </w:tcBorders>
          </w:tcPr>
          <w:p>
            <w:pPr>
              <w:jc w:val="center"/>
              <w:rPr>
                <w:rFonts w:hint="eastAsia" w:ascii="宋体" w:hAnsi="宋体" w:cs="宋体"/>
                <w:color w:val="auto"/>
                <w:sz w:val="22"/>
                <w:szCs w:val="22"/>
                <w:highlight w:val="none"/>
              </w:rPr>
            </w:pPr>
          </w:p>
          <w:p>
            <w:pPr>
              <w:jc w:val="center"/>
              <w:rPr>
                <w:rFonts w:hint="eastAsia" w:ascii="宋体" w:hAnsi="宋体" w:cs="宋体"/>
                <w:color w:val="auto"/>
                <w:sz w:val="22"/>
                <w:szCs w:val="22"/>
                <w:highlight w:val="none"/>
              </w:rPr>
            </w:pPr>
          </w:p>
          <w:p>
            <w:pPr>
              <w:jc w:val="center"/>
              <w:rPr>
                <w:rFonts w:hint="eastAsia" w:ascii="宋体" w:hAnsi="宋体" w:cs="宋体"/>
                <w:color w:val="auto"/>
                <w:sz w:val="22"/>
                <w:szCs w:val="22"/>
                <w:highlight w:val="none"/>
              </w:rPr>
            </w:pPr>
          </w:p>
          <w:p>
            <w:pPr>
              <w:jc w:val="center"/>
              <w:rPr>
                <w:rFonts w:hint="eastAsia" w:ascii="宋体" w:hAnsi="宋体" w:cs="宋体"/>
                <w:color w:val="auto"/>
                <w:sz w:val="22"/>
                <w:szCs w:val="22"/>
                <w:highlight w:val="none"/>
              </w:rPr>
            </w:pPr>
          </w:p>
          <w:p>
            <w:pPr>
              <w:jc w:val="center"/>
              <w:rPr>
                <w:rFonts w:hint="eastAsia" w:ascii="宋体" w:hAnsi="宋体" w:cs="宋体"/>
                <w:color w:val="auto"/>
                <w:sz w:val="22"/>
                <w:szCs w:val="22"/>
                <w:highlight w:val="none"/>
              </w:rPr>
            </w:pPr>
          </w:p>
          <w:p>
            <w:pPr>
              <w:jc w:val="center"/>
              <w:rPr>
                <w:rFonts w:hint="eastAsia" w:ascii="宋体" w:hAnsi="宋体" w:cs="宋体"/>
                <w:color w:val="auto"/>
                <w:sz w:val="22"/>
                <w:szCs w:val="22"/>
                <w:highlight w:val="none"/>
              </w:rPr>
            </w:pP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需提供社保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71" w:hRule="atLeast"/>
        </w:trPr>
        <w:tc>
          <w:tcPr>
            <w:tcW w:w="571"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5</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专业监理工程师</w:t>
            </w:r>
          </w:p>
        </w:tc>
        <w:tc>
          <w:tcPr>
            <w:tcW w:w="2160" w:type="dxa"/>
            <w:vAlign w:val="center"/>
          </w:tcPr>
          <w:p>
            <w:pPr>
              <w:jc w:val="center"/>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市政公用工程专业监理工程师</w:t>
            </w:r>
          </w:p>
        </w:tc>
        <w:tc>
          <w:tcPr>
            <w:tcW w:w="1160"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5</w:t>
            </w:r>
          </w:p>
        </w:tc>
        <w:tc>
          <w:tcPr>
            <w:tcW w:w="160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天/月</w:t>
            </w:r>
          </w:p>
        </w:tc>
        <w:tc>
          <w:tcPr>
            <w:tcW w:w="676" w:type="dxa"/>
            <w:vMerge w:val="continue"/>
          </w:tcPr>
          <w:p>
            <w:pPr>
              <w:jc w:val="center"/>
              <w:rPr>
                <w:rFonts w:ascii="宋体" w:hAnsi="宋体" w:cs="宋体"/>
                <w:color w:val="auto"/>
                <w:sz w:val="22"/>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7" w:hRule="atLeast"/>
        </w:trPr>
        <w:tc>
          <w:tcPr>
            <w:tcW w:w="571"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6</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监理员</w:t>
            </w:r>
          </w:p>
        </w:tc>
        <w:tc>
          <w:tcPr>
            <w:tcW w:w="2160" w:type="dxa"/>
            <w:vAlign w:val="center"/>
          </w:tcPr>
          <w:p>
            <w:pPr>
              <w:jc w:val="center"/>
              <w:rPr>
                <w:rFonts w:ascii="仿宋_GB2312" w:hAnsi="仿宋_GB2312" w:eastAsia="仿宋_GB2312" w:cs="仿宋_GB2312"/>
                <w:color w:val="auto"/>
                <w:kern w:val="16"/>
                <w:sz w:val="24"/>
                <w:highlight w:val="none"/>
              </w:rPr>
            </w:pPr>
            <w:r>
              <w:rPr>
                <w:rFonts w:hint="eastAsia"/>
                <w:color w:val="auto"/>
                <w:sz w:val="22"/>
                <w:szCs w:val="24"/>
                <w:highlight w:val="none"/>
              </w:rPr>
              <w:t>具有《监理员培训合格证书》或《专业监理工程培训合格证书》</w:t>
            </w:r>
          </w:p>
        </w:tc>
        <w:tc>
          <w:tcPr>
            <w:tcW w:w="1160"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5</w:t>
            </w:r>
          </w:p>
        </w:tc>
        <w:tc>
          <w:tcPr>
            <w:tcW w:w="160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天/月</w:t>
            </w:r>
          </w:p>
        </w:tc>
        <w:tc>
          <w:tcPr>
            <w:tcW w:w="676" w:type="dxa"/>
            <w:vMerge w:val="continue"/>
          </w:tcPr>
          <w:p>
            <w:pPr>
              <w:jc w:val="center"/>
              <w:rPr>
                <w:rFonts w:ascii="宋体" w:hAnsi="宋体" w:cs="宋体"/>
                <w:color w:val="auto"/>
                <w:sz w:val="22"/>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5" w:hRule="atLeast"/>
        </w:trPr>
        <w:tc>
          <w:tcPr>
            <w:tcW w:w="571"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7</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监理资料员</w:t>
            </w:r>
          </w:p>
        </w:tc>
        <w:tc>
          <w:tcPr>
            <w:tcW w:w="2160" w:type="dxa"/>
            <w:vAlign w:val="center"/>
          </w:tcPr>
          <w:p>
            <w:pPr>
              <w:jc w:val="center"/>
              <w:rPr>
                <w:color w:val="auto"/>
                <w:sz w:val="22"/>
                <w:szCs w:val="24"/>
                <w:highlight w:val="none"/>
              </w:rPr>
            </w:pPr>
            <w:r>
              <w:rPr>
                <w:rFonts w:hint="eastAsia" w:ascii="宋体" w:hAnsi="宋体" w:cs="宋体"/>
                <w:color w:val="auto"/>
                <w:sz w:val="22"/>
                <w:szCs w:val="22"/>
                <w:highlight w:val="none"/>
              </w:rPr>
              <w:t>具有助理工程师及以上职称</w:t>
            </w:r>
          </w:p>
        </w:tc>
        <w:tc>
          <w:tcPr>
            <w:tcW w:w="1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600" w:type="dxa"/>
            <w:vAlign w:val="center"/>
          </w:tcPr>
          <w:p>
            <w:pPr>
              <w:jc w:val="center"/>
              <w:rPr>
                <w:color w:val="auto"/>
                <w:sz w:val="22"/>
                <w:szCs w:val="24"/>
                <w:highlight w:val="none"/>
              </w:rPr>
            </w:pPr>
            <w:r>
              <w:rPr>
                <w:rFonts w:hint="eastAsia" w:ascii="宋体" w:hAnsi="宋体" w:cs="宋体"/>
                <w:color w:val="auto"/>
                <w:sz w:val="22"/>
                <w:szCs w:val="22"/>
                <w:highlight w:val="none"/>
                <w:lang w:val="en-US" w:eastAsia="zh-CN"/>
              </w:rPr>
              <w:t>符合服务期要求</w:t>
            </w: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 月</w:t>
            </w:r>
          </w:p>
        </w:tc>
        <w:tc>
          <w:tcPr>
            <w:tcW w:w="676" w:type="dxa"/>
            <w:vMerge w:val="continue"/>
          </w:tcPr>
          <w:p>
            <w:pPr>
              <w:jc w:val="center"/>
              <w:rPr>
                <w:rFonts w:ascii="宋体" w:hAnsi="宋体" w:cs="宋体"/>
                <w:color w:val="auto"/>
                <w:sz w:val="22"/>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5" w:hRule="atLeast"/>
        </w:trPr>
        <w:tc>
          <w:tcPr>
            <w:tcW w:w="9871" w:type="dxa"/>
            <w:gridSpan w:val="7"/>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造价咨询人员配备</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5人</w:t>
            </w:r>
            <w:r>
              <w:rPr>
                <w:rFonts w:hint="eastAsia" w:ascii="宋体" w:hAnsi="宋体" w:cs="宋体"/>
                <w:color w:val="auto"/>
                <w:sz w:val="22"/>
                <w:szCs w:val="22"/>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0" w:hRule="atLeast"/>
        </w:trPr>
        <w:tc>
          <w:tcPr>
            <w:tcW w:w="571" w:type="dxa"/>
            <w:vAlign w:val="center"/>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8</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造价</w:t>
            </w:r>
            <w:r>
              <w:rPr>
                <w:rFonts w:hint="eastAsia" w:ascii="宋体" w:hAnsi="宋体" w:cs="宋体"/>
                <w:color w:val="auto"/>
                <w:sz w:val="22"/>
                <w:szCs w:val="22"/>
                <w:highlight w:val="none"/>
                <w:lang w:val="en-US" w:eastAsia="zh-CN"/>
              </w:rPr>
              <w:t>咨询</w:t>
            </w:r>
            <w:r>
              <w:rPr>
                <w:rFonts w:hint="eastAsia" w:ascii="宋体" w:hAnsi="宋体" w:cs="宋体"/>
                <w:color w:val="auto"/>
                <w:sz w:val="22"/>
                <w:szCs w:val="22"/>
                <w:highlight w:val="none"/>
              </w:rPr>
              <w:t>负责人</w:t>
            </w:r>
          </w:p>
        </w:tc>
        <w:tc>
          <w:tcPr>
            <w:tcW w:w="2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满足招标公告要求</w:t>
            </w:r>
          </w:p>
        </w:tc>
        <w:tc>
          <w:tcPr>
            <w:tcW w:w="1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60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tc>
        <w:tc>
          <w:tcPr>
            <w:tcW w:w="1430" w:type="dxa"/>
            <w:vAlign w:val="center"/>
          </w:tcPr>
          <w:p>
            <w:pPr>
              <w:jc w:val="both"/>
              <w:rPr>
                <w:rFonts w:ascii="宋体" w:hAnsi="宋体" w:cs="宋体"/>
                <w:color w:val="auto"/>
                <w:sz w:val="22"/>
                <w:szCs w:val="22"/>
                <w:highlight w:val="none"/>
              </w:rPr>
            </w:pP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不少于3</w:t>
            </w:r>
            <w:r>
              <w:rPr>
                <w:rFonts w:hint="eastAsia" w:ascii="宋体" w:hAnsi="宋体" w:cs="宋体"/>
                <w:color w:val="auto"/>
                <w:sz w:val="22"/>
                <w:szCs w:val="22"/>
                <w:highlight w:val="none"/>
                <w:lang w:val="en-US" w:eastAsia="zh-CN"/>
              </w:rPr>
              <w:t>个工作日</w:t>
            </w:r>
            <w:r>
              <w:rPr>
                <w:rFonts w:hint="eastAsia" w:ascii="宋体" w:hAnsi="宋体" w:cs="宋体"/>
                <w:color w:val="auto"/>
                <w:sz w:val="22"/>
                <w:szCs w:val="22"/>
                <w:highlight w:val="none"/>
              </w:rPr>
              <w:t>/周</w:t>
            </w:r>
          </w:p>
        </w:tc>
        <w:tc>
          <w:tcPr>
            <w:tcW w:w="676" w:type="dxa"/>
            <w:tcBorders>
              <w:top w:val="single" w:color="auto" w:sz="4" w:space="0"/>
            </w:tcBorders>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需提供社保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95" w:hRule="atLeast"/>
        </w:trPr>
        <w:tc>
          <w:tcPr>
            <w:tcW w:w="571" w:type="dxa"/>
            <w:vAlign w:val="center"/>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9</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市政</w:t>
            </w:r>
            <w:r>
              <w:rPr>
                <w:rFonts w:hint="eastAsia" w:ascii="宋体" w:hAnsi="宋体" w:cs="宋体"/>
                <w:color w:val="auto"/>
                <w:sz w:val="22"/>
                <w:szCs w:val="22"/>
                <w:highlight w:val="none"/>
              </w:rPr>
              <w:t>专业造价</w:t>
            </w:r>
          </w:p>
        </w:tc>
        <w:tc>
          <w:tcPr>
            <w:tcW w:w="2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具有二级及以上注册造价工程师</w:t>
            </w:r>
            <w:r>
              <w:rPr>
                <w:rFonts w:hint="eastAsia" w:ascii="宋体" w:hAnsi="宋体" w:cs="宋体"/>
                <w:color w:val="auto"/>
                <w:sz w:val="22"/>
                <w:szCs w:val="22"/>
                <w:highlight w:val="none"/>
                <w:lang w:val="en-US" w:eastAsia="zh-CN"/>
              </w:rPr>
              <w:t>证书</w:t>
            </w:r>
            <w:r>
              <w:rPr>
                <w:rFonts w:hint="eastAsia" w:ascii="宋体" w:hAnsi="宋体" w:cs="宋体"/>
                <w:color w:val="auto"/>
                <w:sz w:val="22"/>
                <w:szCs w:val="22"/>
                <w:highlight w:val="none"/>
              </w:rPr>
              <w:t>【“建人[2018]67 号”文发布之前取得的造价员资格证书与二级注册造价工程师等同、取得的造价工程师执业资格证书与一级注册造价工程师等同】</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且</w:t>
            </w:r>
            <w:r>
              <w:rPr>
                <w:rFonts w:hint="eastAsia" w:ascii="宋体" w:hAnsi="宋体" w:cs="宋体"/>
                <w:color w:val="auto"/>
                <w:sz w:val="22"/>
                <w:szCs w:val="22"/>
                <w:highlight w:val="none"/>
              </w:rPr>
              <w:t>具有工程师及以上职称。</w:t>
            </w:r>
          </w:p>
        </w:tc>
        <w:tc>
          <w:tcPr>
            <w:tcW w:w="1160" w:type="dxa"/>
            <w:vAlign w:val="center"/>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3人，每标段至少1名</w:t>
            </w:r>
          </w:p>
        </w:tc>
        <w:tc>
          <w:tcPr>
            <w:tcW w:w="160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p>
            <w:pPr>
              <w:jc w:val="center"/>
              <w:rPr>
                <w:rFonts w:ascii="宋体" w:hAnsi="宋体" w:cs="宋体"/>
                <w:color w:val="auto"/>
                <w:sz w:val="22"/>
                <w:szCs w:val="22"/>
                <w:highlight w:val="none"/>
              </w:rPr>
            </w:pP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正式开工后， </w:t>
            </w: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天/月</w:t>
            </w:r>
          </w:p>
        </w:tc>
        <w:tc>
          <w:tcPr>
            <w:tcW w:w="676" w:type="dxa"/>
            <w:tcBorders>
              <w:top w:val="single" w:color="auto" w:sz="4" w:space="0"/>
            </w:tcBorders>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需提供社保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95" w:hRule="atLeast"/>
        </w:trPr>
        <w:tc>
          <w:tcPr>
            <w:tcW w:w="571" w:type="dxa"/>
            <w:vAlign w:val="center"/>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p>
        </w:tc>
        <w:tc>
          <w:tcPr>
            <w:tcW w:w="2274"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安装专业造价</w:t>
            </w:r>
          </w:p>
        </w:tc>
        <w:tc>
          <w:tcPr>
            <w:tcW w:w="2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具有二级及以上注册造价工程师</w:t>
            </w:r>
            <w:r>
              <w:rPr>
                <w:rFonts w:hint="eastAsia" w:ascii="宋体" w:hAnsi="宋体" w:cs="宋体"/>
                <w:color w:val="auto"/>
                <w:sz w:val="22"/>
                <w:szCs w:val="22"/>
                <w:highlight w:val="none"/>
                <w:lang w:val="en-US" w:eastAsia="zh-CN"/>
              </w:rPr>
              <w:t>证书</w:t>
            </w:r>
            <w:r>
              <w:rPr>
                <w:rFonts w:hint="eastAsia" w:ascii="宋体" w:hAnsi="宋体" w:cs="宋体"/>
                <w:color w:val="auto"/>
                <w:sz w:val="22"/>
                <w:szCs w:val="22"/>
                <w:highlight w:val="none"/>
              </w:rPr>
              <w:t>【“建人[2018]67 号”文发布 之前取得的造价员资格证书与二级注册造价工程师等同、取得的造价工程师执业资格证书与一级注册造价工程师等同】</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且</w:t>
            </w:r>
            <w:r>
              <w:rPr>
                <w:rFonts w:hint="eastAsia" w:ascii="宋体" w:hAnsi="宋体" w:cs="宋体"/>
                <w:color w:val="auto"/>
                <w:sz w:val="22"/>
                <w:szCs w:val="22"/>
                <w:highlight w:val="none"/>
              </w:rPr>
              <w:t>具有工程师及以上职称</w:t>
            </w:r>
          </w:p>
        </w:tc>
        <w:tc>
          <w:tcPr>
            <w:tcW w:w="1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rPr>
              <w:t>人</w:t>
            </w:r>
          </w:p>
        </w:tc>
        <w:tc>
          <w:tcPr>
            <w:tcW w:w="160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符合服务期要求</w:t>
            </w:r>
          </w:p>
        </w:tc>
        <w:tc>
          <w:tcPr>
            <w:tcW w:w="143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正式开工后， </w:t>
            </w: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天/月</w:t>
            </w:r>
          </w:p>
        </w:tc>
        <w:tc>
          <w:tcPr>
            <w:tcW w:w="676" w:type="dxa"/>
            <w:tcBorders>
              <w:top w:val="single" w:color="auto" w:sz="4" w:space="0"/>
            </w:tcBorders>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需提供社保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5005" w:type="dxa"/>
            <w:gridSpan w:val="3"/>
            <w:vAlign w:val="center"/>
          </w:tcPr>
          <w:p>
            <w:pPr>
              <w:tabs>
                <w:tab w:val="left" w:pos="3496"/>
              </w:tabs>
              <w:jc w:val="left"/>
              <w:rPr>
                <w:rFonts w:ascii="宋体" w:hAnsi="宋体" w:cs="宋体"/>
                <w:color w:val="auto"/>
                <w:sz w:val="22"/>
                <w:szCs w:val="22"/>
                <w:highlight w:val="none"/>
              </w:rPr>
            </w:pPr>
            <w:r>
              <w:rPr>
                <w:rFonts w:hint="eastAsia" w:ascii="宋体" w:hAnsi="宋体" w:cs="宋体"/>
                <w:color w:val="auto"/>
                <w:sz w:val="22"/>
                <w:szCs w:val="22"/>
                <w:highlight w:val="none"/>
              </w:rPr>
              <w:tab/>
            </w:r>
            <w:r>
              <w:rPr>
                <w:rFonts w:hint="eastAsia" w:ascii="宋体" w:hAnsi="宋体" w:cs="宋体"/>
                <w:color w:val="auto"/>
                <w:sz w:val="22"/>
                <w:szCs w:val="22"/>
                <w:highlight w:val="none"/>
              </w:rPr>
              <w:t>合计</w:t>
            </w:r>
          </w:p>
        </w:tc>
        <w:tc>
          <w:tcPr>
            <w:tcW w:w="1160" w:type="dxa"/>
            <w:vAlign w:val="center"/>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23</w:t>
            </w:r>
            <w:r>
              <w:rPr>
                <w:rFonts w:hint="eastAsia" w:ascii="宋体" w:hAnsi="宋体" w:cs="宋体"/>
                <w:color w:val="auto"/>
                <w:sz w:val="22"/>
                <w:szCs w:val="22"/>
                <w:highlight w:val="none"/>
              </w:rPr>
              <w:t>人</w:t>
            </w:r>
          </w:p>
        </w:tc>
        <w:tc>
          <w:tcPr>
            <w:tcW w:w="1600" w:type="dxa"/>
            <w:vAlign w:val="center"/>
          </w:tcPr>
          <w:p>
            <w:pPr>
              <w:jc w:val="center"/>
              <w:rPr>
                <w:rFonts w:ascii="宋体" w:hAnsi="宋体" w:cs="宋体"/>
                <w:color w:val="auto"/>
                <w:sz w:val="22"/>
                <w:szCs w:val="22"/>
                <w:highlight w:val="none"/>
              </w:rPr>
            </w:pPr>
          </w:p>
        </w:tc>
        <w:tc>
          <w:tcPr>
            <w:tcW w:w="1430" w:type="dxa"/>
            <w:vAlign w:val="center"/>
          </w:tcPr>
          <w:p>
            <w:pPr>
              <w:jc w:val="center"/>
              <w:rPr>
                <w:rFonts w:ascii="宋体" w:hAnsi="宋体" w:cs="宋体"/>
                <w:color w:val="auto"/>
                <w:sz w:val="22"/>
                <w:szCs w:val="22"/>
                <w:highlight w:val="none"/>
              </w:rPr>
            </w:pPr>
          </w:p>
        </w:tc>
        <w:tc>
          <w:tcPr>
            <w:tcW w:w="676" w:type="dxa"/>
          </w:tcPr>
          <w:p>
            <w:pPr>
              <w:jc w:val="center"/>
              <w:rPr>
                <w:rFonts w:ascii="宋体" w:hAnsi="宋体" w:cs="宋体"/>
                <w:color w:val="auto"/>
                <w:sz w:val="22"/>
                <w:szCs w:val="22"/>
                <w:highlight w:val="none"/>
              </w:rPr>
            </w:pPr>
          </w:p>
        </w:tc>
      </w:tr>
    </w:tbl>
    <w:p>
      <w:pPr>
        <w:spacing w:line="420" w:lineRule="exact"/>
        <w:ind w:right="346" w:rightChars="173"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（1）此表为招标人的最低人员需求，投标人可根据招标项目工程内容、规模、工期等特点并结合本公司的自身实力综合考虑，增加配备岗位及数量。 </w:t>
      </w:r>
    </w:p>
    <w:p>
      <w:pPr>
        <w:spacing w:line="420" w:lineRule="exact"/>
        <w:ind w:right="346" w:rightChars="173"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（2）项目人员在进场前，委托人将就其资格条件、专业能力、管理能力进行复核并考察，经委托人确认后方可进场。项目管理团队及其成员由委托人直接管理与考核，不得与监理团队重复。 </w:t>
      </w:r>
    </w:p>
    <w:p>
      <w:pPr>
        <w:spacing w:line="420" w:lineRule="exact"/>
        <w:ind w:right="346" w:rightChars="173"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（3）上述驻场时间及到位率为最低要求，如遇项目赶进度、抢工期等特殊情况，需根据招标人要求随时响应，费用包含在投标总价中，中标后不予调整。 </w:t>
      </w:r>
    </w:p>
    <w:p>
      <w:pPr>
        <w:spacing w:line="420" w:lineRule="exact"/>
        <w:ind w:right="346" w:rightChars="173"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（4）具有注册资格人员的注册企业与投标人必须一致，均为在职职工，不包括离、退休返聘人员</w:t>
      </w:r>
      <w:r>
        <w:rPr>
          <w:rFonts w:hint="eastAsia" w:ascii="宋体" w:hAnsi="宋体" w:cs="宋体"/>
          <w:color w:val="auto"/>
          <w:sz w:val="24"/>
          <w:szCs w:val="24"/>
          <w:highlight w:val="none"/>
          <w:lang w:eastAsia="zh-CN"/>
        </w:rPr>
        <w:t>。</w:t>
      </w:r>
    </w:p>
    <w:p>
      <w:pPr>
        <w:spacing w:line="420" w:lineRule="exact"/>
        <w:ind w:right="346" w:rightChars="173"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项目组织机构人员配备</w:t>
      </w:r>
      <w:r>
        <w:rPr>
          <w:rFonts w:hint="eastAsia" w:ascii="宋体" w:hAnsi="宋体" w:cs="宋体"/>
          <w:color w:val="auto"/>
          <w:sz w:val="24"/>
          <w:szCs w:val="24"/>
          <w:highlight w:val="none"/>
          <w:lang w:val="en-US" w:eastAsia="zh-CN"/>
        </w:rPr>
        <w:t>表》中的人员</w:t>
      </w:r>
      <w:r>
        <w:rPr>
          <w:rFonts w:hint="eastAsia" w:ascii="宋体" w:hAnsi="宋体" w:eastAsia="宋体" w:cs="宋体"/>
          <w:color w:val="auto"/>
          <w:sz w:val="24"/>
          <w:szCs w:val="24"/>
          <w:highlight w:val="none"/>
        </w:rPr>
        <w:t>须提供缴费期限包含2023年0</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月、2023年0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月、2023年0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月投标人所属社保机构出具的个人养老保险缴纳清单或证明，以到账为准（除分公司外，缴纳单位和投标单位名称必须一致，并加盖社保缴费专用章或电子专用章）；若为事业编制的，以提供缴费期限包含2023年0</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月、2023年0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月、2023年0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月由人事代理中心出具的</w:t>
      </w:r>
      <w:r>
        <w:rPr>
          <w:rFonts w:hint="eastAsia" w:ascii="Times New Roman" w:hAnsi="宋体" w:eastAsia="宋体" w:cs="宋体"/>
          <w:color w:val="auto"/>
          <w:sz w:val="24"/>
          <w:szCs w:val="24"/>
          <w:highlight w:val="none"/>
        </w:rPr>
        <w:t>个人养老保险缴纳清单或证明</w:t>
      </w:r>
      <w:r>
        <w:rPr>
          <w:rFonts w:hint="eastAsia" w:ascii="宋体" w:hAnsi="宋体" w:eastAsia="宋体" w:cs="宋体"/>
          <w:color w:val="auto"/>
          <w:sz w:val="24"/>
          <w:szCs w:val="24"/>
          <w:highlight w:val="none"/>
        </w:rPr>
        <w:t>（需加盖人事代理中心证明专用章【或电子专用章】）。</w:t>
      </w:r>
      <w:r>
        <w:rPr>
          <w:rFonts w:hint="eastAsia" w:ascii="宋体" w:hAnsi="宋体" w:eastAsia="宋体" w:cs="宋体"/>
          <w:color w:val="auto"/>
          <w:sz w:val="24"/>
          <w:szCs w:val="24"/>
          <w:highlight w:val="none"/>
          <w:lang w:val="en-US" w:eastAsia="zh-CN"/>
        </w:rPr>
        <w:t>项目管理人员</w:t>
      </w:r>
      <w:r>
        <w:rPr>
          <w:rFonts w:hint="eastAsia" w:ascii="宋体" w:hAnsi="宋体" w:cs="宋体"/>
          <w:color w:val="auto"/>
          <w:sz w:val="24"/>
          <w:szCs w:val="24"/>
          <w:highlight w:val="none"/>
          <w:lang w:val="en-US" w:eastAsia="zh-CN"/>
        </w:rPr>
        <w:t>配备</w:t>
      </w:r>
      <w:r>
        <w:rPr>
          <w:rFonts w:hint="eastAsia" w:ascii="宋体" w:hAnsi="宋体" w:eastAsia="宋体" w:cs="宋体"/>
          <w:color w:val="auto"/>
          <w:sz w:val="24"/>
          <w:szCs w:val="24"/>
          <w:highlight w:val="none"/>
          <w:lang w:val="en-US" w:eastAsia="zh-CN"/>
        </w:rPr>
        <w:t>其它协调人员无须提供社保。</w:t>
      </w:r>
    </w:p>
    <w:p>
      <w:pPr>
        <w:pStyle w:val="7"/>
        <w:spacing w:line="420" w:lineRule="exact"/>
        <w:ind w:left="0" w:firstLine="241" w:firstLineChars="100"/>
        <w:rPr>
          <w:rFonts w:hint="default" w:ascii="宋体" w:hAnsi="宋体" w:eastAsia="宋体" w:cs="宋体"/>
          <w:color w:val="auto"/>
          <w:highlight w:val="none"/>
          <w:lang w:val="en-US" w:eastAsia="zh-CN"/>
        </w:rPr>
      </w:pPr>
      <w:r>
        <w:rPr>
          <w:rFonts w:hint="eastAsia" w:cs="宋体"/>
          <w:color w:val="auto"/>
          <w:highlight w:val="none"/>
          <w:lang w:val="en-US" w:eastAsia="zh-CN"/>
        </w:rPr>
        <w:t>四、服务期</w:t>
      </w:r>
    </w:p>
    <w:p>
      <w:pPr>
        <w:pStyle w:val="10"/>
        <w:spacing w:before="46" w:line="420" w:lineRule="exact"/>
        <w:ind w:right="146" w:firstLine="54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全过程工程咨询服务期自工程咨询合同签订之日起至工程通过竣工验收、备案、结算完成及工程缺陷责任期满为止。 </w:t>
      </w:r>
    </w:p>
    <w:p>
      <w:pPr>
        <w:pStyle w:val="7"/>
        <w:spacing w:line="420" w:lineRule="exact"/>
        <w:ind w:left="0" w:firstLine="241" w:firstLineChars="1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、报价要求</w:t>
      </w:r>
      <w:r>
        <w:rPr>
          <w:rFonts w:hint="eastAsia" w:ascii="宋体" w:hAnsi="宋体" w:eastAsia="宋体" w:cs="宋体"/>
          <w:color w:val="auto"/>
          <w:w w:val="99"/>
          <w:highlight w:val="none"/>
        </w:rPr>
        <w:t xml:space="preserve"> </w:t>
      </w:r>
    </w:p>
    <w:p>
      <w:pPr>
        <w:spacing w:line="420" w:lineRule="exact"/>
        <w:ind w:right="346" w:rightChars="173"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投标人应根据本招标文件所提供的资料及全过程工程咨询服务范围、内容，参照国家有关取费标准，并结合自身工程全过程工程咨询服务能力和投入，按招标文件的规定进行竞争报价。  </w:t>
      </w:r>
    </w:p>
    <w:p>
      <w:pPr>
        <w:spacing w:line="420" w:lineRule="exact"/>
        <w:ind w:firstLine="480"/>
        <w:rPr>
          <w:rFonts w:hint="eastAsia" w:ascii="宋体" w:hAnsi="宋体" w:eastAsia="宋体" w:cs="宋体"/>
          <w:color w:val="auto"/>
          <w:sz w:val="24"/>
          <w:szCs w:val="24"/>
          <w:highlight w:val="none"/>
        </w:rPr>
      </w:pPr>
      <w:bookmarkStart w:id="953" w:name="_bookmark5"/>
      <w:bookmarkEnd w:id="953"/>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工程咨询服务费由监理费、造价咨询费、项目建设管理费</w:t>
      </w:r>
      <w:r>
        <w:rPr>
          <w:rFonts w:hint="eastAsia" w:ascii="宋体" w:hAnsi="宋体" w:eastAsia="宋体" w:cs="宋体"/>
          <w:color w:val="auto"/>
          <w:sz w:val="24"/>
          <w:szCs w:val="24"/>
          <w:highlight w:val="none"/>
          <w:lang w:val="en-US" w:eastAsia="zh-CN"/>
        </w:rPr>
        <w:t>组成，</w:t>
      </w:r>
      <w:r>
        <w:rPr>
          <w:rFonts w:hint="eastAsia" w:ascii="宋体" w:hAnsi="宋体" w:cs="宋体"/>
          <w:color w:val="auto"/>
          <w:sz w:val="24"/>
          <w:szCs w:val="24"/>
          <w:highlight w:val="none"/>
          <w:lang w:val="en-US" w:eastAsia="zh-CN"/>
        </w:rPr>
        <w:t>投标报价</w:t>
      </w:r>
      <w:r>
        <w:rPr>
          <w:rFonts w:hint="eastAsia" w:ascii="宋体" w:hAnsi="宋体" w:eastAsia="宋体" w:cs="宋体"/>
          <w:color w:val="auto"/>
          <w:sz w:val="24"/>
          <w:szCs w:val="24"/>
          <w:highlight w:val="none"/>
        </w:rPr>
        <w:t>包括了完成本项目的全过程工程咨询和其相关服务所需的人工费、应委托人要求节假日期间安排人员在岗值班产生的加班费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现场测量费、专家咨询费、外出考察费、会议费、差旅费、管理费、通讯费、</w:t>
      </w:r>
      <w:r>
        <w:rPr>
          <w:rFonts w:hint="eastAsia" w:ascii="宋体" w:hAnsi="宋体" w:eastAsia="宋体" w:cs="宋体"/>
          <w:color w:val="auto"/>
          <w:sz w:val="24"/>
          <w:szCs w:val="24"/>
          <w:highlight w:val="none"/>
          <w:lang w:val="en-US" w:eastAsia="zh-CN"/>
        </w:rPr>
        <w:t>办公及生活设备、</w:t>
      </w:r>
      <w:r>
        <w:rPr>
          <w:rFonts w:hint="eastAsia" w:ascii="宋体" w:hAnsi="宋体" w:eastAsia="宋体" w:cs="宋体"/>
          <w:color w:val="auto"/>
          <w:sz w:val="24"/>
          <w:szCs w:val="24"/>
          <w:highlight w:val="none"/>
        </w:rPr>
        <w:t>设备（仪器）费、利润、进驻人员工伤保险费和意外伤害保险费、税金、风险费以及政策和行业规定的各项税费，凡未列入的均将被认为已包含在投标总价中不再单独计取。因国家、省、市政策性原因或涉外因素、不可抗力等导致工程停工的，连续停工3个月及以上的，由双方依据已完成的阶段任务或已完成的工作量等协商解决。</w:t>
      </w:r>
    </w:p>
    <w:p>
      <w:pPr>
        <w:spacing w:line="4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参加各阶段审查会、工程例会、配合法定审计，参加开工、交工、竣工、交付使用典礼活动所</w:t>
      </w:r>
      <w:r>
        <w:rPr>
          <w:rFonts w:hint="eastAsia" w:ascii="宋体" w:hAnsi="宋体" w:cs="宋体"/>
          <w:color w:val="auto"/>
          <w:sz w:val="24"/>
          <w:szCs w:val="24"/>
          <w:highlight w:val="none"/>
          <w:lang w:val="en-US" w:eastAsia="zh-CN"/>
        </w:rPr>
        <w:t>需费用</w:t>
      </w:r>
      <w:r>
        <w:rPr>
          <w:rFonts w:hint="eastAsia" w:ascii="宋体" w:hAnsi="宋体" w:eastAsia="宋体" w:cs="宋体"/>
          <w:color w:val="auto"/>
          <w:sz w:val="24"/>
          <w:szCs w:val="24"/>
          <w:highlight w:val="none"/>
        </w:rPr>
        <w:t>。</w:t>
      </w:r>
    </w:p>
    <w:p>
      <w:pPr>
        <w:spacing w:line="4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rPr>
        <w:t>本项目设基准价，采用浮动率形式报价，以%为单位。具体收费标准如下：参照《建设工程监理与相关服务收费管理规定》的通知发改价格〔2007〕670号、《浙江省物价局关于进一步完善工程造价咨询服务收费的通知（浙价服〔2009〕84号）》、</w:t>
      </w:r>
      <w:r>
        <w:rPr>
          <w:rFonts w:hint="eastAsia" w:ascii="宋体" w:hAnsi="宋体" w:eastAsia="宋体" w:cs="宋体"/>
          <w:color w:val="auto"/>
          <w:sz w:val="24"/>
          <w:szCs w:val="24"/>
          <w:highlight w:val="none"/>
          <w:lang w:val="en-US" w:eastAsia="zh-CN"/>
        </w:rPr>
        <w:t>《关于进一步放开建设项目专业服务价格的通知》（发改价格[2015]299号文）、</w:t>
      </w:r>
      <w:r>
        <w:rPr>
          <w:rFonts w:hint="eastAsia" w:ascii="宋体" w:hAnsi="宋体" w:eastAsia="宋体" w:cs="宋体"/>
          <w:color w:val="auto"/>
          <w:sz w:val="24"/>
          <w:szCs w:val="24"/>
          <w:highlight w:val="none"/>
        </w:rPr>
        <w:t>《关于印发&lt;基本建设项目建设成本管理规定&gt;的通知》（财建〔2016〕504号）、</w:t>
      </w:r>
      <w:r>
        <w:rPr>
          <w:rFonts w:hint="eastAsia" w:ascii="宋体" w:hAnsi="宋体" w:eastAsia="宋体" w:cs="宋体"/>
          <w:color w:val="auto"/>
          <w:sz w:val="24"/>
          <w:szCs w:val="24"/>
          <w:highlight w:val="none"/>
          <w:lang w:val="en-US" w:eastAsia="zh-CN"/>
        </w:rPr>
        <w:t>《浙江省建设工程其他费用定额》（2018 版）《浙江省建设工程造价咨询服务项目及收费指引》的通知（浙建价协〔2021〕13号）等</w:t>
      </w:r>
      <w:r>
        <w:rPr>
          <w:rFonts w:hint="eastAsia" w:ascii="宋体" w:hAnsi="宋体" w:eastAsia="宋体" w:cs="宋体"/>
          <w:color w:val="auto"/>
          <w:sz w:val="24"/>
          <w:szCs w:val="24"/>
          <w:highlight w:val="none"/>
        </w:rPr>
        <w:t>文件收费标准。</w:t>
      </w:r>
    </w:p>
    <w:p>
      <w:pPr>
        <w:spacing w:line="4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监理费计费额以</w:t>
      </w:r>
      <w:r>
        <w:rPr>
          <w:rFonts w:hint="eastAsia" w:ascii="宋体" w:hAnsi="宋体" w:eastAsia="宋体" w:cs="宋体"/>
          <w:color w:val="auto"/>
          <w:sz w:val="24"/>
          <w:szCs w:val="24"/>
          <w:highlight w:val="none"/>
          <w:lang w:val="en-US" w:eastAsia="zh-CN"/>
        </w:rPr>
        <w:t>施工招标控制价</w:t>
      </w:r>
      <w:r>
        <w:rPr>
          <w:rFonts w:hint="eastAsia" w:ascii="宋体" w:hAnsi="宋体" w:eastAsia="宋体" w:cs="宋体"/>
          <w:color w:val="auto"/>
          <w:sz w:val="24"/>
          <w:szCs w:val="24"/>
          <w:highlight w:val="none"/>
        </w:rPr>
        <w:t>为基准计算，计费额按</w:t>
      </w:r>
      <w:r>
        <w:rPr>
          <w:rFonts w:hint="eastAsia" w:hAnsi="宋体" w:cs="宋体"/>
          <w:color w:val="auto"/>
          <w:sz w:val="24"/>
          <w:szCs w:val="24"/>
          <w:highlight w:val="none"/>
          <w:lang w:val="en-US" w:eastAsia="zh-CN"/>
        </w:rPr>
        <w:t>施工招标建安工程造价46227</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计算</w:t>
      </w:r>
      <w:r>
        <w:rPr>
          <w:rFonts w:hint="eastAsia" w:ascii="宋体" w:hAnsi="宋体" w:eastAsia="宋体" w:cs="宋体"/>
          <w:color w:val="auto"/>
          <w:sz w:val="24"/>
          <w:szCs w:val="24"/>
          <w:highlight w:val="none"/>
        </w:rPr>
        <w:t>。监理费按《建设工程监理与相关服务收费管理规定》的通知发改价格〔2007〕670号的收费标准的</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 xml:space="preserve"> %计算确定，</w:t>
      </w:r>
      <w:r>
        <w:rPr>
          <w:rFonts w:hint="eastAsia" w:hAnsi="宋体" w:cs="宋体"/>
          <w:color w:val="auto"/>
          <w:sz w:val="24"/>
          <w:szCs w:val="24"/>
          <w:highlight w:val="none"/>
          <w:lang w:val="en-US" w:eastAsia="zh-CN"/>
        </w:rPr>
        <w:t>即</w:t>
      </w:r>
      <w:r>
        <w:rPr>
          <w:rFonts w:hint="eastAsia" w:ascii="宋体" w:hAnsi="宋体" w:eastAsia="宋体" w:cs="宋体"/>
          <w:color w:val="auto"/>
          <w:sz w:val="24"/>
          <w:szCs w:val="24"/>
          <w:highlight w:val="none"/>
        </w:rPr>
        <w:t>监理费收费为：监理收费基准价×70%。监理收费基准价＝监理收费基价×专业调整系数（1）×工程复杂程度调整系数（1）×高程调整系数（1）×</w:t>
      </w:r>
      <w:r>
        <w:rPr>
          <w:rFonts w:hint="eastAsia" w:ascii="宋体" w:hAnsi="宋体" w:eastAsia="宋体" w:cs="宋体"/>
          <w:color w:val="auto"/>
          <w:sz w:val="24"/>
          <w:szCs w:val="24"/>
          <w:highlight w:val="none"/>
          <w:lang w:val="en-US" w:eastAsia="zh-CN"/>
        </w:rPr>
        <w:t>0.92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根据《浙江省建设工程其他费用定额》（2018 版）中关于工程监理费的取定，实行施工阶段全过程造价咨询的项目，相应工程监理费乘以系数0.92。</w:t>
      </w:r>
    </w:p>
    <w:p>
      <w:pPr>
        <w:spacing w:line="420" w:lineRule="exact"/>
        <w:ind w:firstLine="480"/>
        <w:rPr>
          <w:rFonts w:hint="eastAsia"/>
          <w:color w:val="auto"/>
          <w:highlight w:val="none"/>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造价咨询费（</w:t>
      </w:r>
      <w:r>
        <w:rPr>
          <w:rFonts w:hint="eastAsia" w:ascii="宋体" w:hAnsi="宋体" w:eastAsia="宋体" w:cs="宋体"/>
          <w:color w:val="auto"/>
          <w:sz w:val="24"/>
          <w:szCs w:val="24"/>
          <w:highlight w:val="none"/>
          <w:lang w:val="en-US" w:eastAsia="zh-CN"/>
        </w:rPr>
        <w:t xml:space="preserve"> 含施工全过程</w:t>
      </w:r>
      <w:r>
        <w:rPr>
          <w:rFonts w:hint="eastAsia" w:ascii="宋体" w:hAnsi="宋体" w:eastAsia="宋体" w:cs="宋体"/>
          <w:color w:val="auto"/>
          <w:sz w:val="24"/>
          <w:szCs w:val="24"/>
          <w:highlight w:val="none"/>
        </w:rPr>
        <w:t>造价控制、施工</w:t>
      </w:r>
      <w:r>
        <w:rPr>
          <w:rFonts w:hint="eastAsia" w:ascii="宋体" w:hAnsi="宋体" w:eastAsia="宋体" w:cs="宋体"/>
          <w:color w:val="auto"/>
          <w:sz w:val="24"/>
          <w:szCs w:val="24"/>
          <w:highlight w:val="none"/>
          <w:lang w:val="en-US" w:eastAsia="zh-CN"/>
        </w:rPr>
        <w:t>竣工</w:t>
      </w:r>
      <w:r>
        <w:rPr>
          <w:rFonts w:hint="eastAsia" w:ascii="宋体" w:hAnsi="宋体" w:eastAsia="宋体" w:cs="宋体"/>
          <w:color w:val="auto"/>
          <w:sz w:val="24"/>
          <w:szCs w:val="24"/>
          <w:highlight w:val="none"/>
        </w:rPr>
        <w:t>结算审核（初审））以</w:t>
      </w:r>
      <w:r>
        <w:rPr>
          <w:rFonts w:hint="eastAsia" w:ascii="宋体" w:hAnsi="宋体" w:cs="宋体"/>
          <w:color w:val="auto"/>
          <w:sz w:val="24"/>
          <w:szCs w:val="24"/>
          <w:highlight w:val="none"/>
          <w:lang w:val="en-US" w:eastAsia="zh-CN"/>
        </w:rPr>
        <w:t>累计施工招标建安控制价</w:t>
      </w:r>
      <w:r>
        <w:rPr>
          <w:rFonts w:hint="eastAsia" w:ascii="宋体" w:hAnsi="宋体" w:eastAsia="宋体" w:cs="宋体"/>
          <w:color w:val="auto"/>
          <w:sz w:val="24"/>
          <w:szCs w:val="24"/>
          <w:highlight w:val="none"/>
        </w:rPr>
        <w:t>为基准计算，并</w:t>
      </w:r>
      <w:r>
        <w:rPr>
          <w:rFonts w:hint="eastAsia" w:ascii="宋体" w:hAnsi="宋体" w:eastAsia="宋体" w:cs="宋体"/>
          <w:color w:val="auto"/>
          <w:kern w:val="2"/>
          <w:sz w:val="24"/>
          <w:szCs w:val="24"/>
          <w:highlight w:val="none"/>
          <w:lang w:val="en-US" w:eastAsia="zh-CN"/>
        </w:rPr>
        <w:t>按《浙江省建设工程造价咨询服务项目及收费指引》的通知（浙建价协〔2021〕13号）中施工阶段全过程造价咨询收费标准的</w:t>
      </w:r>
      <w:r>
        <w:rPr>
          <w:rFonts w:hint="eastAsia" w:hAnsi="宋体" w:cs="宋体"/>
          <w:color w:val="auto"/>
          <w:kern w:val="2"/>
          <w:sz w:val="24"/>
          <w:szCs w:val="24"/>
          <w:highlight w:val="none"/>
          <w:lang w:val="en-US" w:eastAsia="zh-CN"/>
        </w:rPr>
        <w:t>50</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sz w:val="24"/>
          <w:szCs w:val="24"/>
          <w:highlight w:val="none"/>
        </w:rPr>
        <w:t>确定，即造价咨询费收费为：标准收费×</w:t>
      </w:r>
      <w:r>
        <w:rPr>
          <w:rFonts w:hint="eastAsia" w:hAnsi="宋体" w:cs="宋体"/>
          <w:color w:val="auto"/>
          <w:sz w:val="24"/>
          <w:szCs w:val="24"/>
          <w:highlight w:val="none"/>
          <w:lang w:val="en-US" w:eastAsia="zh-CN"/>
        </w:rPr>
        <w:t>50</w:t>
      </w:r>
      <w:r>
        <w:rPr>
          <w:rFonts w:hint="eastAsia" w:ascii="宋体" w:hAnsi="宋体" w:eastAsia="宋体" w:cs="宋体"/>
          <w:color w:val="auto"/>
          <w:sz w:val="24"/>
          <w:szCs w:val="24"/>
          <w:highlight w:val="none"/>
        </w:rPr>
        <w:t>％。竣工结算审核（初审）审核基本费不再单独计取。</w:t>
      </w:r>
    </w:p>
    <w:p>
      <w:pPr>
        <w:spacing w:line="420" w:lineRule="exact"/>
        <w:ind w:right="0" w:rightChars="0" w:firstLine="480" w:firstLineChars="0"/>
        <w:rPr>
          <w:rFonts w:hint="eastAsia" w:ascii="Times New Roman"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r>
        <w:rPr>
          <w:rFonts w:hint="eastAsia" w:ascii="Times New Roman" w:hAnsi="宋体" w:eastAsia="宋体" w:cs="宋体"/>
          <w:color w:val="auto"/>
          <w:sz w:val="24"/>
          <w:szCs w:val="24"/>
          <w:highlight w:val="none"/>
          <w:lang w:val="en-US" w:eastAsia="zh-CN"/>
        </w:rPr>
        <w:t>项目建设管理费按招标文件要求选派专业技术人员</w:t>
      </w:r>
      <w:r>
        <w:rPr>
          <w:rFonts w:hint="eastAsia" w:hAnsi="宋体" w:cs="宋体"/>
          <w:color w:val="auto"/>
          <w:sz w:val="24"/>
          <w:szCs w:val="24"/>
          <w:highlight w:val="none"/>
          <w:lang w:val="en-US" w:eastAsia="zh-CN"/>
        </w:rPr>
        <w:t>（含项目负责人）</w:t>
      </w:r>
      <w:r>
        <w:rPr>
          <w:rFonts w:hint="eastAsia" w:ascii="Times New Roman" w:hAnsi="宋体" w:eastAsia="宋体" w:cs="宋体"/>
          <w:color w:val="auto"/>
          <w:sz w:val="24"/>
          <w:szCs w:val="24"/>
          <w:highlight w:val="none"/>
          <w:lang w:val="en-US" w:eastAsia="zh-CN"/>
        </w:rPr>
        <w:t>（服务期常驻6人，非常驻人员根据专业工作需要选派）和委托人共同开展现场管理工作，结合本项目计划施工总工期，</w:t>
      </w:r>
      <w:r>
        <w:rPr>
          <w:rFonts w:hint="eastAsia" w:ascii="Times New Roman" w:hAnsi="宋体" w:eastAsia="宋体" w:cs="宋体"/>
          <w:color w:val="auto"/>
          <w:kern w:val="0"/>
          <w:sz w:val="24"/>
          <w:szCs w:val="24"/>
          <w:highlight w:val="none"/>
          <w:lang w:val="en-US" w:eastAsia="zh-CN"/>
        </w:rPr>
        <w:t>建设管理服务期按2.5年计列。</w:t>
      </w:r>
      <w:r>
        <w:rPr>
          <w:rFonts w:hint="eastAsia" w:ascii="Times New Roman" w:hAnsi="宋体" w:eastAsia="宋体" w:cs="宋体"/>
          <w:color w:val="auto"/>
          <w:sz w:val="24"/>
          <w:szCs w:val="24"/>
          <w:highlight w:val="none"/>
          <w:lang w:val="en-US" w:eastAsia="zh-CN"/>
        </w:rPr>
        <w:t>预算费用共计 38</w:t>
      </w:r>
      <w:r>
        <w:rPr>
          <w:rFonts w:hint="eastAsia" w:hAnsi="宋体" w:cs="宋体"/>
          <w:color w:val="auto"/>
          <w:sz w:val="24"/>
          <w:szCs w:val="24"/>
          <w:highlight w:val="none"/>
          <w:lang w:val="en-US" w:eastAsia="zh-CN"/>
        </w:rPr>
        <w:t>5</w:t>
      </w:r>
      <w:r>
        <w:rPr>
          <w:rFonts w:hint="eastAsia" w:ascii="Times New Roman" w:hAnsi="宋体" w:eastAsia="宋体" w:cs="宋体"/>
          <w:color w:val="auto"/>
          <w:sz w:val="24"/>
          <w:szCs w:val="24"/>
          <w:highlight w:val="none"/>
          <w:lang w:val="en-US" w:eastAsia="zh-CN"/>
        </w:rPr>
        <w:t>万元（其中项目负责人：35万×1人×2.5年=87.5万、协调人员：22万×2人×2.5年=110万元、管理人员：25万×3人×2.5年=187.5万元；以上费用含办公场所及办公设备、车辆及后勤生活设施、人员工资、社保、交通、住宿、差旅、税费等所有费用）</w:t>
      </w:r>
      <w:r>
        <w:rPr>
          <w:rFonts w:hint="eastAsia" w:hAnsi="宋体" w:cs="宋体"/>
          <w:color w:val="auto"/>
          <w:sz w:val="24"/>
          <w:szCs w:val="24"/>
          <w:highlight w:val="none"/>
          <w:lang w:val="en-US" w:eastAsia="zh-CN"/>
        </w:rPr>
        <w:t>。</w:t>
      </w:r>
    </w:p>
    <w:p>
      <w:pPr>
        <w:spacing w:line="420" w:lineRule="exact"/>
        <w:ind w:right="0" w:rightChars="0" w:firstLine="48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本次招标要求投标人对招标文件要求的全部全过程工程咨询服务内容进行报价，本次全过程工程咨询服务费的</w:t>
      </w:r>
      <w:r>
        <w:rPr>
          <w:rFonts w:hint="eastAsia" w:ascii="宋体" w:hAnsi="宋体" w:cs="宋体"/>
          <w:color w:val="auto"/>
          <w:sz w:val="24"/>
          <w:szCs w:val="24"/>
          <w:highlight w:val="none"/>
          <w:lang w:val="en-US" w:eastAsia="zh-CN"/>
        </w:rPr>
        <w:t>招标控制价</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Theme="minorEastAsia" w:hAnsiTheme="minorEastAsia" w:eastAsiaTheme="minorEastAsia"/>
          <w:color w:val="auto"/>
          <w:spacing w:val="-6"/>
          <w:sz w:val="24"/>
          <w:szCs w:val="24"/>
          <w:highlight w:val="none"/>
          <w:u w:val="single"/>
          <w:lang w:val="en-US" w:eastAsia="zh-CN"/>
        </w:rPr>
        <w:t>1257</w:t>
      </w:r>
      <w:r>
        <w:rPr>
          <w:rFonts w:hint="eastAsia" w:ascii="宋体" w:hAnsi="宋体" w:eastAsia="宋体" w:cs="宋体"/>
          <w:color w:val="auto"/>
          <w:sz w:val="24"/>
          <w:szCs w:val="24"/>
          <w:highlight w:val="none"/>
        </w:rPr>
        <w:t>万元，其中：</w:t>
      </w:r>
    </w:p>
    <w:tbl>
      <w:tblPr>
        <w:tblStyle w:val="26"/>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6921"/>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eastAsia" w:ascii="宋体" w:hAnsi="宋体" w:eastAsia="宋体" w:cs="宋体"/>
                <w:b/>
                <w:bCs/>
                <w:color w:val="auto"/>
                <w:spacing w:val="-6"/>
                <w:sz w:val="24"/>
                <w:szCs w:val="24"/>
                <w:highlight w:val="none"/>
              </w:rPr>
            </w:pPr>
            <w:bookmarkStart w:id="954" w:name="_Hlk98281366"/>
            <w:r>
              <w:rPr>
                <w:rFonts w:hint="eastAsia" w:ascii="宋体" w:hAnsi="宋体" w:eastAsia="宋体" w:cs="宋体"/>
                <w:b/>
                <w:bCs/>
                <w:color w:val="auto"/>
                <w:spacing w:val="-6"/>
                <w:sz w:val="24"/>
                <w:szCs w:val="24"/>
                <w:highlight w:val="none"/>
              </w:rPr>
              <w:t>序号</w:t>
            </w:r>
          </w:p>
        </w:tc>
        <w:tc>
          <w:tcPr>
            <w:tcW w:w="692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服务内容</w:t>
            </w:r>
          </w:p>
        </w:tc>
        <w:tc>
          <w:tcPr>
            <w:tcW w:w="1762"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招标控制价   </w:t>
            </w:r>
            <w:r>
              <w:rPr>
                <w:rFonts w:hint="eastAsia" w:ascii="宋体" w:hAnsi="宋体" w:eastAsia="宋体" w:cs="宋体"/>
                <w:b/>
                <w:bCs/>
                <w:color w:val="auto"/>
                <w:spacing w:val="-6"/>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一</w:t>
            </w:r>
          </w:p>
        </w:tc>
        <w:tc>
          <w:tcPr>
            <w:tcW w:w="6921" w:type="dxa"/>
            <w:shd w:val="clear" w:color="auto" w:fill="auto"/>
            <w:vAlign w:val="center"/>
          </w:tcPr>
          <w:p>
            <w:pPr>
              <w:widowControl/>
              <w:spacing w:line="400" w:lineRule="exact"/>
              <w:jc w:val="left"/>
              <w:textAlignment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项目管理费</w:t>
            </w:r>
          </w:p>
        </w:tc>
        <w:tc>
          <w:tcPr>
            <w:tcW w:w="1762"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宋体" w:hAnsi="宋体" w:eastAsia="宋体" w:cs="宋体"/>
                <w:color w:val="auto"/>
                <w:spacing w:val="-6"/>
                <w:sz w:val="24"/>
                <w:szCs w:val="24"/>
                <w:highlight w:val="none"/>
                <w:lang w:val="en-US"/>
              </w:rPr>
            </w:pPr>
            <w:r>
              <w:rPr>
                <w:rFonts w:hint="eastAsia" w:asciiTheme="minorEastAsia" w:hAnsiTheme="minorEastAsia" w:eastAsiaTheme="minorEastAsia"/>
                <w:color w:val="auto"/>
                <w:spacing w:val="-6"/>
                <w:sz w:val="24"/>
                <w:szCs w:val="24"/>
                <w:highlight w:val="none"/>
                <w:lang w:val="en-US" w:eastAsia="zh-CN"/>
              </w:rPr>
              <w:t>385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二</w:t>
            </w:r>
          </w:p>
        </w:tc>
        <w:tc>
          <w:tcPr>
            <w:tcW w:w="6921" w:type="dxa"/>
            <w:shd w:val="clear" w:color="auto" w:fill="auto"/>
            <w:vAlign w:val="center"/>
          </w:tcPr>
          <w:p>
            <w:pPr>
              <w:widowControl/>
              <w:spacing w:line="400" w:lineRule="exact"/>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监理费</w:t>
            </w:r>
          </w:p>
        </w:tc>
        <w:tc>
          <w:tcPr>
            <w:tcW w:w="1762"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宋体" w:hAnsi="宋体" w:eastAsia="宋体" w:cs="宋体"/>
                <w:color w:val="auto"/>
                <w:spacing w:val="-6"/>
                <w:sz w:val="24"/>
                <w:szCs w:val="24"/>
                <w:highlight w:val="none"/>
                <w:lang w:val="en-US"/>
              </w:rPr>
            </w:pPr>
            <w:r>
              <w:rPr>
                <w:rFonts w:hint="eastAsia" w:asciiTheme="minorEastAsia" w:hAnsiTheme="minorEastAsia" w:eastAsiaTheme="minorEastAsia"/>
                <w:color w:val="auto"/>
                <w:spacing w:val="-6"/>
                <w:sz w:val="24"/>
                <w:szCs w:val="24"/>
                <w:highlight w:val="none"/>
                <w:lang w:val="en-US" w:eastAsia="zh-CN"/>
              </w:rPr>
              <w:t>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三</w:t>
            </w:r>
          </w:p>
        </w:tc>
        <w:tc>
          <w:tcPr>
            <w:tcW w:w="6921" w:type="dxa"/>
            <w:shd w:val="clear" w:color="auto" w:fill="auto"/>
            <w:vAlign w:val="center"/>
          </w:tcPr>
          <w:p>
            <w:pPr>
              <w:widowControl/>
              <w:spacing w:line="400" w:lineRule="exac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造价咨询费</w:t>
            </w:r>
          </w:p>
        </w:tc>
        <w:tc>
          <w:tcPr>
            <w:tcW w:w="1762"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宋体" w:hAnsi="宋体" w:eastAsia="宋体" w:cs="宋体"/>
                <w:color w:val="auto"/>
                <w:spacing w:val="-6"/>
                <w:sz w:val="24"/>
                <w:szCs w:val="24"/>
                <w:highlight w:val="none"/>
                <w:lang w:val="en-US"/>
              </w:rPr>
            </w:pPr>
            <w:r>
              <w:rPr>
                <w:rFonts w:hint="eastAsia" w:asciiTheme="minorEastAsia" w:hAnsiTheme="minorEastAsia" w:eastAsiaTheme="minorEastAsia"/>
                <w:color w:val="auto"/>
                <w:spacing w:val="-6"/>
                <w:sz w:val="24"/>
                <w:szCs w:val="24"/>
                <w:highlight w:val="none"/>
                <w:lang w:val="en-US" w:eastAsia="zh-CN"/>
              </w:rPr>
              <w:t>462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hint="eastAsia" w:ascii="宋体" w:hAnsi="宋体" w:eastAsia="宋体" w:cs="宋体"/>
                <w:color w:val="auto"/>
                <w:spacing w:val="-6"/>
                <w:sz w:val="24"/>
                <w:szCs w:val="24"/>
                <w:highlight w:val="none"/>
              </w:rPr>
            </w:pPr>
          </w:p>
        </w:tc>
        <w:tc>
          <w:tcPr>
            <w:tcW w:w="8683" w:type="dxa"/>
            <w:gridSpan w:val="2"/>
            <w:tcBorders>
              <w:right w:val="single" w:color="auto" w:sz="4" w:space="0"/>
            </w:tcBorders>
            <w:shd w:val="clear" w:color="auto" w:fill="auto"/>
            <w:vAlign w:val="center"/>
          </w:tcPr>
          <w:p>
            <w:pPr>
              <w:widowControl/>
              <w:spacing w:line="400" w:lineRule="exact"/>
              <w:jc w:val="center"/>
              <w:textAlignment w:val="center"/>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合计</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控制价为：</w:t>
            </w:r>
            <w:r>
              <w:rPr>
                <w:rFonts w:hint="eastAsia" w:asciiTheme="minorEastAsia" w:hAnsiTheme="minorEastAsia" w:eastAsiaTheme="minorEastAsia"/>
                <w:color w:val="auto"/>
                <w:spacing w:val="-6"/>
                <w:sz w:val="24"/>
                <w:szCs w:val="24"/>
                <w:highlight w:val="none"/>
                <w:lang w:val="en-US" w:eastAsia="zh-CN"/>
              </w:rPr>
              <w:t>1257</w:t>
            </w:r>
            <w:r>
              <w:rPr>
                <w:rFonts w:hint="eastAsia" w:ascii="宋体" w:hAnsi="宋体" w:eastAsia="宋体" w:cs="宋体"/>
                <w:color w:val="auto"/>
                <w:sz w:val="24"/>
                <w:szCs w:val="24"/>
                <w:highlight w:val="none"/>
              </w:rPr>
              <w:t>万元</w:t>
            </w:r>
          </w:p>
        </w:tc>
      </w:tr>
      <w:bookmarkEnd w:id="954"/>
    </w:tbl>
    <w:p>
      <w:pPr>
        <w:ind w:left="400" w:hanging="480" w:hanging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在合同实施期间，若由于国家政策调整或新颁法律、法规、标准的发布或市场因素变化政策调整等因素造成的施工工期延误或建设期延长，发包人不再追加相关费用。</w:t>
      </w:r>
    </w:p>
    <w:p>
      <w:pPr>
        <w:ind w:left="480" w:leftChars="24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(2)在合同实施期间，本项目实际结算总费用根据上述分项收费标准结合中标浮动率结算，合同价不作调整。</w:t>
      </w:r>
    </w:p>
    <w:p>
      <w:pPr>
        <w:pStyle w:val="32"/>
        <w:widowControl w:val="0"/>
        <w:numPr>
          <w:ilvl w:val="0"/>
          <w:numId w:val="0"/>
        </w:numPr>
        <w:adjustRightInd w:val="0"/>
        <w:spacing w:line="360" w:lineRule="atLeast"/>
        <w:jc w:val="both"/>
        <w:textAlignment w:val="baseline"/>
        <w:rPr>
          <w:color w:val="auto"/>
          <w:highlight w:val="none"/>
        </w:rPr>
      </w:pPr>
    </w:p>
    <w:p>
      <w:pPr>
        <w:pStyle w:val="32"/>
        <w:widowControl w:val="0"/>
        <w:numPr>
          <w:ilvl w:val="0"/>
          <w:numId w:val="0"/>
        </w:numPr>
        <w:adjustRightInd w:val="0"/>
        <w:spacing w:line="360" w:lineRule="atLeast"/>
        <w:jc w:val="both"/>
        <w:textAlignment w:val="baseline"/>
        <w:rPr>
          <w:color w:val="auto"/>
          <w:highlight w:val="none"/>
        </w:rPr>
      </w:pPr>
    </w:p>
    <w:p>
      <w:pPr>
        <w:pStyle w:val="32"/>
        <w:widowControl w:val="0"/>
        <w:numPr>
          <w:ilvl w:val="0"/>
          <w:numId w:val="0"/>
        </w:numPr>
        <w:adjustRightInd w:val="0"/>
        <w:spacing w:line="360" w:lineRule="atLeast"/>
        <w:jc w:val="both"/>
        <w:textAlignment w:val="baseline"/>
        <w:rPr>
          <w:color w:val="auto"/>
          <w:highlight w:val="none"/>
        </w:rPr>
      </w:pPr>
    </w:p>
    <w:p>
      <w:pPr>
        <w:pStyle w:val="32"/>
        <w:widowControl w:val="0"/>
        <w:numPr>
          <w:ilvl w:val="0"/>
          <w:numId w:val="0"/>
        </w:numPr>
        <w:adjustRightInd w:val="0"/>
        <w:spacing w:line="360" w:lineRule="atLeast"/>
        <w:jc w:val="both"/>
        <w:textAlignment w:val="baseline"/>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ind w:left="0" w:leftChars="0" w:firstLine="0" w:firstLineChars="0"/>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jc w:val="center"/>
        <w:rPr>
          <w:color w:val="auto"/>
          <w:highlight w:val="none"/>
        </w:rPr>
      </w:pPr>
    </w:p>
    <w:p>
      <w:pPr>
        <w:pStyle w:val="2"/>
        <w:numPr>
          <w:ilvl w:val="0"/>
          <w:numId w:val="0"/>
        </w:numPr>
        <w:tabs>
          <w:tab w:val="clear" w:pos="1440"/>
        </w:tabs>
        <w:spacing w:before="0" w:after="0" w:line="360" w:lineRule="auto"/>
        <w:ind w:firstLine="2650" w:firstLineChars="600"/>
        <w:jc w:val="both"/>
        <w:rPr>
          <w:rFonts w:hint="eastAsia"/>
          <w:color w:val="auto"/>
          <w:highlight w:val="none"/>
        </w:rPr>
      </w:pPr>
      <w:bookmarkStart w:id="955" w:name="_Toc2517"/>
      <w:bookmarkStart w:id="956" w:name="_Toc25306"/>
      <w:bookmarkStart w:id="957" w:name="_Toc3775"/>
      <w:bookmarkStart w:id="958" w:name="_Toc15161"/>
      <w:bookmarkStart w:id="959" w:name="_Toc16711"/>
      <w:bookmarkStart w:id="960" w:name="_Toc5240"/>
      <w:bookmarkStart w:id="961" w:name="_Toc31343"/>
      <w:bookmarkStart w:id="962" w:name="_Toc26968"/>
      <w:bookmarkStart w:id="963" w:name="_Toc14441"/>
      <w:bookmarkStart w:id="964" w:name="_Toc15202"/>
      <w:bookmarkStart w:id="965" w:name="_Toc16553"/>
      <w:bookmarkStart w:id="966" w:name="_Toc4333"/>
      <w:bookmarkStart w:id="967" w:name="_Toc26112"/>
      <w:bookmarkStart w:id="968" w:name="_Toc11639"/>
      <w:bookmarkStart w:id="969" w:name="_Toc17712"/>
      <w:bookmarkStart w:id="970" w:name="_Toc13508"/>
      <w:bookmarkStart w:id="971" w:name="_Toc12289"/>
      <w:bookmarkStart w:id="972" w:name="_Toc16232"/>
      <w:bookmarkStart w:id="973" w:name="_Toc16911"/>
      <w:bookmarkStart w:id="974" w:name="_Toc23720"/>
      <w:bookmarkStart w:id="975" w:name="_Toc29618"/>
      <w:bookmarkStart w:id="976" w:name="_Toc13196"/>
      <w:bookmarkStart w:id="977" w:name="_Toc28142"/>
      <w:bookmarkStart w:id="978" w:name="_Toc18746"/>
      <w:bookmarkStart w:id="979" w:name="_Toc22234"/>
      <w:bookmarkStart w:id="980" w:name="_Toc7825"/>
      <w:bookmarkStart w:id="981" w:name="_Toc21725"/>
      <w:r>
        <w:rPr>
          <w:rFonts w:hint="eastAsia"/>
          <w:color w:val="auto"/>
          <w:highlight w:val="none"/>
        </w:rPr>
        <w:t>第五章 合同条款及格式</w:t>
      </w:r>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p>
      <w:pPr>
        <w:rPr>
          <w:rFonts w:hint="eastAsia"/>
          <w:color w:val="auto"/>
          <w:highlight w:val="none"/>
        </w:rPr>
      </w:pPr>
      <w:r>
        <w:rPr>
          <w:rFonts w:hint="eastAsia"/>
          <w:color w:val="auto"/>
          <w:highlight w:val="none"/>
        </w:rPr>
        <w:br w:type="page"/>
      </w:r>
    </w:p>
    <w:p>
      <w:pPr>
        <w:rPr>
          <w:color w:val="auto"/>
          <w:highlight w:val="none"/>
        </w:rPr>
      </w:pPr>
    </w:p>
    <w:p>
      <w:pPr>
        <w:jc w:val="center"/>
        <w:rPr>
          <w:rFonts w:eastAsia="华文中宋"/>
          <w:b/>
          <w:color w:val="auto"/>
          <w:sz w:val="72"/>
          <w:szCs w:val="72"/>
          <w:highlight w:val="none"/>
        </w:rPr>
      </w:pPr>
      <w:bookmarkStart w:id="982" w:name="_Toc247527635"/>
      <w:bookmarkStart w:id="983" w:name="_Toc184635097"/>
      <w:bookmarkStart w:id="984" w:name="_Toc152045610"/>
      <w:bookmarkStart w:id="985" w:name="_Toc247514034"/>
      <w:bookmarkStart w:id="986" w:name="_Toc152042388"/>
      <w:bookmarkStart w:id="987" w:name="_Toc144974578"/>
    </w:p>
    <w:p>
      <w:pPr>
        <w:jc w:val="center"/>
        <w:rPr>
          <w:rFonts w:eastAsia="华文中宋"/>
          <w:b/>
          <w:color w:val="auto"/>
          <w:sz w:val="72"/>
          <w:szCs w:val="72"/>
          <w:highlight w:val="none"/>
        </w:rPr>
      </w:pPr>
    </w:p>
    <w:p>
      <w:pPr>
        <w:jc w:val="center"/>
        <w:rPr>
          <w:rFonts w:eastAsia="华文中宋"/>
          <w:b/>
          <w:color w:val="auto"/>
          <w:sz w:val="72"/>
          <w:szCs w:val="72"/>
          <w:highlight w:val="none"/>
        </w:rPr>
      </w:pPr>
      <w:r>
        <w:rPr>
          <w:rFonts w:hint="eastAsia" w:eastAsia="华文中宋"/>
          <w:b/>
          <w:color w:val="auto"/>
          <w:sz w:val="72"/>
          <w:szCs w:val="72"/>
          <w:highlight w:val="none"/>
          <w:lang w:val="en-US" w:eastAsia="zh-CN"/>
        </w:rPr>
        <w:t xml:space="preserve">  </w:t>
      </w:r>
      <w:r>
        <w:rPr>
          <w:rFonts w:hint="eastAsia" w:eastAsia="华文中宋"/>
          <w:b/>
          <w:color w:val="auto"/>
          <w:sz w:val="72"/>
          <w:szCs w:val="72"/>
          <w:highlight w:val="none"/>
        </w:rPr>
        <w:t>工程咨询服务合同</w:t>
      </w: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tabs>
          <w:tab w:val="left" w:pos="0"/>
          <w:tab w:val="left" w:pos="6300"/>
        </w:tabs>
        <w:spacing w:line="360" w:lineRule="auto"/>
        <w:ind w:firstLine="482"/>
        <w:rPr>
          <w:rFonts w:hint="eastAsia" w:ascii="宋体" w:hAnsi="宋体" w:eastAsia="宋体" w:cs="宋体"/>
          <w:color w:val="auto"/>
          <w:sz w:val="28"/>
          <w:szCs w:val="28"/>
          <w:highlight w:val="none"/>
          <w:u w:val="single"/>
          <w:lang w:val="en-US" w:eastAsia="zh-CN"/>
        </w:rPr>
      </w:pPr>
      <w:r>
        <w:rPr>
          <w:rFonts w:hint="eastAsia" w:ascii="宋体" w:hAnsi="宋体" w:cs="宋体"/>
          <w:color w:val="auto"/>
          <w:spacing w:val="40"/>
          <w:sz w:val="28"/>
          <w:szCs w:val="28"/>
          <w:highlight w:val="none"/>
        </w:rPr>
        <w:t>项目名称</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二环路智慧快速化改造工程（柯诸高速至S211省道公路连接线）全过程工程咨询</w:t>
      </w:r>
      <w:r>
        <w:rPr>
          <w:rFonts w:hint="eastAsia" w:ascii="宋体" w:hAnsi="宋体" w:cs="宋体"/>
          <w:color w:val="auto"/>
          <w:sz w:val="28"/>
          <w:szCs w:val="28"/>
          <w:highlight w:val="none"/>
          <w:u w:val="single"/>
          <w:lang w:val="en-US" w:eastAsia="zh-CN"/>
        </w:rPr>
        <w:t>服务</w:t>
      </w:r>
    </w:p>
    <w:p>
      <w:pPr>
        <w:tabs>
          <w:tab w:val="left" w:pos="1575"/>
        </w:tabs>
        <w:spacing w:line="360" w:lineRule="auto"/>
        <w:ind w:firstLine="482"/>
        <w:rPr>
          <w:rFonts w:ascii="宋体" w:hAnsi="宋体" w:cs="宋体"/>
          <w:color w:val="auto"/>
          <w:spacing w:val="30"/>
          <w:sz w:val="28"/>
          <w:szCs w:val="28"/>
          <w:highlight w:val="none"/>
        </w:rPr>
      </w:pPr>
    </w:p>
    <w:p>
      <w:pPr>
        <w:tabs>
          <w:tab w:val="left" w:pos="1575"/>
        </w:tabs>
        <w:spacing w:line="360" w:lineRule="auto"/>
        <w:ind w:firstLine="482"/>
        <w:rPr>
          <w:rFonts w:ascii="宋体" w:hAnsi="宋体" w:cs="宋体"/>
          <w:color w:val="auto"/>
          <w:sz w:val="28"/>
          <w:szCs w:val="28"/>
          <w:highlight w:val="none"/>
          <w:u w:val="single"/>
        </w:rPr>
      </w:pPr>
      <w:r>
        <w:rPr>
          <w:rFonts w:hint="eastAsia" w:ascii="宋体" w:hAnsi="宋体" w:cs="宋体"/>
          <w:color w:val="auto"/>
          <w:spacing w:val="30"/>
          <w:sz w:val="28"/>
          <w:szCs w:val="28"/>
          <w:highlight w:val="none"/>
        </w:rPr>
        <w:t>委托人</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 xml:space="preserve">                                     </w:t>
      </w:r>
    </w:p>
    <w:p>
      <w:pPr>
        <w:tabs>
          <w:tab w:val="left" w:pos="1575"/>
        </w:tabs>
        <w:spacing w:line="360" w:lineRule="auto"/>
        <w:ind w:firstLine="482"/>
        <w:rPr>
          <w:rFonts w:ascii="宋体" w:hAnsi="宋体" w:cs="宋体"/>
          <w:color w:val="auto"/>
          <w:sz w:val="28"/>
          <w:szCs w:val="28"/>
          <w:highlight w:val="none"/>
          <w:u w:val="single"/>
        </w:rPr>
      </w:pPr>
    </w:p>
    <w:p>
      <w:pPr>
        <w:tabs>
          <w:tab w:val="left" w:pos="1575"/>
        </w:tabs>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工程咨询人：</w:t>
      </w:r>
      <w:bookmarkStart w:id="988" w:name="_Hlk54042933"/>
      <w:bookmarkEnd w:id="988"/>
      <w:bookmarkStart w:id="989" w:name="_Hlk54124600"/>
      <w:r>
        <w:rPr>
          <w:rFonts w:hint="eastAsia" w:ascii="宋体" w:hAnsi="宋体" w:cs="宋体"/>
          <w:color w:val="auto"/>
          <w:sz w:val="28"/>
          <w:szCs w:val="28"/>
          <w:highlight w:val="none"/>
          <w:u w:val="single"/>
        </w:rPr>
        <w:t xml:space="preserve">                                </w:t>
      </w:r>
    </w:p>
    <w:bookmarkEnd w:id="989"/>
    <w:p>
      <w:pPr>
        <w:spacing w:line="480" w:lineRule="exact"/>
        <w:ind w:left="-420" w:right="-394" w:rightChars="-197" w:firstLine="161" w:firstLineChars="80"/>
        <w:rPr>
          <w:rFonts w:ascii="宋体" w:hAnsi="宋体" w:cs="宋体"/>
          <w:b/>
          <w:color w:val="auto"/>
          <w:highlight w:val="none"/>
        </w:rPr>
      </w:pPr>
    </w:p>
    <w:p>
      <w:pPr>
        <w:spacing w:line="480" w:lineRule="exact"/>
        <w:ind w:right="-394" w:rightChars="-197"/>
        <w:rPr>
          <w:rFonts w:eastAsia="华文中宋"/>
          <w:b/>
          <w:color w:val="auto"/>
          <w:highlight w:val="none"/>
        </w:rPr>
        <w:sectPr>
          <w:headerReference r:id="rId11" w:type="default"/>
          <w:footerReference r:id="rId12" w:type="default"/>
          <w:pgSz w:w="11906" w:h="16838"/>
          <w:pgMar w:top="1440" w:right="1080" w:bottom="1440" w:left="1080" w:header="1134" w:footer="964" w:gutter="0"/>
          <w:pgNumType w:fmt="decimal"/>
          <w:cols w:space="720" w:num="1"/>
          <w:docGrid w:linePitch="312" w:charSpace="0"/>
        </w:sectPr>
      </w:pPr>
    </w:p>
    <w:p>
      <w:pPr>
        <w:tabs>
          <w:tab w:val="left" w:pos="0"/>
          <w:tab w:val="left" w:pos="6300"/>
        </w:tabs>
        <w:spacing w:line="480" w:lineRule="exact"/>
        <w:jc w:val="center"/>
        <w:rPr>
          <w:rFonts w:ascii="宋体" w:hAnsi="宋体" w:cs="宋体"/>
          <w:b/>
          <w:color w:val="auto"/>
          <w:sz w:val="32"/>
          <w:szCs w:val="22"/>
          <w:highlight w:val="none"/>
        </w:rPr>
      </w:pPr>
      <w:r>
        <w:rPr>
          <w:rFonts w:hint="eastAsia" w:ascii="宋体" w:hAnsi="宋体" w:cs="宋体"/>
          <w:b/>
          <w:color w:val="auto"/>
          <w:sz w:val="32"/>
          <w:szCs w:val="22"/>
          <w:highlight w:val="none"/>
        </w:rPr>
        <w:t>第一部分协议书</w:t>
      </w:r>
    </w:p>
    <w:p>
      <w:pPr>
        <w:spacing w:line="360" w:lineRule="auto"/>
        <w:ind w:firstLine="480"/>
        <w:rPr>
          <w:rFonts w:ascii="宋体" w:hAnsi="宋体" w:cs="宋体"/>
          <w:color w:val="auto"/>
          <w:sz w:val="24"/>
          <w:szCs w:val="24"/>
          <w:highlight w:val="none"/>
        </w:rPr>
      </w:pPr>
    </w:p>
    <w:p>
      <w:pPr>
        <w:spacing w:line="360" w:lineRule="auto"/>
        <w:ind w:firstLine="480"/>
        <w:rPr>
          <w:rFonts w:ascii="宋体" w:hAnsi="宋体" w:cs="宋体"/>
          <w:color w:val="auto"/>
          <w:sz w:val="24"/>
          <w:szCs w:val="24"/>
          <w:highlight w:val="none"/>
          <w:u w:val="single"/>
        </w:rPr>
      </w:pPr>
      <w:r>
        <w:rPr>
          <w:rFonts w:hint="eastAsia" w:ascii="宋体" w:hAnsi="宋体" w:cs="宋体"/>
          <w:color w:val="auto"/>
          <w:spacing w:val="20"/>
          <w:sz w:val="24"/>
          <w:szCs w:val="24"/>
          <w:highlight w:val="none"/>
        </w:rPr>
        <w:t>委托人</w:t>
      </w:r>
      <w:r>
        <w:rPr>
          <w:rFonts w:hint="eastAsia" w:ascii="宋体" w:hAnsi="宋体" w:cs="宋体"/>
          <w:color w:val="auto"/>
          <w:sz w:val="24"/>
          <w:szCs w:val="24"/>
          <w:highlight w:val="none"/>
        </w:rPr>
        <w:t>（全称）：</w:t>
      </w:r>
      <w:r>
        <w:rPr>
          <w:rFonts w:hint="eastAsia" w:ascii="宋体" w:hAnsi="宋体" w:cs="宋体"/>
          <w:color w:val="auto"/>
          <w:sz w:val="28"/>
          <w:szCs w:val="28"/>
          <w:highlight w:val="none"/>
          <w:u w:val="single"/>
        </w:rPr>
        <w:t xml:space="preserve">                                </w:t>
      </w:r>
    </w:p>
    <w:p>
      <w:pPr>
        <w:tabs>
          <w:tab w:val="left" w:pos="1470"/>
        </w:tabs>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工程咨询人（全称）：</w:t>
      </w:r>
      <w:r>
        <w:rPr>
          <w:rFonts w:hint="eastAsia" w:ascii="宋体" w:hAnsi="宋体" w:cs="宋体"/>
          <w:color w:val="auto"/>
          <w:sz w:val="28"/>
          <w:szCs w:val="28"/>
          <w:highlight w:val="none"/>
          <w:u w:val="single"/>
        </w:rPr>
        <w:t xml:space="preserve">                                </w:t>
      </w:r>
    </w:p>
    <w:p>
      <w:pPr>
        <w:tabs>
          <w:tab w:val="left" w:pos="1470"/>
        </w:tabs>
        <w:spacing w:line="360" w:lineRule="auto"/>
        <w:ind w:firstLine="2880" w:firstLineChars="1200"/>
        <w:rPr>
          <w:rFonts w:ascii="宋体" w:hAnsi="宋体" w:cs="宋体"/>
          <w:color w:val="auto"/>
          <w:sz w:val="24"/>
          <w:szCs w:val="24"/>
          <w:highlight w:val="none"/>
          <w:u w:val="single"/>
        </w:rPr>
      </w:pP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根据《中华人民共和国民法典》《中华人民共和国建筑法》及其他有关法律、法规，遵循平等、自愿、公平和诚信的原则，双方就下述工程咨询有关事项协商一致，订立本合同。</w:t>
      </w:r>
    </w:p>
    <w:p>
      <w:pPr>
        <w:spacing w:line="360" w:lineRule="auto"/>
        <w:ind w:firstLine="482"/>
        <w:rPr>
          <w:rFonts w:ascii="宋体" w:hAnsi="宋体" w:cs="宋体"/>
          <w:b/>
          <w:color w:val="auto"/>
          <w:sz w:val="24"/>
          <w:szCs w:val="24"/>
          <w:highlight w:val="none"/>
        </w:rPr>
      </w:pPr>
      <w:bookmarkStart w:id="990" w:name="_Toc75877317"/>
      <w:r>
        <w:rPr>
          <w:rFonts w:hint="eastAsia" w:ascii="宋体" w:hAnsi="宋体" w:cs="宋体"/>
          <w:b/>
          <w:color w:val="auto"/>
          <w:sz w:val="24"/>
          <w:szCs w:val="24"/>
          <w:highlight w:val="none"/>
        </w:rPr>
        <w:t>一、项目概况</w:t>
      </w:r>
      <w:bookmarkEnd w:id="990"/>
    </w:p>
    <w:p>
      <w:pPr>
        <w:spacing w:line="360" w:lineRule="auto"/>
        <w:ind w:firstLine="480"/>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项目名称：</w:t>
      </w:r>
      <w:r>
        <w:rPr>
          <w:rFonts w:hint="eastAsia" w:ascii="宋体" w:hAnsi="宋体"/>
          <w:color w:val="auto"/>
          <w:sz w:val="24"/>
          <w:szCs w:val="24"/>
          <w:highlight w:val="none"/>
          <w:u w:val="single"/>
        </w:rPr>
        <w:t>二环路智慧快速化改造工程（柯诸高速至S211省道公路连接线）全过程工程咨询</w:t>
      </w:r>
      <w:r>
        <w:rPr>
          <w:rFonts w:hint="eastAsia" w:ascii="宋体" w:hAnsi="宋体"/>
          <w:color w:val="auto"/>
          <w:sz w:val="24"/>
          <w:szCs w:val="24"/>
          <w:highlight w:val="none"/>
          <w:u w:val="single"/>
          <w:lang w:val="en-US" w:eastAsia="zh-CN"/>
        </w:rPr>
        <w:t>服务</w:t>
      </w:r>
    </w:p>
    <w:p>
      <w:pPr>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建安造价：</w:t>
      </w:r>
      <w:r>
        <w:rPr>
          <w:rFonts w:hint="eastAsia" w:ascii="宋体" w:hAnsi="宋体" w:cs="宋体"/>
          <w:color w:val="auto"/>
          <w:sz w:val="28"/>
          <w:szCs w:val="28"/>
          <w:highlight w:val="none"/>
          <w:u w:val="single"/>
        </w:rPr>
        <w:t xml:space="preserve">                                </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建设地点：</w:t>
      </w:r>
      <w:r>
        <w:rPr>
          <w:rFonts w:ascii="宋体" w:hAnsi="宋体" w:cs="宋体"/>
          <w:color w:val="auto"/>
          <w:sz w:val="24"/>
          <w:szCs w:val="24"/>
          <w:highlight w:val="none"/>
          <w:u w:val="single"/>
        </w:rPr>
        <w:t xml:space="preserve"> 浙江省诸暨市                         </w:t>
      </w:r>
    </w:p>
    <w:p>
      <w:pPr>
        <w:suppressAutoHyphens/>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建设规模：</w:t>
      </w:r>
      <w:r>
        <w:rPr>
          <w:rFonts w:hint="eastAsia" w:ascii="宋体" w:hAnsi="宋体" w:cs="宋体"/>
          <w:color w:val="auto"/>
          <w:sz w:val="28"/>
          <w:szCs w:val="28"/>
          <w:highlight w:val="none"/>
          <w:u w:val="single"/>
        </w:rPr>
        <w:t xml:space="preserve">                                </w:t>
      </w:r>
    </w:p>
    <w:p>
      <w:pPr>
        <w:suppressAutoHyphens/>
        <w:spacing w:line="360" w:lineRule="auto"/>
        <w:ind w:firstLine="480" w:firstLineChars="200"/>
        <w:rPr>
          <w:color w:val="auto"/>
          <w:sz w:val="24"/>
          <w:szCs w:val="24"/>
          <w:highlight w:val="none"/>
          <w:u w:val="single"/>
        </w:rPr>
      </w:pPr>
      <w:r>
        <w:rPr>
          <w:rFonts w:hint="eastAsia"/>
          <w:color w:val="auto"/>
          <w:sz w:val="24"/>
          <w:szCs w:val="24"/>
          <w:highlight w:val="none"/>
          <w:u w:val="none"/>
        </w:rPr>
        <w:t>投资控制目标：</w:t>
      </w:r>
      <w:r>
        <w:rPr>
          <w:rFonts w:hint="eastAsia"/>
          <w:color w:val="auto"/>
          <w:sz w:val="24"/>
          <w:szCs w:val="24"/>
          <w:highlight w:val="none"/>
          <w:u w:val="single"/>
        </w:rPr>
        <w:t>不超过概算投资额。</w:t>
      </w:r>
    </w:p>
    <w:p>
      <w:pPr>
        <w:spacing w:line="360" w:lineRule="auto"/>
        <w:ind w:firstLine="482"/>
        <w:rPr>
          <w:rFonts w:ascii="Calibri" w:hAnsi="Calibri" w:cs="Calibri"/>
          <w:color w:val="auto"/>
          <w:sz w:val="24"/>
          <w:szCs w:val="24"/>
          <w:highlight w:val="none"/>
          <w:u w:val="single"/>
        </w:rPr>
      </w:pPr>
      <w:r>
        <w:rPr>
          <w:rFonts w:hint="eastAsia" w:ascii="宋体" w:hAnsi="宋体" w:cs="宋体"/>
          <w:color w:val="auto"/>
          <w:sz w:val="24"/>
          <w:szCs w:val="24"/>
          <w:highlight w:val="none"/>
        </w:rPr>
        <w:t>资金来源：</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自筹</w:t>
      </w:r>
      <w:r>
        <w:rPr>
          <w:rFonts w:ascii="宋体" w:hAnsi="宋体" w:cs="宋体"/>
          <w:color w:val="auto"/>
          <w:sz w:val="24"/>
          <w:szCs w:val="24"/>
          <w:highlight w:val="none"/>
          <w:u w:val="single"/>
        </w:rPr>
        <w:t>100</w:t>
      </w: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 xml:space="preserve">  </w:t>
      </w:r>
    </w:p>
    <w:p>
      <w:pPr>
        <w:spacing w:line="360" w:lineRule="auto"/>
        <w:ind w:firstLine="482"/>
        <w:rPr>
          <w:rFonts w:ascii="宋体" w:hAnsi="宋体" w:cs="宋体"/>
          <w:b/>
          <w:color w:val="auto"/>
          <w:sz w:val="24"/>
          <w:szCs w:val="24"/>
          <w:highlight w:val="none"/>
        </w:rPr>
      </w:pPr>
      <w:bookmarkStart w:id="991" w:name="_Toc75877318"/>
      <w:r>
        <w:rPr>
          <w:rFonts w:hint="eastAsia" w:ascii="宋体" w:hAnsi="宋体" w:cs="宋体"/>
          <w:b/>
          <w:color w:val="auto"/>
          <w:sz w:val="24"/>
          <w:szCs w:val="24"/>
          <w:highlight w:val="none"/>
        </w:rPr>
        <w:t>二、工程咨询服务范围及内容</w:t>
      </w:r>
      <w:bookmarkEnd w:id="991"/>
    </w:p>
    <w:p>
      <w:pPr>
        <w:pStyle w:val="14"/>
        <w:spacing w:line="360" w:lineRule="auto"/>
        <w:ind w:firstLine="480" w:firstLineChars="200"/>
        <w:rPr>
          <w:rFonts w:hAnsi="宋体" w:cs="宋体"/>
          <w:color w:val="auto"/>
          <w:szCs w:val="21"/>
          <w:highlight w:val="none"/>
        </w:rPr>
      </w:pPr>
      <w:r>
        <w:rPr>
          <w:rFonts w:hint="eastAsia"/>
          <w:color w:val="auto"/>
          <w:sz w:val="24"/>
          <w:szCs w:val="24"/>
          <w:highlight w:val="none"/>
        </w:rPr>
        <w:t>招标范围：二环路智慧快速化改造工程（柯诸高速至S211省道公路连接线）全过程工程咨询服务，具体包括：</w:t>
      </w:r>
      <w:r>
        <w:rPr>
          <w:rFonts w:hint="eastAsia" w:hAnsi="宋体" w:cs="宋体"/>
          <w:color w:val="auto"/>
          <w:sz w:val="28"/>
          <w:szCs w:val="28"/>
          <w:highlight w:val="none"/>
          <w:u w:val="single"/>
        </w:rPr>
        <w:t xml:space="preserve">                                   </w:t>
      </w:r>
      <w:r>
        <w:rPr>
          <w:rFonts w:hint="eastAsia" w:hAnsi="宋体" w:cs="宋体"/>
          <w:color w:val="auto"/>
          <w:sz w:val="28"/>
          <w:szCs w:val="28"/>
          <w:highlight w:val="none"/>
          <w:u w:val="none"/>
          <w:lang w:eastAsia="zh-CN"/>
        </w:rPr>
        <w:t>。</w:t>
      </w:r>
    </w:p>
    <w:p>
      <w:pPr>
        <w:pStyle w:val="14"/>
        <w:spacing w:line="360" w:lineRule="auto"/>
        <w:ind w:firstLine="482" w:firstLineChars="200"/>
        <w:rPr>
          <w:rFonts w:ascii="宋体" w:hAnsi="宋体" w:cs="宋体"/>
          <w:b/>
          <w:color w:val="auto"/>
          <w:sz w:val="24"/>
          <w:szCs w:val="24"/>
          <w:highlight w:val="none"/>
        </w:rPr>
      </w:pPr>
      <w:bookmarkStart w:id="992" w:name="_Toc75877319"/>
      <w:r>
        <w:rPr>
          <w:rFonts w:hint="eastAsia" w:ascii="宋体" w:hAnsi="宋体" w:cs="宋体"/>
          <w:b/>
          <w:color w:val="auto"/>
          <w:sz w:val="24"/>
          <w:szCs w:val="24"/>
          <w:highlight w:val="none"/>
        </w:rPr>
        <w:t>三、组成本合同的文件及解释顺序</w:t>
      </w:r>
      <w:bookmarkEnd w:id="992"/>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1.协议书；</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2.中标通知书；</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3.投标文件及其附件；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4.专用条件；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5.通用条件。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本合同签订后，双方依法签订的补充协议或补充订立的相关专业咨询服务合同均为本合同文件的组成内容。</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四、项目负责人</w:t>
      </w:r>
    </w:p>
    <w:p>
      <w:pPr>
        <w:spacing w:line="360" w:lineRule="auto"/>
        <w:ind w:firstLine="480"/>
        <w:rPr>
          <w:rFonts w:hAnsi="宋体" w:cs="宋体"/>
          <w:color w:val="auto"/>
          <w:sz w:val="24"/>
          <w:szCs w:val="24"/>
          <w:highlight w:val="none"/>
        </w:rPr>
      </w:pPr>
      <w:r>
        <w:rPr>
          <w:rFonts w:hint="eastAsia" w:ascii="宋体" w:hAnsi="宋体" w:cs="宋体"/>
          <w:color w:val="auto"/>
          <w:sz w:val="24"/>
          <w:szCs w:val="24"/>
          <w:highlight w:val="none"/>
        </w:rPr>
        <w:t>工程咨询项目负责人姓名：</w:t>
      </w:r>
      <w:r>
        <w:rPr>
          <w:rFonts w:hint="eastAsia" w:ascii="宋体" w:hAnsi="宋体" w:cs="宋体"/>
          <w:color w:val="auto"/>
          <w:sz w:val="24"/>
          <w:szCs w:val="24"/>
          <w:highlight w:val="none"/>
          <w:u w:val="single"/>
        </w:rPr>
        <w:t>　</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w:t>
      </w:r>
      <w:r>
        <w:rPr>
          <w:rFonts w:hint="eastAsia" w:hAnsi="宋体" w:cs="宋体"/>
          <w:color w:val="auto"/>
          <w:sz w:val="24"/>
          <w:szCs w:val="24"/>
          <w:highlight w:val="none"/>
        </w:rPr>
        <w:t>身份证号码：</w:t>
      </w:r>
      <w:r>
        <w:rPr>
          <w:rFonts w:hint="eastAsia" w:ascii="宋体" w:hAnsi="宋体" w:cs="宋体"/>
          <w:color w:val="auto"/>
          <w:sz w:val="24"/>
          <w:szCs w:val="24"/>
          <w:highlight w:val="none"/>
          <w:u w:val="single"/>
        </w:rPr>
        <w:t>　</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none"/>
        </w:rPr>
        <w:t xml:space="preserve"> </w:t>
      </w:r>
      <w:r>
        <w:rPr>
          <w:rFonts w:hint="eastAsia" w:hAnsi="宋体" w:cs="宋体"/>
          <w:color w:val="auto"/>
          <w:sz w:val="24"/>
          <w:szCs w:val="24"/>
          <w:highlight w:val="none"/>
        </w:rPr>
        <w:t>，注册证书类别、</w:t>
      </w:r>
      <w:r>
        <w:rPr>
          <w:rFonts w:hint="eastAsia" w:ascii="宋体" w:hAnsi="宋体" w:cs="宋体"/>
          <w:color w:val="auto"/>
          <w:sz w:val="24"/>
          <w:szCs w:val="24"/>
          <w:highlight w:val="none"/>
          <w:u w:val="single"/>
        </w:rPr>
        <w:t>　</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none"/>
        </w:rPr>
        <w:t xml:space="preserve"> </w:t>
      </w:r>
      <w:r>
        <w:rPr>
          <w:rFonts w:hint="eastAsia" w:ascii="宋体" w:hAnsi="宋体" w:cs="宋体"/>
          <w:color w:val="auto"/>
          <w:sz w:val="24"/>
          <w:szCs w:val="24"/>
          <w:highlight w:val="none"/>
          <w:u w:val="single"/>
        </w:rPr>
        <w:t>　</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none"/>
        </w:rPr>
        <w:t xml:space="preserve"> </w:t>
      </w:r>
      <w:r>
        <w:rPr>
          <w:rFonts w:hint="eastAsia" w:hAnsi="宋体" w:cs="宋体"/>
          <w:color w:val="auto"/>
          <w:sz w:val="24"/>
          <w:szCs w:val="24"/>
          <w:highlight w:val="none"/>
        </w:rPr>
        <w:t>专业注册号：</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，职称、证书号：</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w:t>
      </w:r>
    </w:p>
    <w:p>
      <w:pPr>
        <w:pStyle w:val="14"/>
        <w:spacing w:line="360" w:lineRule="auto"/>
        <w:ind w:firstLine="480"/>
        <w:rPr>
          <w:rFonts w:hAnsi="宋体" w:cs="宋体"/>
          <w:color w:val="auto"/>
          <w:sz w:val="24"/>
          <w:szCs w:val="24"/>
          <w:highlight w:val="none"/>
        </w:rPr>
      </w:pPr>
      <w:r>
        <w:rPr>
          <w:rFonts w:hint="eastAsia" w:hAnsi="宋体" w:cs="宋体"/>
          <w:color w:val="auto"/>
          <w:sz w:val="24"/>
          <w:szCs w:val="24"/>
          <w:highlight w:val="none"/>
          <w:lang w:val="en-US" w:eastAsia="zh-CN"/>
        </w:rPr>
        <w:t>监理负责人（总监）</w:t>
      </w:r>
      <w:r>
        <w:rPr>
          <w:rFonts w:hint="eastAsia" w:hAnsi="宋体" w:cs="宋体"/>
          <w:color w:val="auto"/>
          <w:sz w:val="24"/>
          <w:szCs w:val="24"/>
          <w:highlight w:val="none"/>
        </w:rPr>
        <w:t>姓名：</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，身份证号码：</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，注册证书类别、专业、注册号：</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，职称、证书号：</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w:t>
      </w:r>
    </w:p>
    <w:p>
      <w:pPr>
        <w:pStyle w:val="14"/>
        <w:spacing w:line="360" w:lineRule="auto"/>
        <w:ind w:firstLine="480"/>
        <w:rPr>
          <w:color w:val="auto"/>
          <w:highlight w:val="none"/>
        </w:rPr>
      </w:pPr>
      <w:r>
        <w:rPr>
          <w:rFonts w:hint="eastAsia" w:hAnsi="宋体" w:cs="宋体"/>
          <w:color w:val="auto"/>
          <w:sz w:val="24"/>
          <w:szCs w:val="24"/>
          <w:highlight w:val="none"/>
          <w:lang w:val="en-US" w:eastAsia="zh-CN"/>
        </w:rPr>
        <w:t>造价咨询负责人</w:t>
      </w:r>
      <w:r>
        <w:rPr>
          <w:rFonts w:hint="eastAsia" w:hAnsi="宋体" w:cs="宋体"/>
          <w:color w:val="auto"/>
          <w:sz w:val="24"/>
          <w:szCs w:val="24"/>
          <w:highlight w:val="none"/>
        </w:rPr>
        <w:t>姓名：</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，身份证号码：</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，注册证书类别、专业、注册号：</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，职称、证书号：</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五、工程咨询服务目标</w:t>
      </w:r>
    </w:p>
    <w:p>
      <w:pPr>
        <w:spacing w:line="360" w:lineRule="auto"/>
        <w:ind w:firstLine="480"/>
        <w:rPr>
          <w:rFonts w:ascii="宋体" w:hAnsi="宋体" w:cs="宋体"/>
          <w:color w:val="auto"/>
          <w:sz w:val="24"/>
          <w:szCs w:val="24"/>
          <w:highlight w:val="none"/>
          <w:u w:val="single"/>
        </w:rPr>
      </w:pPr>
      <w:r>
        <w:rPr>
          <w:rFonts w:ascii="宋体" w:hAnsi="宋体" w:cs="宋体"/>
          <w:color w:val="auto"/>
          <w:sz w:val="24"/>
          <w:szCs w:val="24"/>
          <w:highlight w:val="none"/>
          <w:u w:val="single"/>
        </w:rPr>
        <w:t>1</w:t>
      </w:r>
      <w:r>
        <w:rPr>
          <w:rFonts w:hint="eastAsia" w:ascii="宋体" w:hAnsi="宋体" w:cs="宋体"/>
          <w:color w:val="auto"/>
          <w:sz w:val="24"/>
          <w:szCs w:val="24"/>
          <w:highlight w:val="none"/>
          <w:u w:val="single"/>
          <w:lang w:eastAsia="zh-CN"/>
        </w:rPr>
        <w:t>.</w:t>
      </w:r>
      <w:r>
        <w:rPr>
          <w:rFonts w:ascii="宋体" w:hAnsi="宋体" w:cs="宋体"/>
          <w:color w:val="auto"/>
          <w:sz w:val="24"/>
          <w:szCs w:val="24"/>
          <w:highlight w:val="none"/>
          <w:u w:val="single"/>
        </w:rPr>
        <w:t>提供符合现行规范、标准及设计要求项目产品的高质量咨询服务；</w:t>
      </w:r>
    </w:p>
    <w:p>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u w:val="single"/>
        </w:rPr>
        <w:t>2</w:t>
      </w:r>
      <w:r>
        <w:rPr>
          <w:rFonts w:hint="eastAsia" w:ascii="宋体" w:hAnsi="宋体" w:cs="宋体"/>
          <w:color w:val="auto"/>
          <w:sz w:val="24"/>
          <w:szCs w:val="24"/>
          <w:highlight w:val="none"/>
          <w:u w:val="single"/>
          <w:lang w:eastAsia="zh-CN"/>
        </w:rPr>
        <w:t>.</w:t>
      </w:r>
      <w:r>
        <w:rPr>
          <w:rFonts w:ascii="宋体" w:hAnsi="宋体" w:cs="宋体"/>
          <w:color w:val="auto"/>
          <w:sz w:val="24"/>
          <w:szCs w:val="24"/>
          <w:highlight w:val="none"/>
          <w:u w:val="single"/>
        </w:rPr>
        <w:t>合理控制项目造价。</w:t>
      </w:r>
    </w:p>
    <w:p>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六、工程咨询报酬</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根据工程咨询服务范围和内容，包括税金，管理费，各类评审专家费，会务费等一切费用。本项目中标下浮率为</w:t>
      </w:r>
      <w:r>
        <w:rPr>
          <w:rFonts w:ascii="宋体" w:hAnsi="宋体" w:cs="宋体"/>
          <w:b/>
          <w:bCs/>
          <w:color w:val="auto"/>
          <w:sz w:val="24"/>
          <w:szCs w:val="24"/>
          <w:highlight w:val="none"/>
          <w:u w:val="single"/>
        </w:rPr>
        <w:t xml:space="preserve">    　</w:t>
      </w:r>
      <w:r>
        <w:rPr>
          <w:rFonts w:ascii="宋体" w:hAnsi="宋体" w:cs="宋体"/>
          <w:b/>
          <w:bCs/>
          <w:color w:val="auto"/>
          <w:sz w:val="24"/>
          <w:szCs w:val="24"/>
          <w:highlight w:val="none"/>
        </w:rPr>
        <w:t>%</w:t>
      </w:r>
      <w:r>
        <w:rPr>
          <w:rFonts w:hint="eastAsia" w:ascii="宋体" w:hAnsi="宋体" w:cs="宋体"/>
          <w:color w:val="auto"/>
          <w:sz w:val="24"/>
          <w:szCs w:val="24"/>
          <w:highlight w:val="none"/>
        </w:rPr>
        <w:t>，合同价为</w:t>
      </w:r>
      <w:r>
        <w:rPr>
          <w:rFonts w:hint="eastAsia" w:ascii="宋体" w:hAnsi="宋体" w:cs="宋体"/>
          <w:b/>
          <w:color w:val="auto"/>
          <w:sz w:val="24"/>
          <w:szCs w:val="24"/>
          <w:highlight w:val="none"/>
        </w:rPr>
        <w:t>大写：</w:t>
      </w:r>
      <w:r>
        <w:rPr>
          <w:rFonts w:hint="eastAsia" w:ascii="宋体" w:hAnsi="宋体" w:cs="宋体"/>
          <w:b/>
          <w:bCs/>
          <w:color w:val="auto"/>
          <w:sz w:val="24"/>
          <w:szCs w:val="24"/>
          <w:highlight w:val="none"/>
          <w:u w:val="single"/>
        </w:rPr>
        <w:t>　</w:t>
      </w:r>
      <w:r>
        <w:rPr>
          <w:rFonts w:ascii="宋体" w:hAnsi="宋体" w:cs="宋体"/>
          <w:b/>
          <w:bCs/>
          <w:color w:val="auto"/>
          <w:sz w:val="24"/>
          <w:szCs w:val="24"/>
          <w:highlight w:val="none"/>
          <w:u w:val="single"/>
        </w:rPr>
        <w:t xml:space="preserve">    　 </w:t>
      </w:r>
      <w:r>
        <w:rPr>
          <w:rFonts w:ascii="宋体" w:hAnsi="宋体" w:cs="宋体"/>
          <w:b/>
          <w:bCs/>
          <w:color w:val="auto"/>
          <w:sz w:val="24"/>
          <w:szCs w:val="24"/>
          <w:highlight w:val="none"/>
        </w:rPr>
        <w:t>(</w:t>
      </w:r>
      <w:r>
        <w:rPr>
          <w:rFonts w:hint="eastAsia" w:ascii="宋体" w:hAnsi="宋体" w:cs="宋体"/>
          <w:b/>
          <w:bCs/>
          <w:color w:val="auto"/>
          <w:sz w:val="24"/>
          <w:szCs w:val="24"/>
          <w:highlight w:val="none"/>
        </w:rPr>
        <w:t>小写：￥</w:t>
      </w:r>
      <w:r>
        <w:rPr>
          <w:rFonts w:hint="eastAsia" w:ascii="宋体" w:hAnsi="宋体" w:cs="宋体"/>
          <w:b/>
          <w:bCs/>
          <w:color w:val="auto"/>
          <w:sz w:val="24"/>
          <w:szCs w:val="24"/>
          <w:highlight w:val="none"/>
          <w:u w:val="single"/>
        </w:rPr>
        <w:t>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rPr>
        <w:t>)</w:t>
      </w:r>
      <w:r>
        <w:rPr>
          <w:rFonts w:hint="eastAsia" w:ascii="宋体" w:hAnsi="宋体" w:cs="宋体"/>
          <w:color w:val="auto"/>
          <w:sz w:val="24"/>
          <w:szCs w:val="24"/>
          <w:highlight w:val="none"/>
        </w:rPr>
        <w:t>。其中：</w:t>
      </w:r>
    </w:p>
    <w:tbl>
      <w:tblPr>
        <w:tblStyle w:val="2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7221"/>
        <w:gridCol w:w="1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asciiTheme="minorEastAsia" w:hAnsiTheme="minorEastAsia" w:eastAsiaTheme="minorEastAsia"/>
                <w:b/>
                <w:bCs/>
                <w:color w:val="auto"/>
                <w:spacing w:val="-6"/>
                <w:sz w:val="24"/>
                <w:szCs w:val="24"/>
                <w:highlight w:val="none"/>
              </w:rPr>
              <w:t>序号</w:t>
            </w:r>
          </w:p>
        </w:tc>
        <w:tc>
          <w:tcPr>
            <w:tcW w:w="722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asciiTheme="minorEastAsia" w:hAnsiTheme="minorEastAsia" w:eastAsiaTheme="minorEastAsia"/>
                <w:b/>
                <w:bCs/>
                <w:color w:val="auto"/>
                <w:spacing w:val="-6"/>
                <w:sz w:val="24"/>
                <w:szCs w:val="24"/>
                <w:highlight w:val="none"/>
              </w:rPr>
              <w:t>服务内容</w:t>
            </w:r>
          </w:p>
        </w:tc>
        <w:tc>
          <w:tcPr>
            <w:tcW w:w="109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hint="eastAsia" w:asciiTheme="minorEastAsia" w:hAnsiTheme="minorEastAsia" w:eastAsiaTheme="minorEastAsia"/>
                <w:b/>
                <w:bCs/>
                <w:color w:val="auto"/>
                <w:spacing w:val="-6"/>
                <w:sz w:val="24"/>
                <w:szCs w:val="24"/>
                <w:highlight w:val="none"/>
              </w:rPr>
              <w:t>中标价</w:t>
            </w:r>
          </w:p>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hint="eastAsia" w:asciiTheme="minorEastAsia" w:hAnsiTheme="minorEastAsia" w:eastAsiaTheme="minorEastAsia"/>
                <w:b/>
                <w:bCs/>
                <w:color w:val="auto"/>
                <w:spacing w:val="-6"/>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color w:val="auto"/>
                <w:spacing w:val="-6"/>
                <w:sz w:val="24"/>
                <w:szCs w:val="24"/>
                <w:highlight w:val="none"/>
              </w:rPr>
              <w:t>一</w:t>
            </w:r>
          </w:p>
        </w:tc>
        <w:tc>
          <w:tcPr>
            <w:tcW w:w="7221" w:type="dxa"/>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项目</w:t>
            </w:r>
            <w:r>
              <w:rPr>
                <w:rFonts w:hint="eastAsia" w:asciiTheme="minorEastAsia" w:hAnsiTheme="minorEastAsia" w:eastAsiaTheme="minorEastAsia"/>
                <w:color w:val="auto"/>
                <w:spacing w:val="-6"/>
                <w:sz w:val="24"/>
                <w:szCs w:val="24"/>
                <w:highlight w:val="none"/>
                <w:lang w:val="en-US" w:eastAsia="zh-CN"/>
              </w:rPr>
              <w:t>建设</w:t>
            </w:r>
            <w:r>
              <w:rPr>
                <w:rFonts w:hint="eastAsia" w:asciiTheme="minorEastAsia" w:hAnsiTheme="minorEastAsia" w:eastAsiaTheme="minorEastAsia"/>
                <w:color w:val="auto"/>
                <w:spacing w:val="-6"/>
                <w:sz w:val="24"/>
                <w:szCs w:val="24"/>
                <w:highlight w:val="none"/>
              </w:rPr>
              <w:t>管理费</w:t>
            </w:r>
          </w:p>
        </w:tc>
        <w:tc>
          <w:tcPr>
            <w:tcW w:w="109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二</w:t>
            </w:r>
          </w:p>
        </w:tc>
        <w:tc>
          <w:tcPr>
            <w:tcW w:w="7221" w:type="dxa"/>
            <w:shd w:val="clear" w:color="auto" w:fill="auto"/>
            <w:vAlign w:val="center"/>
          </w:tcPr>
          <w:p>
            <w:pPr>
              <w:widowControl/>
              <w:spacing w:line="400" w:lineRule="exact"/>
              <w:jc w:val="lef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监理费</w:t>
            </w:r>
          </w:p>
        </w:tc>
        <w:tc>
          <w:tcPr>
            <w:tcW w:w="109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三</w:t>
            </w:r>
          </w:p>
        </w:tc>
        <w:tc>
          <w:tcPr>
            <w:tcW w:w="7221" w:type="dxa"/>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工程造价咨询费</w:t>
            </w:r>
          </w:p>
        </w:tc>
        <w:tc>
          <w:tcPr>
            <w:tcW w:w="109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p>
        </w:tc>
        <w:tc>
          <w:tcPr>
            <w:tcW w:w="8318" w:type="dxa"/>
            <w:gridSpan w:val="2"/>
            <w:tcBorders>
              <w:right w:val="single" w:color="auto" w:sz="4" w:space="0"/>
            </w:tcBorders>
            <w:shd w:val="clear" w:color="auto" w:fill="auto"/>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cs="仿宋" w:asciiTheme="minorEastAsia" w:hAnsiTheme="minorEastAsia" w:eastAsiaTheme="minorEastAsia"/>
                <w:color w:val="auto"/>
                <w:sz w:val="24"/>
                <w:szCs w:val="24"/>
                <w:highlight w:val="none"/>
              </w:rPr>
              <w:t>合计中标价为：  万元</w:t>
            </w:r>
          </w:p>
        </w:tc>
      </w:tr>
    </w:tbl>
    <w:p>
      <w:pPr>
        <w:spacing w:line="4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除上述正常工作报酬外的附加工作报酬、工作奖励或参与投资结余分成等，在专用条件中约定。</w:t>
      </w:r>
    </w:p>
    <w:p>
      <w:pPr>
        <w:spacing w:line="4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全过程工程工程</w:t>
      </w:r>
      <w:r>
        <w:rPr>
          <w:rFonts w:hint="eastAsia" w:ascii="宋体" w:hAnsi="宋体" w:eastAsia="宋体" w:cs="宋体"/>
          <w:color w:val="auto"/>
          <w:sz w:val="24"/>
          <w:szCs w:val="24"/>
          <w:highlight w:val="none"/>
        </w:rPr>
        <w:t>咨询服务费由监理费、造价咨询费、项目建设管理费</w:t>
      </w:r>
      <w:r>
        <w:rPr>
          <w:rFonts w:hint="eastAsia" w:ascii="宋体" w:hAnsi="宋体" w:eastAsia="宋体" w:cs="宋体"/>
          <w:color w:val="auto"/>
          <w:sz w:val="24"/>
          <w:szCs w:val="24"/>
          <w:highlight w:val="none"/>
          <w:lang w:val="en-US" w:eastAsia="zh-CN"/>
        </w:rPr>
        <w:t>组成，</w:t>
      </w:r>
      <w:r>
        <w:rPr>
          <w:rFonts w:hint="eastAsia" w:ascii="宋体" w:hAnsi="宋体" w:eastAsia="宋体" w:cs="宋体"/>
          <w:color w:val="auto"/>
          <w:sz w:val="24"/>
          <w:szCs w:val="24"/>
          <w:highlight w:val="none"/>
        </w:rPr>
        <w:t>包括了完成本项目的全过程工程咨询和其相关服务所需的人工费、应委托人要求节假日期间安排人员在岗值班产生的加班费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现场测量费、专家咨询费、外出考察费、会议费、差旅费、管理费、通讯费、</w:t>
      </w:r>
      <w:r>
        <w:rPr>
          <w:rFonts w:hint="eastAsia" w:ascii="宋体" w:hAnsi="宋体" w:eastAsia="宋体" w:cs="宋体"/>
          <w:color w:val="auto"/>
          <w:sz w:val="24"/>
          <w:szCs w:val="24"/>
          <w:highlight w:val="none"/>
          <w:lang w:val="en-US" w:eastAsia="zh-CN"/>
        </w:rPr>
        <w:t>办公及生活设备、</w:t>
      </w:r>
      <w:r>
        <w:rPr>
          <w:rFonts w:hint="eastAsia" w:ascii="宋体" w:hAnsi="宋体" w:eastAsia="宋体" w:cs="宋体"/>
          <w:color w:val="auto"/>
          <w:sz w:val="24"/>
          <w:szCs w:val="24"/>
          <w:highlight w:val="none"/>
        </w:rPr>
        <w:t>设备（仪器）费、利润、进驻人员工伤保险费和意外伤害保险费、税金、风险费以及政策和行业规定的各项税费，凡未列入的均将被认为已包含在投标总价中不再单独计取。</w:t>
      </w:r>
      <w:bookmarkStart w:id="993" w:name="_Toc75877320"/>
      <w:r>
        <w:rPr>
          <w:rFonts w:hint="eastAsia" w:ascii="宋体" w:hAnsi="宋体" w:eastAsia="宋体" w:cs="宋体"/>
          <w:color w:val="auto"/>
          <w:sz w:val="24"/>
          <w:szCs w:val="24"/>
          <w:highlight w:val="none"/>
          <w:lang w:val="en-US" w:eastAsia="zh-CN"/>
        </w:rPr>
        <w:t>在合同实施期间，若由于国家政策调整或新颁法律、法规、标准的发布或市场因素变化政策调整等因素造成的施工工期延误或建设期延长，发包人不再追加相关费用；在合同实施期间，</w:t>
      </w:r>
      <w:r>
        <w:rPr>
          <w:rFonts w:hint="eastAsia" w:ascii="宋体" w:hAnsi="宋体" w:eastAsia="宋体" w:cs="宋体"/>
          <w:color w:val="auto"/>
          <w:sz w:val="24"/>
          <w:szCs w:val="24"/>
          <w:highlight w:val="none"/>
        </w:rPr>
        <w:t>本项目实际结算总费用根据上述分项收费标准结合中标浮动率结算，</w:t>
      </w:r>
      <w:r>
        <w:rPr>
          <w:rFonts w:hint="eastAsia" w:ascii="宋体" w:hAnsi="宋体" w:eastAsia="宋体" w:cs="宋体"/>
          <w:color w:val="auto"/>
          <w:sz w:val="24"/>
          <w:szCs w:val="24"/>
          <w:highlight w:val="none"/>
          <w:lang w:val="en-US" w:eastAsia="zh-CN"/>
        </w:rPr>
        <w:t>合同价不作调整。</w:t>
      </w:r>
    </w:p>
    <w:p>
      <w:pPr>
        <w:numPr>
          <w:ilvl w:val="0"/>
          <w:numId w:val="8"/>
        </w:numPr>
        <w:spacing w:line="420" w:lineRule="exact"/>
        <w:ind w:firstLine="480"/>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工程咨询服务期限</w:t>
      </w:r>
      <w:bookmarkEnd w:id="993"/>
    </w:p>
    <w:p>
      <w:pPr>
        <w:numPr>
          <w:ilvl w:val="0"/>
          <w:numId w:val="0"/>
        </w:num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自咨询合同签订之日起，至本项目竣工验收后缺陷责任期满且结算审计结束，并完成招标范围内所有工作内容、办结相关档案的整体移交之日止。</w:t>
      </w:r>
    </w:p>
    <w:p>
      <w:pPr>
        <w:numPr>
          <w:ilvl w:val="0"/>
          <w:numId w:val="8"/>
        </w:numPr>
        <w:spacing w:line="420" w:lineRule="exact"/>
        <w:ind w:left="0" w:leftChars="0" w:firstLine="480" w:firstLineChars="0"/>
        <w:rPr>
          <w:rFonts w:hint="eastAsia" w:ascii="宋体" w:hAnsi="宋体" w:cs="宋体"/>
          <w:b/>
          <w:color w:val="auto"/>
          <w:sz w:val="24"/>
          <w:szCs w:val="24"/>
          <w:highlight w:val="none"/>
        </w:rPr>
      </w:pPr>
      <w:r>
        <w:rPr>
          <w:rFonts w:hint="eastAsia" w:ascii="宋体" w:hAnsi="宋体" w:cs="宋体"/>
          <w:b/>
          <w:color w:val="auto"/>
          <w:sz w:val="24"/>
          <w:szCs w:val="24"/>
          <w:highlight w:val="none"/>
        </w:rPr>
        <w:t>双方承诺</w:t>
      </w:r>
    </w:p>
    <w:p>
      <w:pPr>
        <w:numPr>
          <w:ilvl w:val="0"/>
          <w:numId w:val="0"/>
        </w:num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委托人承诺，遵守本合同中的各项约定，按本同约定支付酬金。</w:t>
      </w:r>
    </w:p>
    <w:p>
      <w:pPr>
        <w:numPr>
          <w:ilvl w:val="0"/>
          <w:numId w:val="0"/>
        </w:num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工程咨询人承诺，遵守本合同中的各项约定，按本合同约定提供工程咨询服务。</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九、争议解决</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本合同履行过程中引起的争议，由双方当事人协商解决，协商不成的，按照下列方式</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二</w:t>
      </w:r>
      <w:r>
        <w:rPr>
          <w:rFonts w:ascii="宋体" w:hAnsi="宋体" w:cs="宋体"/>
          <w:color w:val="auto"/>
          <w:sz w:val="24"/>
          <w:szCs w:val="24"/>
          <w:highlight w:val="none"/>
          <w:u w:val="single"/>
        </w:rPr>
        <w:t>）</w:t>
      </w:r>
      <w:r>
        <w:rPr>
          <w:rFonts w:hint="eastAsia" w:ascii="宋体" w:hAnsi="宋体" w:cs="宋体"/>
          <w:color w:val="auto"/>
          <w:sz w:val="24"/>
          <w:szCs w:val="24"/>
          <w:highlight w:val="none"/>
        </w:rPr>
        <w:t>解决：</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一</w:t>
      </w:r>
      <w:r>
        <w:rPr>
          <w:rFonts w:ascii="宋体" w:hAnsi="宋体" w:cs="宋体"/>
          <w:color w:val="auto"/>
          <w:sz w:val="24"/>
          <w:szCs w:val="24"/>
          <w:highlight w:val="none"/>
        </w:rPr>
        <w:t>）提交</w:t>
      </w:r>
      <w:r>
        <w:rPr>
          <w:rFonts w:ascii="宋体" w:hAnsi="宋体" w:cs="宋体"/>
          <w:color w:val="auto"/>
          <w:sz w:val="24"/>
          <w:szCs w:val="24"/>
          <w:highlight w:val="none"/>
          <w:u w:val="single"/>
        </w:rPr>
        <w:t xml:space="preserve">  绍兴  </w:t>
      </w:r>
      <w:r>
        <w:rPr>
          <w:rFonts w:hint="eastAsia" w:ascii="宋体" w:hAnsi="宋体" w:cs="宋体"/>
          <w:color w:val="auto"/>
          <w:sz w:val="24"/>
          <w:szCs w:val="24"/>
          <w:highlight w:val="none"/>
        </w:rPr>
        <w:t>仲裁委员会仲裁；</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二</w:t>
      </w:r>
      <w:r>
        <w:rPr>
          <w:rFonts w:ascii="宋体" w:hAnsi="宋体" w:cs="宋体"/>
          <w:color w:val="auto"/>
          <w:sz w:val="24"/>
          <w:szCs w:val="24"/>
          <w:highlight w:val="none"/>
        </w:rPr>
        <w:t>）依法向</w:t>
      </w:r>
      <w:r>
        <w:rPr>
          <w:rFonts w:hint="eastAsia" w:ascii="宋体" w:hAnsi="宋体" w:cs="宋体"/>
          <w:color w:val="auto"/>
          <w:sz w:val="24"/>
          <w:szCs w:val="24"/>
          <w:highlight w:val="none"/>
          <w:u w:val="single"/>
        </w:rPr>
        <w:t>诸暨市</w:t>
      </w:r>
      <w:r>
        <w:rPr>
          <w:rFonts w:hint="eastAsia" w:ascii="宋体" w:hAnsi="宋体" w:cs="宋体"/>
          <w:color w:val="auto"/>
          <w:sz w:val="24"/>
          <w:szCs w:val="24"/>
          <w:highlight w:val="none"/>
        </w:rPr>
        <w:t>人民法院起诉。</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十、合同订立</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订立地点：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十一、合同份数</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本合同一式</w:t>
      </w:r>
      <w:r>
        <w:rPr>
          <w:rFonts w:hint="eastAsia" w:ascii="宋体" w:hAnsi="宋体" w:cs="宋体"/>
          <w:color w:val="auto"/>
          <w:sz w:val="24"/>
          <w:szCs w:val="24"/>
          <w:highlight w:val="none"/>
          <w:u w:val="single"/>
        </w:rPr>
        <w:t>壹</w:t>
      </w:r>
      <w:r>
        <w:rPr>
          <w:rFonts w:hint="eastAsia" w:ascii="宋体" w:hAnsi="宋体" w:cs="宋体"/>
          <w:color w:val="auto"/>
          <w:sz w:val="24"/>
          <w:szCs w:val="24"/>
          <w:highlight w:val="none"/>
          <w:u w:val="single"/>
          <w:lang w:val="en-US" w:eastAsia="zh-CN"/>
        </w:rPr>
        <w:t>拾贰</w:t>
      </w:r>
      <w:r>
        <w:rPr>
          <w:rFonts w:hint="eastAsia" w:ascii="宋体" w:hAnsi="宋体" w:cs="宋体"/>
          <w:color w:val="auto"/>
          <w:sz w:val="24"/>
          <w:szCs w:val="24"/>
          <w:highlight w:val="none"/>
        </w:rPr>
        <w:t>份，具有同等法律效力，其中委托人执</w:t>
      </w:r>
      <w:r>
        <w:rPr>
          <w:rFonts w:hint="eastAsia" w:ascii="宋体" w:hAnsi="宋体" w:cs="宋体"/>
          <w:color w:val="auto"/>
          <w:sz w:val="24"/>
          <w:szCs w:val="24"/>
          <w:highlight w:val="none"/>
          <w:u w:val="single"/>
        </w:rPr>
        <w:t>肆</w:t>
      </w:r>
      <w:r>
        <w:rPr>
          <w:rFonts w:hint="eastAsia" w:ascii="宋体" w:hAnsi="宋体" w:cs="宋体"/>
          <w:color w:val="auto"/>
          <w:sz w:val="24"/>
          <w:szCs w:val="24"/>
          <w:highlight w:val="none"/>
        </w:rPr>
        <w:t>份，</w:t>
      </w:r>
      <w:r>
        <w:rPr>
          <w:rFonts w:hint="eastAsia" w:ascii="宋体" w:hAnsi="宋体" w:cs="宋体"/>
          <w:color w:val="auto"/>
          <w:sz w:val="24"/>
          <w:szCs w:val="24"/>
          <w:highlight w:val="none"/>
          <w:lang w:val="en-US" w:eastAsia="zh-CN"/>
        </w:rPr>
        <w:t>工程</w:t>
      </w:r>
      <w:r>
        <w:rPr>
          <w:rFonts w:hint="eastAsia" w:ascii="宋体" w:hAnsi="宋体" w:cs="宋体"/>
          <w:color w:val="auto"/>
          <w:sz w:val="24"/>
          <w:szCs w:val="24"/>
          <w:highlight w:val="none"/>
        </w:rPr>
        <w:t>咨询人执</w:t>
      </w:r>
      <w:r>
        <w:rPr>
          <w:rFonts w:hint="eastAsia" w:ascii="宋体" w:hAnsi="宋体" w:cs="宋体"/>
          <w:color w:val="auto"/>
          <w:sz w:val="24"/>
          <w:szCs w:val="24"/>
          <w:highlight w:val="none"/>
          <w:u w:val="single"/>
          <w:lang w:val="en-US" w:eastAsia="zh-CN"/>
        </w:rPr>
        <w:t>捌</w:t>
      </w:r>
      <w:r>
        <w:rPr>
          <w:rFonts w:hint="eastAsia" w:ascii="宋体" w:hAnsi="宋体" w:cs="宋体"/>
          <w:color w:val="auto"/>
          <w:sz w:val="24"/>
          <w:szCs w:val="24"/>
          <w:highlight w:val="none"/>
        </w:rPr>
        <w:t>份。</w:t>
      </w:r>
    </w:p>
    <w:tbl>
      <w:tblPr>
        <w:tblStyle w:val="26"/>
        <w:tblpPr w:leftFromText="180" w:rightFromText="180" w:vertAnchor="text" w:horzAnchor="page" w:tblpX="1855" w:tblpY="1285"/>
        <w:tblOverlap w:val="never"/>
        <w:tblW w:w="8825"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511"/>
        <w:gridCol w:w="431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800" w:hRule="atLeast"/>
        </w:trPr>
        <w:tc>
          <w:tcPr>
            <w:tcW w:w="4511" w:type="dxa"/>
            <w:tcBorders>
              <w:top w:val="single" w:color="auto" w:sz="2" w:space="0"/>
              <w:left w:val="single" w:color="auto" w:sz="2" w:space="0"/>
              <w:bottom w:val="single" w:color="auto" w:sz="2" w:space="0"/>
              <w:right w:val="single" w:color="auto" w:sz="2" w:space="0"/>
            </w:tcBorders>
          </w:tcPr>
          <w:p>
            <w:pPr>
              <w:spacing w:line="360" w:lineRule="auto"/>
              <w:ind w:firstLine="616" w:firstLineChars="220"/>
              <w:jc w:val="center"/>
              <w:rPr>
                <w:rFonts w:ascii="宋体" w:hAnsi="宋体" w:cs="宋体"/>
                <w:color w:val="auto"/>
                <w:spacing w:val="20"/>
                <w:sz w:val="24"/>
                <w:szCs w:val="24"/>
                <w:highlight w:val="none"/>
              </w:rPr>
            </w:pP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委托人：（盖章）</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住所：</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法定代表人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或委托代理人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电话：</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传真：</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开户银行：</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账号：</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邮政编码：</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电子邮箱：</w:t>
            </w:r>
          </w:p>
        </w:tc>
        <w:tc>
          <w:tcPr>
            <w:tcW w:w="4314" w:type="dxa"/>
            <w:tcBorders>
              <w:top w:val="single" w:color="auto" w:sz="2" w:space="0"/>
              <w:left w:val="single" w:color="auto" w:sz="2" w:space="0"/>
              <w:bottom w:val="single" w:color="auto" w:sz="2" w:space="0"/>
              <w:right w:val="single" w:color="auto" w:sz="2" w:space="0"/>
            </w:tcBorders>
          </w:tcPr>
          <w:p>
            <w:pPr>
              <w:spacing w:line="360" w:lineRule="auto"/>
              <w:ind w:firstLine="616" w:firstLineChars="220"/>
              <w:rPr>
                <w:rFonts w:ascii="宋体" w:hAnsi="宋体" w:cs="宋体"/>
                <w:color w:val="auto"/>
                <w:spacing w:val="20"/>
                <w:sz w:val="24"/>
                <w:szCs w:val="24"/>
                <w:highlight w:val="none"/>
              </w:rPr>
            </w:pP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lang w:val="en-US" w:eastAsia="zh-CN"/>
              </w:rPr>
              <w:t>工程</w:t>
            </w:r>
            <w:r>
              <w:rPr>
                <w:rFonts w:hint="eastAsia" w:ascii="宋体" w:hAnsi="宋体" w:cs="宋体"/>
                <w:color w:val="auto"/>
                <w:spacing w:val="20"/>
                <w:sz w:val="24"/>
                <w:szCs w:val="24"/>
                <w:highlight w:val="none"/>
              </w:rPr>
              <w:t>咨询人（或联合体牵头人）：（盖章）</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住所：</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法定代表人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或委托代理人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电话：</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传真：</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开户银行：</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账号：</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邮政编码：　　　　</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电子邮箱：</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或联合体成员：（盖章）</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住所：</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法定代表人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或委托代理人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电话：</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传真：</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开户银行：</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账号：</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邮政编码：　　　　</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电子邮箱：</w:t>
            </w:r>
          </w:p>
        </w:tc>
      </w:tr>
    </w:tbl>
    <w:p>
      <w:pPr>
        <w:spacing w:line="360" w:lineRule="auto"/>
        <w:rPr>
          <w:rFonts w:ascii="宋体" w:hAnsi="宋体" w:cs="宋体"/>
          <w:color w:val="auto"/>
          <w:sz w:val="24"/>
          <w:szCs w:val="24"/>
          <w:highlight w:val="none"/>
        </w:rPr>
        <w:sectPr>
          <w:headerReference r:id="rId13" w:type="default"/>
          <w:footerReference r:id="rId14" w:type="default"/>
          <w:footnotePr>
            <w:numRestart w:val="eachPage"/>
          </w:footnotePr>
          <w:pgSz w:w="11906" w:h="16838"/>
          <w:pgMar w:top="1531" w:right="1361" w:bottom="1588" w:left="1701" w:header="1134" w:footer="964" w:gutter="0"/>
          <w:pgNumType w:fmt="decimal"/>
          <w:cols w:space="720" w:num="1"/>
          <w:docGrid w:linePitch="286" w:charSpace="0"/>
        </w:sectPr>
      </w:pPr>
    </w:p>
    <w:p>
      <w:pPr>
        <w:tabs>
          <w:tab w:val="left" w:pos="0"/>
          <w:tab w:val="left" w:pos="6300"/>
        </w:tabs>
        <w:spacing w:line="480" w:lineRule="exact"/>
        <w:jc w:val="center"/>
        <w:rPr>
          <w:rFonts w:hint="eastAsia" w:ascii="宋体" w:hAnsi="宋体" w:eastAsia="宋体" w:cs="宋体"/>
          <w:b/>
          <w:color w:val="auto"/>
          <w:sz w:val="32"/>
          <w:szCs w:val="22"/>
          <w:highlight w:val="none"/>
        </w:rPr>
      </w:pPr>
      <w:bookmarkStart w:id="994" w:name="_Toc29783"/>
      <w:r>
        <w:rPr>
          <w:rFonts w:hint="eastAsia" w:ascii="宋体" w:hAnsi="宋体" w:eastAsia="宋体" w:cs="宋体"/>
          <w:b/>
          <w:color w:val="auto"/>
          <w:sz w:val="32"/>
          <w:szCs w:val="22"/>
          <w:highlight w:val="none"/>
        </w:rPr>
        <w:t>第二部分通用条件</w:t>
      </w:r>
      <w:bookmarkEnd w:id="994"/>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1. </w:t>
      </w:r>
      <w:r>
        <w:rPr>
          <w:rFonts w:hint="eastAsia" w:ascii="宋体" w:hAnsi="宋体" w:cs="宋体"/>
          <w:b/>
          <w:color w:val="auto"/>
          <w:sz w:val="24"/>
          <w:szCs w:val="24"/>
          <w:highlight w:val="none"/>
        </w:rPr>
        <w:t>词语定义、语言</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 </w:t>
      </w:r>
      <w:r>
        <w:rPr>
          <w:rFonts w:hint="eastAsia" w:ascii="宋体" w:hAnsi="宋体" w:cs="宋体"/>
          <w:color w:val="auto"/>
          <w:sz w:val="24"/>
          <w:szCs w:val="24"/>
          <w:highlight w:val="none"/>
        </w:rPr>
        <w:t>除根据上下文另有其意义外，组成本合同的全部文件中的下列词语和用语具有本条款所赋予的含义：</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1.1.1 </w:t>
      </w:r>
      <w:r>
        <w:rPr>
          <w:rFonts w:hint="eastAsia" w:ascii="宋体" w:hAnsi="宋体" w:cs="宋体"/>
          <w:color w:val="auto"/>
          <w:sz w:val="24"/>
          <w:szCs w:val="24"/>
          <w:highlight w:val="none"/>
        </w:rPr>
        <w:t>“项目”是指委托人委托工程咨询人实施工程咨询的建设工程。</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1.1.2 </w:t>
      </w:r>
      <w:r>
        <w:rPr>
          <w:rFonts w:hint="eastAsia" w:ascii="宋体" w:hAnsi="宋体" w:cs="宋体"/>
          <w:color w:val="auto"/>
          <w:sz w:val="24"/>
          <w:szCs w:val="24"/>
          <w:highlight w:val="none"/>
        </w:rPr>
        <w:t>“委托人”是指委托工程咨询业务的一方及其合法的承继人。</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1.1.3 </w:t>
      </w:r>
      <w:r>
        <w:rPr>
          <w:rFonts w:hint="eastAsia"/>
          <w:color w:val="auto"/>
          <w:sz w:val="24"/>
          <w:szCs w:val="24"/>
          <w:highlight w:val="none"/>
          <w:lang w:eastAsia="zh-CN"/>
        </w:rPr>
        <w:t>“工程咨询人”是指提供工程咨询业务和承担工程咨询责任的一方及其合法的承继人。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1.1.4 </w:t>
      </w:r>
      <w:r>
        <w:rPr>
          <w:rFonts w:hint="eastAsia" w:ascii="宋体" w:hAnsi="宋体" w:cs="宋体"/>
          <w:color w:val="auto"/>
          <w:sz w:val="24"/>
          <w:szCs w:val="24"/>
          <w:highlight w:val="none"/>
        </w:rPr>
        <w:t>“建设管理”是指工程咨询人受托提供的全部或部分在项目建设过程中的建设管理并承担相应工程咨询责任的活动，包括但不限于对项目前期咨询、工程设计、工程实施、竣工结（决）算、试运行等过程及项目范围内的工程投资、合同履行、信息等内容进行管理和控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1.1.5 </w:t>
      </w:r>
      <w:r>
        <w:rPr>
          <w:rFonts w:hint="eastAsia" w:ascii="宋体" w:hAnsi="宋体" w:cs="宋体"/>
          <w:color w:val="auto"/>
          <w:sz w:val="24"/>
          <w:szCs w:val="24"/>
          <w:highlight w:val="none"/>
        </w:rPr>
        <w:t>“专业咨询服务”是指工程咨询人受托提供的投资咨询、设计技术咨询、招标代理、造价咨询等一项或多项专业化咨询服务。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1.1.6 </w:t>
      </w:r>
      <w:r>
        <w:rPr>
          <w:rFonts w:hint="eastAsia" w:ascii="宋体" w:hAnsi="宋体" w:cs="宋体"/>
          <w:color w:val="auto"/>
          <w:sz w:val="24"/>
          <w:szCs w:val="24"/>
          <w:highlight w:val="none"/>
        </w:rPr>
        <w:t>“工程咨询机构”是指由工程咨询人组建实施具体工程咨询工作的机构。</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1.1.7 </w:t>
      </w:r>
      <w:r>
        <w:rPr>
          <w:rFonts w:hint="eastAsia" w:ascii="宋体" w:hAnsi="宋体" w:cs="宋体"/>
          <w:color w:val="auto"/>
          <w:sz w:val="24"/>
          <w:szCs w:val="24"/>
          <w:highlight w:val="none"/>
        </w:rPr>
        <w:t>“项目负责人”是指经委托人同意，由工程咨询人任命的全面履行本合同的负责人。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1.1.8 </w:t>
      </w:r>
      <w:r>
        <w:rPr>
          <w:rFonts w:hint="eastAsia" w:ascii="宋体" w:hAnsi="宋体" w:cs="宋体"/>
          <w:color w:val="auto"/>
          <w:sz w:val="24"/>
          <w:szCs w:val="24"/>
          <w:highlight w:val="none"/>
        </w:rPr>
        <w:t>“正常工作”是指双方在合同中约定委托的工程咨询工作。</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1.1.9 </w:t>
      </w:r>
      <w:r>
        <w:rPr>
          <w:rFonts w:hint="eastAsia" w:ascii="宋体" w:hAnsi="宋体" w:cs="宋体"/>
          <w:color w:val="auto"/>
          <w:sz w:val="24"/>
          <w:szCs w:val="24"/>
          <w:highlight w:val="none"/>
        </w:rPr>
        <w:t>“附加工作”是指本合同约定的正常工作以外的工程咨询人的工作，包括在专用条件中约定的项目延期增加的工作。</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1.1.10 </w:t>
      </w:r>
      <w:r>
        <w:rPr>
          <w:rFonts w:hint="eastAsia" w:ascii="宋体" w:hAnsi="宋体" w:cs="宋体"/>
          <w:color w:val="auto"/>
          <w:sz w:val="24"/>
          <w:szCs w:val="24"/>
          <w:highlight w:val="none"/>
        </w:rPr>
        <w:t>“天”：除特别指明外，均指日历天。合同中按天计算时间的，开始当天不计入，从次日开始计算，期限最后一天的截止时间为当天</w:t>
      </w:r>
      <w:r>
        <w:rPr>
          <w:rFonts w:ascii="宋体" w:hAnsi="宋体" w:cs="宋体"/>
          <w:color w:val="auto"/>
          <w:sz w:val="24"/>
          <w:szCs w:val="24"/>
          <w:highlight w:val="none"/>
        </w:rPr>
        <w:t>24:00时。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1.1.11 </w:t>
      </w:r>
      <w:r>
        <w:rPr>
          <w:rFonts w:hint="eastAsia" w:ascii="宋体" w:hAnsi="宋体" w:cs="宋体"/>
          <w:color w:val="auto"/>
          <w:sz w:val="24"/>
          <w:szCs w:val="24"/>
          <w:highlight w:val="none"/>
        </w:rPr>
        <w:t>“参建方”是指承担本项目的监理、检测、监测、施工、专业咨询服务等工作的单位。</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1.1.12 </w:t>
      </w:r>
      <w:r>
        <w:rPr>
          <w:rFonts w:hint="eastAsia"/>
          <w:color w:val="auto"/>
          <w:sz w:val="24"/>
          <w:szCs w:val="24"/>
          <w:highlight w:val="none"/>
          <w:lang w:eastAsia="zh-CN"/>
        </w:rPr>
        <w:t>“不可抗力”是指委托人和工程咨询人在订立本合同时不可预见，在履行本合同过程中不可避免发生并不能克服的自然灾害和社会性突发事件，如地震、海啸、瘟疫、水灾、骚乱、暴动、战争和专用条件约定的其他情形。</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1.2 </w:t>
      </w:r>
      <w:r>
        <w:rPr>
          <w:rFonts w:hint="eastAsia" w:ascii="宋体" w:hAnsi="宋体" w:cs="宋体"/>
          <w:color w:val="auto"/>
          <w:sz w:val="24"/>
          <w:szCs w:val="24"/>
          <w:highlight w:val="none"/>
        </w:rPr>
        <w:t>本合同文件使用汉语语言文字书写、解释和说明。</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2. </w:t>
      </w:r>
      <w:r>
        <w:rPr>
          <w:rFonts w:hint="eastAsia" w:ascii="宋体" w:hAnsi="宋体" w:cs="宋体"/>
          <w:b/>
          <w:color w:val="auto"/>
          <w:sz w:val="24"/>
          <w:szCs w:val="24"/>
          <w:highlight w:val="none"/>
        </w:rPr>
        <w:t>委托人义务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2.1 </w:t>
      </w:r>
      <w:r>
        <w:rPr>
          <w:rFonts w:hint="eastAsia" w:ascii="宋体" w:hAnsi="宋体" w:cs="宋体"/>
          <w:color w:val="auto"/>
          <w:sz w:val="24"/>
          <w:szCs w:val="24"/>
          <w:highlight w:val="none"/>
        </w:rPr>
        <w:t>委托人应当监督和指导项目的策划和建设实施，并主持项目的竣工验收和移交使用。</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2.2 </w:t>
      </w:r>
      <w:r>
        <w:rPr>
          <w:rFonts w:hint="eastAsia" w:ascii="宋体" w:hAnsi="宋体" w:cs="宋体"/>
          <w:color w:val="auto"/>
          <w:sz w:val="24"/>
          <w:szCs w:val="24"/>
          <w:highlight w:val="none"/>
        </w:rPr>
        <w:t>委托人应当按专用条件约定派遣相应的人员，并为工程咨询工作提供必要的办公场所、资料等。</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2.3 </w:t>
      </w:r>
      <w:r>
        <w:rPr>
          <w:rFonts w:hint="eastAsia" w:ascii="宋体" w:hAnsi="宋体" w:cs="宋体"/>
          <w:color w:val="auto"/>
          <w:sz w:val="24"/>
          <w:szCs w:val="24"/>
          <w:highlight w:val="none"/>
        </w:rPr>
        <w:t>委托人应当按合同约定的方式、时间、金额向工程咨询人支付工程咨询费。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2.4 </w:t>
      </w:r>
      <w:r>
        <w:rPr>
          <w:rFonts w:hint="eastAsia" w:ascii="宋体" w:hAnsi="宋体" w:cs="宋体"/>
          <w:color w:val="auto"/>
          <w:sz w:val="24"/>
          <w:szCs w:val="24"/>
          <w:highlight w:val="none"/>
        </w:rPr>
        <w:t>委托人负责资金使用计划的审核与管理，并承担项目建设开支，向所有参建方按合同约定支付款项。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2.5 </w:t>
      </w:r>
      <w:r>
        <w:rPr>
          <w:rFonts w:hint="eastAsia" w:ascii="宋体" w:hAnsi="宋体" w:cs="宋体"/>
          <w:color w:val="auto"/>
          <w:spacing w:val="-2"/>
          <w:sz w:val="24"/>
          <w:szCs w:val="24"/>
          <w:highlight w:val="none"/>
        </w:rPr>
        <w:t>委托人应当授权一名熟悉项目情况、能在规定时间内作出决定的常驻代表负责与工程咨询人联系，若委托人更换常驻代表，应当提前通知工程咨询人。</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3. </w:t>
      </w:r>
      <w:r>
        <w:rPr>
          <w:rFonts w:hint="eastAsia" w:ascii="宋体" w:hAnsi="宋体" w:cs="宋体"/>
          <w:b/>
          <w:color w:val="auto"/>
          <w:sz w:val="24"/>
          <w:szCs w:val="24"/>
          <w:highlight w:val="none"/>
        </w:rPr>
        <w:t>工程咨询人义务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3.1 </w:t>
      </w:r>
      <w:r>
        <w:rPr>
          <w:rFonts w:hint="eastAsia" w:ascii="宋体" w:hAnsi="宋体" w:cs="宋体"/>
          <w:color w:val="auto"/>
          <w:sz w:val="24"/>
          <w:szCs w:val="24"/>
          <w:highlight w:val="none"/>
        </w:rPr>
        <w:t>工程咨询人应当按合同约定的具体工作范围及工作内容为委托人提供建设工程咨询服务。</w:t>
      </w:r>
    </w:p>
    <w:p>
      <w:pPr>
        <w:spacing w:line="360" w:lineRule="auto"/>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 xml:space="preserve">3.2 </w:t>
      </w:r>
      <w:r>
        <w:rPr>
          <w:rFonts w:hint="eastAsia" w:ascii="宋体" w:hAnsi="宋体" w:cs="宋体"/>
          <w:color w:val="auto"/>
          <w:sz w:val="24"/>
          <w:szCs w:val="24"/>
          <w:highlight w:val="none"/>
        </w:rPr>
        <w:t>工程咨询人在履行本合同义务期间，应当遵守国家有关法律、法规，维护委托人的合法权益。</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3</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应当组建能够满足工程咨询服务需要的工程咨询机构，向委托人报送项目负责人授权书（明确授权范围）、工程咨询机构主要成员名单、工程咨询规划或工程咨询计划，完成工程咨询合同约定的工程咨询业务。在履行合同义务期间，应当按专用条件约定向委托人报告工程咨询工作，提供相应的咨询服务成果文件。</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3.</w:t>
      </w:r>
      <w:r>
        <w:rPr>
          <w:rFonts w:hint="eastAsia" w:ascii="宋体" w:hAnsi="宋体" w:cs="宋体"/>
          <w:color w:val="auto"/>
          <w:kern w:val="0"/>
          <w:sz w:val="24"/>
          <w:szCs w:val="24"/>
          <w:highlight w:val="none"/>
          <w:lang w:val="en-US" w:eastAsia="zh-CN"/>
        </w:rPr>
        <w:t>4</w:t>
      </w:r>
      <w:r>
        <w:rPr>
          <w:rFonts w:hint="eastAsia"/>
          <w:color w:val="auto"/>
          <w:sz w:val="24"/>
          <w:szCs w:val="24"/>
          <w:highlight w:val="none"/>
          <w:lang w:eastAsia="zh-CN"/>
        </w:rPr>
        <w:t>工程咨询人应当按批准或同意的建设规模、建设内容和建设标准组织工程咨询，严格控制项目投资，确保工程质量，按期组织交验实体项目。工程咨询人不得在工程咨询过程中随意变更建设规模、建设内容和建设标准。如需超出范围变更，应当报委托人同意后遵循建设程序办理相关手续。</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工程咨询人应当根据项目进度需要，按专用条件约定向委托人提供资金使用计划。</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工程咨询人应当在项目建成后，及时协助委托人完成验收、竣工资料审核等相关工作。协助委托人组织项目移交使用，配合做好竣工结（决）算审查和项目审计工作。</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7</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工程咨询人应当在项目建成后，监督相关单位落实工程保修责任。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8</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工程咨询人应当建立完整的项目建设档案，在工程咨询任务完成后将项目档案及相关资料等整理汇编，向委托人移交。</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9</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工程咨询人使用的委托人提供的设施和物品属委托人所有。在工程咨询工作完成或中止时，工程咨询人应当将其设施和剩余的物品按专用条件约定的时间和方式移交给委托人。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未征得委托人同意，不得泄露本项目需要保密的技术与经济资料。</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11</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在工程咨询服务范围内，就委托人和其他参建方提出的意见和要求及时提出处理意见。如委托人与其他参建方发生合同争议，工程咨询人应当协助委托人与其他参建方协商解决。如委托人与其他参建方的合同争议进入仲裁或者诉讼程序，工程咨询人应当提供必要的证明资料。</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3.</w:t>
      </w:r>
      <w:r>
        <w:rPr>
          <w:rFonts w:hint="eastAsia" w:ascii="宋体" w:hAnsi="宋体" w:cs="宋体"/>
          <w:color w:val="auto"/>
          <w:kern w:val="0"/>
          <w:sz w:val="24"/>
          <w:szCs w:val="24"/>
          <w:highlight w:val="none"/>
          <w:lang w:val="en-US" w:eastAsia="zh-CN"/>
        </w:rPr>
        <w:t>12</w:t>
      </w:r>
      <w:r>
        <w:rPr>
          <w:rFonts w:hint="eastAsia"/>
          <w:color w:val="auto"/>
          <w:sz w:val="24"/>
          <w:szCs w:val="24"/>
          <w:highlight w:val="none"/>
          <w:lang w:eastAsia="zh-CN"/>
        </w:rPr>
        <w:t>除依法必须由委托人签章的工程文件外，工程咨询人根据委托人授权应当在相应的工程文件中代表委托人签章或共同签章。具体要求在专用条件中约定。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13</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工程咨询人在项目建设过程中负责起草项目建设相关合同文本（委托人自行起草或者委托他人起草的除外），参与合同洽商及审核合同文本，并为委托人提供相应咨询建议。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14</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工程咨询人不得将综合性咨询（项目管理）、工程监理、工程造价控制的专业咨询服务转委托给第三方实施。法律、法规、规章未禁止转委托的服务事项，经委托人同意，工程咨询人可以转委托，转委托协议等文件应当向委托人报备，工程咨询人对转委托服务负全部责任。</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4. </w:t>
      </w:r>
      <w:r>
        <w:rPr>
          <w:rFonts w:hint="eastAsia" w:ascii="宋体" w:hAnsi="宋体" w:cs="宋体"/>
          <w:b/>
          <w:color w:val="auto"/>
          <w:sz w:val="24"/>
          <w:szCs w:val="24"/>
          <w:highlight w:val="none"/>
        </w:rPr>
        <w:t>委托人权利</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4.1 </w:t>
      </w:r>
      <w:r>
        <w:rPr>
          <w:rFonts w:hint="eastAsia" w:ascii="宋体" w:hAnsi="宋体" w:cs="宋体"/>
          <w:color w:val="auto"/>
          <w:sz w:val="24"/>
          <w:szCs w:val="24"/>
          <w:highlight w:val="none"/>
        </w:rPr>
        <w:t>对工程咨询人在建设过程中负责起草及参与洽商的项目建设相关合同拥有最终审定权。</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4.2 </w:t>
      </w:r>
      <w:r>
        <w:rPr>
          <w:rFonts w:hint="eastAsia" w:ascii="宋体" w:hAnsi="宋体" w:cs="宋体"/>
          <w:color w:val="auto"/>
          <w:spacing w:val="-2"/>
          <w:sz w:val="24"/>
          <w:szCs w:val="24"/>
          <w:highlight w:val="none"/>
        </w:rPr>
        <w:t>对项目建设过程和工程咨询人的工作计划、步骤等实施情况进行监督。</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4.3 </w:t>
      </w:r>
      <w:r>
        <w:rPr>
          <w:rFonts w:hint="eastAsia" w:ascii="宋体" w:hAnsi="宋体" w:cs="宋体"/>
          <w:color w:val="auto"/>
          <w:sz w:val="24"/>
          <w:szCs w:val="24"/>
          <w:highlight w:val="none"/>
        </w:rPr>
        <w:t>对建设规模、设计标准、设计使用功能等项目建设相关事项进行认定，以及审批工程设计变更。</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4.4 </w:t>
      </w:r>
      <w:r>
        <w:rPr>
          <w:rFonts w:hint="eastAsia" w:ascii="宋体" w:hAnsi="宋体" w:cs="宋体"/>
          <w:color w:val="auto"/>
          <w:sz w:val="24"/>
          <w:szCs w:val="24"/>
          <w:highlight w:val="none"/>
        </w:rPr>
        <w:t>决定是否同意工程咨询人调换项目负责人。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4.5 </w:t>
      </w:r>
      <w:r>
        <w:rPr>
          <w:rFonts w:hint="eastAsia" w:ascii="宋体" w:hAnsi="宋体" w:cs="宋体"/>
          <w:color w:val="auto"/>
          <w:sz w:val="24"/>
          <w:szCs w:val="24"/>
          <w:highlight w:val="none"/>
        </w:rPr>
        <w:t>要求工程咨询人提交业务范围内的专项报告。</w:t>
      </w:r>
    </w:p>
    <w:p>
      <w:pPr>
        <w:tabs>
          <w:tab w:val="left" w:pos="4250"/>
          <w:tab w:val="left" w:pos="7480"/>
        </w:tabs>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4.6 </w:t>
      </w:r>
      <w:r>
        <w:rPr>
          <w:rFonts w:hint="eastAsia" w:ascii="宋体" w:hAnsi="宋体" w:cs="宋体"/>
          <w:color w:val="auto"/>
          <w:sz w:val="24"/>
          <w:szCs w:val="24"/>
          <w:highlight w:val="none"/>
        </w:rPr>
        <w:t>对工程咨询人派出的工程咨询机构与工程咨询人员进行审查，并对其工作进行检查和监督，以及要求工程咨询人更换不称职的工程咨询人员。</w:t>
      </w:r>
    </w:p>
    <w:p>
      <w:pPr>
        <w:tabs>
          <w:tab w:val="left" w:pos="4250"/>
          <w:tab w:val="left" w:pos="7480"/>
        </w:tabs>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4.7 </w:t>
      </w:r>
      <w:r>
        <w:rPr>
          <w:rFonts w:hint="eastAsia" w:ascii="宋体" w:hAnsi="宋体" w:cs="宋体"/>
          <w:color w:val="auto"/>
          <w:sz w:val="24"/>
          <w:szCs w:val="24"/>
          <w:highlight w:val="none"/>
        </w:rPr>
        <w:t>对工程咨询人提交的咨询成果文件进行审核。</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5. </w:t>
      </w:r>
      <w:r>
        <w:rPr>
          <w:rFonts w:hint="eastAsia" w:ascii="宋体" w:hAnsi="宋体" w:cs="宋体"/>
          <w:b/>
          <w:color w:val="auto"/>
          <w:sz w:val="24"/>
          <w:szCs w:val="24"/>
          <w:highlight w:val="none"/>
        </w:rPr>
        <w:t>工程咨询人权利</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 </w:t>
      </w:r>
      <w:r>
        <w:rPr>
          <w:rFonts w:hint="eastAsia" w:ascii="宋体" w:hAnsi="宋体" w:cs="宋体"/>
          <w:color w:val="auto"/>
          <w:sz w:val="24"/>
          <w:szCs w:val="24"/>
          <w:highlight w:val="none"/>
        </w:rPr>
        <w:t>工程咨询人在委托人委托的工程咨询范围内，享有以下权利：</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5.1.1</w:t>
      </w:r>
      <w:r>
        <w:rPr>
          <w:rFonts w:hint="eastAsia"/>
          <w:color w:val="auto"/>
          <w:sz w:val="24"/>
          <w:szCs w:val="24"/>
          <w:highlight w:val="none"/>
          <w:lang w:eastAsia="zh-CN"/>
        </w:rPr>
        <w:t>提出选择参建方的建议。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5.1.2 </w:t>
      </w:r>
      <w:r>
        <w:rPr>
          <w:rFonts w:hint="eastAsia" w:ascii="宋体" w:hAnsi="宋体" w:cs="宋体"/>
          <w:color w:val="auto"/>
          <w:sz w:val="24"/>
          <w:szCs w:val="24"/>
          <w:highlight w:val="none"/>
        </w:rPr>
        <w:t>知晓项目建设资金筹措等相关情况。</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5.1.3 </w:t>
      </w:r>
      <w:r>
        <w:rPr>
          <w:rFonts w:hint="eastAsia" w:ascii="宋体" w:hAnsi="宋体" w:cs="宋体"/>
          <w:color w:val="auto"/>
          <w:sz w:val="24"/>
          <w:szCs w:val="24"/>
          <w:highlight w:val="none"/>
        </w:rPr>
        <w:t>就建设规模、设计标准、使用功能要求等项目建设相关事项提出建议。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5.1.4 </w:t>
      </w:r>
      <w:r>
        <w:rPr>
          <w:rFonts w:hint="eastAsia" w:ascii="宋体" w:hAnsi="宋体" w:cs="宋体"/>
          <w:color w:val="auto"/>
          <w:sz w:val="24"/>
          <w:szCs w:val="24"/>
          <w:highlight w:val="none"/>
        </w:rPr>
        <w:t>就工程设计中的技术问题向设计人提出建议；可能提高工程造价、延长工期的建议，应当事先征得委托人的同意。发现工程设计不符合强制性标准或设计合同约定的，有权报告委托人或书面函告设计人要求更正。</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5.1.5 </w:t>
      </w:r>
      <w:r>
        <w:rPr>
          <w:rFonts w:hint="eastAsia"/>
          <w:color w:val="auto"/>
          <w:sz w:val="24"/>
          <w:szCs w:val="24"/>
          <w:highlight w:val="none"/>
          <w:lang w:eastAsia="zh-CN"/>
        </w:rPr>
        <w:t>向委托人提出设计优化、施工组织优化、建设管理流程优化、制度优化等建议。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5.1.6 </w:t>
      </w:r>
      <w:r>
        <w:rPr>
          <w:rFonts w:hint="eastAsia" w:ascii="宋体" w:hAnsi="宋体" w:cs="宋体"/>
          <w:color w:val="auto"/>
          <w:sz w:val="24"/>
          <w:szCs w:val="24"/>
          <w:highlight w:val="none"/>
        </w:rPr>
        <w:t>代表委托人或与委托人代表共同主持各参建方的组织协调，重要协调事项应当事先向委托人报告。</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5.1.7征得委托人同意，在建设相关合同约定的价格范围内对相应进度款项支付进行审核和确认，以及复核和确认相应合同结算价格。未经工程咨询负责人签字确认，委托人不得支付参建方款项。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5.1.8 </w:t>
      </w:r>
      <w:r>
        <w:rPr>
          <w:rFonts w:hint="eastAsia" w:ascii="宋体" w:hAnsi="宋体" w:cs="宋体"/>
          <w:color w:val="auto"/>
          <w:sz w:val="24"/>
          <w:szCs w:val="24"/>
          <w:highlight w:val="none"/>
        </w:rPr>
        <w:t>督促监理行使或在无监理的情况下自行行使对工程材料和施工质量的检验权。对于不符合设计要求和合同约定及国家质量标准的材料、构配件、设备，有权通知承包人停止使用；对于不符合规范和质量标准的工序、分部或分项工程和不安全施工作业，有权通知承包人停工整改、返工。承包人得到监理或工程咨询机构复工令后才能复工。</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5.1.9 </w:t>
      </w:r>
      <w:r>
        <w:rPr>
          <w:rFonts w:hint="eastAsia"/>
          <w:color w:val="auto"/>
          <w:sz w:val="24"/>
          <w:szCs w:val="24"/>
          <w:highlight w:val="none"/>
          <w:lang w:eastAsia="zh-CN"/>
        </w:rPr>
        <w:t>督促监理行使或独立行使对工程施工进度的检查、监督权，以及在征得委托人同意的情况下，确认工程竣工提前日期或延误期限。</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5.1.10 </w:t>
      </w:r>
      <w:r>
        <w:rPr>
          <w:rFonts w:hint="eastAsia" w:ascii="宋体" w:hAnsi="宋体" w:cs="宋体"/>
          <w:color w:val="auto"/>
          <w:sz w:val="24"/>
          <w:szCs w:val="24"/>
          <w:highlight w:val="none"/>
        </w:rPr>
        <w:t>征得委托人同意，在建设相关合同约定的价格范围内对相应进度款项支付进行审核和确认，以及复核和确认相应合同结算价格。未经工程咨询负责人签字确认，委托人不得支付参建方款项。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5.2 </w:t>
      </w:r>
      <w:r>
        <w:rPr>
          <w:rFonts w:hint="eastAsia" w:ascii="宋体" w:hAnsi="宋体" w:cs="宋体"/>
          <w:color w:val="auto"/>
          <w:sz w:val="24"/>
          <w:szCs w:val="24"/>
          <w:highlight w:val="none"/>
        </w:rPr>
        <w:t>按工程咨询合同取得相应报酬及奖励，或参与项目投资节余的提成。</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6. </w:t>
      </w:r>
      <w:r>
        <w:rPr>
          <w:rFonts w:hint="eastAsia" w:ascii="宋体" w:hAnsi="宋体" w:cs="宋体"/>
          <w:b/>
          <w:color w:val="auto"/>
          <w:sz w:val="24"/>
          <w:szCs w:val="24"/>
          <w:highlight w:val="none"/>
        </w:rPr>
        <w:t>违约及赔偿责任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6.1 </w:t>
      </w:r>
      <w:r>
        <w:rPr>
          <w:rFonts w:hint="eastAsia" w:ascii="宋体" w:hAnsi="宋体" w:cs="宋体"/>
          <w:color w:val="auto"/>
          <w:sz w:val="24"/>
          <w:szCs w:val="24"/>
          <w:highlight w:val="none"/>
        </w:rPr>
        <w:t>工程咨询人应当履行工程咨询合同约定的义务，对违反合同约定的，委托人可以在工程咨询报酬中扣除相应的违约金，具体违约责任在专用条件中约定。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6.2 </w:t>
      </w:r>
      <w:r>
        <w:rPr>
          <w:rFonts w:hint="eastAsia" w:ascii="宋体" w:hAnsi="宋体" w:cs="宋体"/>
          <w:color w:val="auto"/>
          <w:sz w:val="24"/>
          <w:szCs w:val="24"/>
          <w:highlight w:val="none"/>
        </w:rPr>
        <w:t>因工程咨询人责任造成项目建设内容、建设规模、建设标准发生变化，致使工期延长、投资增加或其他经济损失的，工程咨询人应当向委托人进行赔偿。赔偿金额的确定方法在专用条件中约定。工程咨询人承担部分赔偿责任的，其承担赔偿金额由双方协商确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6.3 </w:t>
      </w:r>
      <w:r>
        <w:rPr>
          <w:rFonts w:hint="eastAsia" w:ascii="宋体" w:hAnsi="宋体" w:cs="宋体"/>
          <w:color w:val="auto"/>
          <w:sz w:val="24"/>
          <w:szCs w:val="24"/>
          <w:highlight w:val="none"/>
        </w:rPr>
        <w:t>委托人应当履行工程咨询合同约定的义务，对违反合同约定或未适当履行合约的，应当承担相应的违约责任，具体违约责任在专用条件中约定。</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7. </w:t>
      </w:r>
      <w:r>
        <w:rPr>
          <w:rFonts w:hint="eastAsia" w:ascii="宋体" w:hAnsi="宋体" w:cs="宋体"/>
          <w:b/>
          <w:color w:val="auto"/>
          <w:sz w:val="24"/>
          <w:szCs w:val="24"/>
          <w:highlight w:val="none"/>
        </w:rPr>
        <w:t>免责与索赔</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7.1 </w:t>
      </w:r>
      <w:r>
        <w:rPr>
          <w:rFonts w:hint="eastAsia" w:ascii="宋体" w:hAnsi="宋体" w:cs="宋体"/>
          <w:color w:val="auto"/>
          <w:sz w:val="24"/>
          <w:szCs w:val="24"/>
          <w:highlight w:val="none"/>
        </w:rPr>
        <w:t>因不可抗力导致工程咨询合同不能全部履行或部分履行，双方均免责，且各自承担其因此而造成的损失、损害，并就相关事项应当积极组织各方协商解决。不可抗力情形及相关处理原则在专用条件中约定。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7.2 </w:t>
      </w:r>
      <w:r>
        <w:rPr>
          <w:rFonts w:hint="eastAsia" w:ascii="宋体" w:hAnsi="宋体" w:cs="宋体"/>
          <w:color w:val="auto"/>
          <w:sz w:val="24"/>
          <w:szCs w:val="24"/>
          <w:highlight w:val="none"/>
        </w:rPr>
        <w:t>工程咨询人对由于其他参建方违约或过失所影响建设质量、工期而造成委托人的经济损失，不承担直接经济责任。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7.3 </w:t>
      </w:r>
      <w:r>
        <w:rPr>
          <w:rFonts w:hint="eastAsia" w:ascii="宋体" w:hAnsi="宋体" w:cs="宋体"/>
          <w:color w:val="auto"/>
          <w:sz w:val="24"/>
          <w:szCs w:val="24"/>
          <w:highlight w:val="none"/>
        </w:rPr>
        <w:t>委托人和工程咨询人有权就对方原因造成的损失提出索赔。索赔不能成立的，索赔提出方应当赔偿对方由此引起的费用。</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8. </w:t>
      </w:r>
      <w:r>
        <w:rPr>
          <w:rFonts w:hint="eastAsia" w:ascii="宋体" w:hAnsi="宋体" w:cs="宋体"/>
          <w:b/>
          <w:color w:val="auto"/>
          <w:sz w:val="24"/>
          <w:szCs w:val="24"/>
          <w:highlight w:val="none"/>
        </w:rPr>
        <w:t>合同生效、变更、解除与终止</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8.1 </w:t>
      </w:r>
      <w:r>
        <w:rPr>
          <w:rFonts w:hint="eastAsia" w:ascii="宋体" w:hAnsi="宋体" w:cs="宋体"/>
          <w:color w:val="auto"/>
          <w:sz w:val="24"/>
          <w:szCs w:val="24"/>
          <w:highlight w:val="none"/>
        </w:rPr>
        <w:t>本合同自双方法定代表人签字或者盖公章之日起生效。</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8.2 </w:t>
      </w:r>
      <w:r>
        <w:rPr>
          <w:rFonts w:hint="eastAsia" w:ascii="宋体" w:hAnsi="宋体" w:cs="宋体"/>
          <w:color w:val="auto"/>
          <w:sz w:val="24"/>
          <w:szCs w:val="24"/>
          <w:highlight w:val="none"/>
        </w:rPr>
        <w:t>除不可抗力外，由于非工程咨询人的原因使工程咨询工作受到阻碍或延误，以致发生了工作或延长了持续时间，则工程咨询人应当将此情况与其可能产生的影响及时通知委托人，完成工程咨询的时间相应延长，增加的工程咨询工作时间、工作内容应当视为附加工作。附加工作报酬的确定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8.3 </w:t>
      </w:r>
      <w:r>
        <w:rPr>
          <w:rFonts w:hint="eastAsia" w:ascii="宋体" w:hAnsi="宋体" w:cs="宋体"/>
          <w:color w:val="auto"/>
          <w:sz w:val="24"/>
          <w:szCs w:val="24"/>
          <w:highlight w:val="none"/>
        </w:rPr>
        <w:t>合同履行过程中，遇有与工程有关的法律、政策或者强制性标准发生变化的，双方应当遵照执行，由此引起工程咨询服务范围及内容、服务期限、酬金变化的，双方应当通过协商解决。</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8.4 </w:t>
      </w:r>
      <w:r>
        <w:rPr>
          <w:rFonts w:hint="eastAsia" w:ascii="宋体" w:hAnsi="宋体" w:cs="宋体"/>
          <w:color w:val="auto"/>
          <w:sz w:val="24"/>
          <w:szCs w:val="24"/>
          <w:highlight w:val="none"/>
        </w:rPr>
        <w:t>工程咨询人未履行全部或部分工程咨询义务且无正当理由时，委托人可发出催告直至解除合同，工程咨询人应当根据其未履行的程度及委托人的损失承担违约责任。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 </w:t>
      </w:r>
      <w:r>
        <w:rPr>
          <w:rFonts w:hint="eastAsia" w:ascii="宋体" w:hAnsi="宋体" w:cs="宋体"/>
          <w:color w:val="auto"/>
          <w:sz w:val="24"/>
          <w:szCs w:val="24"/>
          <w:highlight w:val="none"/>
        </w:rPr>
        <w:t>合同解除</w:t>
      </w:r>
    </w:p>
    <w:p>
      <w:pPr>
        <w:pStyle w:val="34"/>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8.5.1 </w:t>
      </w:r>
      <w:r>
        <w:rPr>
          <w:rFonts w:hint="eastAsia"/>
          <w:color w:val="auto"/>
          <w:sz w:val="24"/>
          <w:szCs w:val="24"/>
          <w:highlight w:val="none"/>
          <w:lang w:eastAsia="zh-CN"/>
        </w:rPr>
        <w:t>委托人与工程咨询人协商一致，可以解除合同。</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8.5.2 </w:t>
      </w:r>
      <w:r>
        <w:rPr>
          <w:rFonts w:hint="eastAsia" w:ascii="宋体" w:hAnsi="宋体" w:cs="宋体"/>
          <w:color w:val="auto"/>
          <w:sz w:val="24"/>
          <w:szCs w:val="24"/>
          <w:highlight w:val="none"/>
        </w:rPr>
        <w:t>有下列情形之一的，合同当事人一方或双方可以解除合同：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1）工程咨询人将本合同约定的工程咨询服务工作全部或不得分包部分转委托给第三方实施的，委托人可以解除合同；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2）工程咨询人提供的工程咨询服务不符合合同约定的要求，经委托人催告仍不能达到合同约定要求的，委托人可以解除合同；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3）委托人未按合同约定支付服务酬金，经工程咨询人催告后，在28天内仍未支付的，工程咨询人可以解除合同；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4）因不可抗力致使合同无法履行，经双方协商一致，可以解除合同；</w:t>
      </w:r>
    </w:p>
    <w:p>
      <w:pPr>
        <w:pStyle w:val="34"/>
        <w:ind w:firstLine="480"/>
        <w:rPr>
          <w:color w:val="auto"/>
          <w:sz w:val="24"/>
          <w:szCs w:val="24"/>
          <w:highlight w:val="none"/>
          <w:lang w:eastAsia="zh-CN"/>
        </w:rPr>
      </w:pPr>
      <w:r>
        <w:rPr>
          <w:rFonts w:hint="eastAsia"/>
          <w:color w:val="auto"/>
          <w:sz w:val="24"/>
          <w:szCs w:val="24"/>
          <w:highlight w:val="none"/>
          <w:lang w:eastAsia="zh-CN"/>
        </w:rPr>
        <w:t>（</w:t>
      </w:r>
      <w:r>
        <w:rPr>
          <w:color w:val="auto"/>
          <w:sz w:val="24"/>
          <w:szCs w:val="24"/>
          <w:highlight w:val="none"/>
          <w:lang w:eastAsia="zh-CN"/>
        </w:rPr>
        <w:t>5</w:t>
      </w:r>
      <w:r>
        <w:rPr>
          <w:rFonts w:hint="eastAsia"/>
          <w:color w:val="auto"/>
          <w:sz w:val="24"/>
          <w:szCs w:val="24"/>
          <w:highlight w:val="none"/>
          <w:lang w:eastAsia="zh-CN"/>
        </w:rPr>
        <w:t>）因一方违约致使合同无法实际履行或实际履行已无必要，另一方可以提出解除合同。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除上述情形外，双方可以根据委托的服务范围及工作内容，在专用条件中约定解除合同的其他条件。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8.5.3 </w:t>
      </w:r>
      <w:r>
        <w:rPr>
          <w:rFonts w:hint="eastAsia" w:ascii="宋体" w:hAnsi="宋体" w:cs="宋体"/>
          <w:color w:val="auto"/>
          <w:sz w:val="24"/>
          <w:szCs w:val="24"/>
          <w:highlight w:val="none"/>
        </w:rPr>
        <w:t>任何一方提出解除合同的，应当提前</w:t>
      </w:r>
      <w:r>
        <w:rPr>
          <w:rFonts w:ascii="宋体" w:hAnsi="宋体" w:cs="宋体"/>
          <w:color w:val="auto"/>
          <w:sz w:val="24"/>
          <w:szCs w:val="24"/>
          <w:highlight w:val="none"/>
        </w:rPr>
        <w:t>28天书面通知对方。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8.5.4 </w:t>
      </w:r>
      <w:r>
        <w:rPr>
          <w:rFonts w:hint="eastAsia" w:ascii="宋体" w:hAnsi="宋体" w:cs="宋体"/>
          <w:color w:val="auto"/>
          <w:sz w:val="24"/>
          <w:szCs w:val="24"/>
          <w:highlight w:val="none"/>
        </w:rPr>
        <w:t>合同解除后，委托人应当按照合同约定向工程咨询人支付已完成部分的咨询服务报酬。</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8.6 </w:t>
      </w:r>
      <w:r>
        <w:rPr>
          <w:rFonts w:hint="eastAsia" w:ascii="宋体" w:hAnsi="宋体" w:cs="宋体"/>
          <w:color w:val="auto"/>
          <w:sz w:val="24"/>
          <w:szCs w:val="24"/>
          <w:highlight w:val="none"/>
        </w:rPr>
        <w:t>当工程咨询人完成本合同约定的全部工作且委托人支付完所有工程咨询报酬（包括正常工作报酬、附加工作报酬、工作奖励或参与投资节余分成等）后，本合同终止。</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9. </w:t>
      </w:r>
      <w:r>
        <w:rPr>
          <w:rFonts w:hint="eastAsia" w:ascii="宋体" w:hAnsi="宋体" w:cs="宋体"/>
          <w:b/>
          <w:color w:val="auto"/>
          <w:sz w:val="24"/>
          <w:szCs w:val="24"/>
          <w:highlight w:val="none"/>
        </w:rPr>
        <w:t>工程咨询报酬</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9.1 </w:t>
      </w:r>
      <w:r>
        <w:rPr>
          <w:rFonts w:hint="eastAsia" w:ascii="宋体" w:hAnsi="宋体" w:cs="宋体"/>
          <w:color w:val="auto"/>
          <w:sz w:val="24"/>
          <w:szCs w:val="24"/>
          <w:highlight w:val="none"/>
        </w:rPr>
        <w:t>工程咨询报酬包括正常工作报酬、附加工作报酬、工作奖励或参与投资节余分成等，除正常工作报酬在工程咨询合同协议书内明确外，附加工作报酬、工作奖励或参与投资节余分成等计取条件与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9.2 </w:t>
      </w:r>
      <w:r>
        <w:rPr>
          <w:rFonts w:hint="eastAsia" w:ascii="宋体" w:hAnsi="宋体" w:cs="宋体"/>
          <w:color w:val="auto"/>
          <w:sz w:val="24"/>
          <w:szCs w:val="24"/>
          <w:highlight w:val="none"/>
        </w:rPr>
        <w:t>委托人应当按照专用条件约定的方式、时间、分类，分期支付工程咨询报酬。工程咨询报酬的计算调整条件与方式在专用条件中约定。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9.3 </w:t>
      </w:r>
      <w:r>
        <w:rPr>
          <w:rFonts w:hint="eastAsia" w:ascii="宋体" w:hAnsi="宋体" w:cs="宋体"/>
          <w:color w:val="auto"/>
          <w:sz w:val="24"/>
          <w:szCs w:val="24"/>
          <w:highlight w:val="none"/>
        </w:rPr>
        <w:t>如果委托人在规定的支付期限内未支付工程咨询报酬，自规定之日起，还应当向工程咨询人支付逾期付款利息。逾期付款利息的具体计算方式在专用条件中约定。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9.4 </w:t>
      </w:r>
      <w:r>
        <w:rPr>
          <w:rFonts w:hint="eastAsia" w:ascii="宋体" w:hAnsi="宋体" w:cs="宋体"/>
          <w:color w:val="auto"/>
          <w:sz w:val="24"/>
          <w:szCs w:val="24"/>
          <w:highlight w:val="none"/>
        </w:rPr>
        <w:t>支付工程咨询报酬所采用的货币币种、汇率在专用条件中约定。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9.5 </w:t>
      </w:r>
      <w:r>
        <w:rPr>
          <w:rFonts w:hint="eastAsia" w:ascii="宋体" w:hAnsi="宋体" w:cs="宋体"/>
          <w:color w:val="auto"/>
          <w:sz w:val="24"/>
          <w:szCs w:val="24"/>
          <w:highlight w:val="none"/>
        </w:rPr>
        <w:t>如果委托人对工程咨询人提交的支付通知书中报酬或部分报酬提出异议，应当在收到支付通知书后</w:t>
      </w:r>
      <w:r>
        <w:rPr>
          <w:rFonts w:ascii="宋体" w:hAnsi="宋体" w:cs="宋体"/>
          <w:color w:val="auto"/>
          <w:sz w:val="24"/>
          <w:szCs w:val="24"/>
          <w:highlight w:val="none"/>
        </w:rPr>
        <w:t>7天内与工程咨询人协商。</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10. </w:t>
      </w:r>
      <w:r>
        <w:rPr>
          <w:rFonts w:hint="eastAsia" w:ascii="宋体" w:hAnsi="宋体" w:cs="宋体"/>
          <w:b/>
          <w:color w:val="auto"/>
          <w:sz w:val="24"/>
          <w:szCs w:val="24"/>
          <w:highlight w:val="none"/>
        </w:rPr>
        <w:t>其他</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10.1 </w:t>
      </w:r>
      <w:r>
        <w:rPr>
          <w:rFonts w:hint="eastAsia" w:ascii="宋体" w:hAnsi="宋体" w:cs="宋体"/>
          <w:color w:val="auto"/>
          <w:sz w:val="24"/>
          <w:szCs w:val="24"/>
          <w:highlight w:val="none"/>
        </w:rPr>
        <w:t>委托人要求工程咨询人实施的或根据相关规定应当由委托人负责的材料、设备、工程实体检测，所发生的费用由委托人审核后支付。</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10.2 </w:t>
      </w:r>
      <w:r>
        <w:rPr>
          <w:rFonts w:hint="eastAsia" w:ascii="宋体" w:hAnsi="宋体" w:cs="宋体"/>
          <w:color w:val="auto"/>
          <w:sz w:val="24"/>
          <w:szCs w:val="24"/>
          <w:highlight w:val="none"/>
        </w:rPr>
        <w:t>工程咨询人及其工程咨询机构成员在服务期限内不应接受除委托人外的其他本项目利益相关方的任何报酬。</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10.3 </w:t>
      </w:r>
      <w:r>
        <w:rPr>
          <w:rFonts w:hint="eastAsia" w:ascii="宋体" w:hAnsi="宋体" w:cs="宋体"/>
          <w:color w:val="auto"/>
          <w:sz w:val="24"/>
          <w:szCs w:val="24"/>
          <w:highlight w:val="none"/>
        </w:rPr>
        <w:t>双方均应当履行保密义务，除法律规定或合同另有约定外，未经对方同意，均不得将对方声明需要保密的资料、信息泄露给第三方。保密事项与期限在专用条件中约定。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10.4 </w:t>
      </w:r>
      <w:r>
        <w:rPr>
          <w:rFonts w:hint="eastAsia" w:ascii="宋体" w:hAnsi="宋体" w:cs="宋体"/>
          <w:color w:val="auto"/>
          <w:sz w:val="24"/>
          <w:szCs w:val="24"/>
          <w:highlight w:val="none"/>
        </w:rPr>
        <w:t>本合同涉及的通知应当采用书面形式，并在送达对方时生效，如采用其他形式的，应当在专用条件中约定。</w:t>
      </w:r>
    </w:p>
    <w:p>
      <w:pPr>
        <w:spacing w:line="360" w:lineRule="auto"/>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 xml:space="preserve">10.5 </w:t>
      </w:r>
      <w:r>
        <w:rPr>
          <w:rFonts w:hint="eastAsia" w:ascii="宋体" w:hAnsi="宋体" w:cs="宋体"/>
          <w:color w:val="auto"/>
          <w:sz w:val="24"/>
          <w:szCs w:val="24"/>
          <w:highlight w:val="none"/>
        </w:rPr>
        <w:t>除委托方与全过程工程咨询服务受托方签订服务合同时特别规定外，委托方提供给全过程工程咨询服务受托方用于开展咨询服务的所有文件的著作权属于委托方。全过程工程咨询服务受托方可以为实现双方合同目的而复制、使用此类文件，但不能用于与双方合同无关的其他事项。双方均有权在不损害对方利益和遵守保密约定的前提下，在自己宣传用的印刷品或其他出版物上，或申报奖项等情形下公布有关项目的文字和图片材料。</w:t>
      </w:r>
    </w:p>
    <w:p>
      <w:pP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10.6  工程咨询人出版涉及本工程有关工程咨询的资料约定:</w:t>
      </w:r>
      <w:r>
        <w:rPr>
          <w:rFonts w:hint="eastAsia" w:ascii="宋体" w:hAnsi="宋体" w:eastAsia="宋体" w:cs="宋体"/>
          <w:color w:val="auto"/>
          <w:sz w:val="24"/>
          <w:szCs w:val="24"/>
          <w:highlight w:val="none"/>
          <w:u w:val="single"/>
          <w:lang w:val="en-US" w:eastAsia="zh-CN"/>
        </w:rPr>
        <w:t xml:space="preserve"> 须征得委托人同意。          </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  因合同及合同有关事项发生的争议，按下列第（2）种方式解决：</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（1）向 </w:t>
      </w:r>
      <w:r>
        <w:rPr>
          <w:rFonts w:hint="eastAsia" w:ascii="宋体" w:hAnsi="宋体" w:eastAsia="宋体" w:cs="宋体"/>
          <w:color w:val="auto"/>
          <w:sz w:val="24"/>
          <w:szCs w:val="24"/>
          <w:highlight w:val="none"/>
          <w:u w:val="single"/>
          <w:lang w:val="en-US" w:eastAsia="zh-CN"/>
        </w:rPr>
        <w:t xml:space="preserve"> 绍兴 </w:t>
      </w:r>
      <w:r>
        <w:rPr>
          <w:rFonts w:hint="eastAsia" w:ascii="宋体" w:hAnsi="宋体" w:eastAsia="宋体" w:cs="宋体"/>
          <w:color w:val="auto"/>
          <w:sz w:val="24"/>
          <w:szCs w:val="24"/>
          <w:highlight w:val="none"/>
          <w:lang w:val="en-US" w:eastAsia="zh-CN"/>
        </w:rPr>
        <w:t xml:space="preserve"> 仲裁委员会申请仲裁；</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（2）向</w:t>
      </w:r>
      <w:r>
        <w:rPr>
          <w:rFonts w:hint="eastAsia" w:ascii="宋体" w:hAnsi="宋体" w:eastAsia="宋体" w:cs="宋体"/>
          <w:color w:val="auto"/>
          <w:sz w:val="24"/>
          <w:szCs w:val="24"/>
          <w:highlight w:val="none"/>
          <w:u w:val="single"/>
          <w:lang w:val="en-US" w:eastAsia="zh-CN"/>
        </w:rPr>
        <w:t xml:space="preserve">  诸暨市 </w:t>
      </w:r>
      <w:r>
        <w:rPr>
          <w:rFonts w:hint="eastAsia" w:ascii="宋体" w:hAnsi="宋体" w:eastAsia="宋体" w:cs="宋体"/>
          <w:color w:val="auto"/>
          <w:sz w:val="24"/>
          <w:szCs w:val="24"/>
          <w:highlight w:val="none"/>
          <w:lang w:val="en-US" w:eastAsia="zh-CN"/>
        </w:rPr>
        <w:t xml:space="preserve"> 人民法院起诉。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10.8</w:t>
      </w:r>
      <w:r>
        <w:rPr>
          <w:rFonts w:hint="eastAsia" w:ascii="宋体" w:hAnsi="宋体" w:eastAsia="宋体" w:cs="宋体"/>
          <w:color w:val="auto"/>
          <w:sz w:val="24"/>
          <w:szCs w:val="24"/>
          <w:highlight w:val="none"/>
        </w:rPr>
        <w:t xml:space="preserve"> 附加协议条款由双方在专用条件中约定。</w:t>
      </w:r>
    </w:p>
    <w:p>
      <w:pPr>
        <w:widowControl/>
        <w:spacing w:line="360" w:lineRule="auto"/>
        <w:ind w:firstLine="482" w:firstLineChars="200"/>
        <w:jc w:val="left"/>
        <w:rPr>
          <w:rFonts w:hint="eastAsia" w:ascii="宋体" w:hAnsi="宋体" w:eastAsia="宋体" w:cs="宋体"/>
          <w:b/>
          <w:color w:val="auto"/>
          <w:sz w:val="24"/>
          <w:szCs w:val="24"/>
          <w:highlight w:val="none"/>
        </w:rPr>
      </w:pPr>
      <w:bookmarkStart w:id="995" w:name="_Toc2944"/>
      <w:r>
        <w:rPr>
          <w:rFonts w:hint="eastAsia" w:ascii="宋体" w:hAnsi="宋体" w:eastAsia="宋体" w:cs="宋体"/>
          <w:b/>
          <w:color w:val="auto"/>
          <w:sz w:val="24"/>
          <w:szCs w:val="24"/>
          <w:highlight w:val="none"/>
        </w:rPr>
        <w:br w:type="page"/>
      </w:r>
    </w:p>
    <w:p>
      <w:pPr>
        <w:tabs>
          <w:tab w:val="left" w:pos="0"/>
          <w:tab w:val="left" w:pos="6300"/>
        </w:tabs>
        <w:spacing w:line="480" w:lineRule="exact"/>
        <w:jc w:val="cente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lang w:val="en-US" w:eastAsia="zh-CN"/>
        </w:rPr>
        <w:t>第三部分</w:t>
      </w:r>
      <w:r>
        <w:rPr>
          <w:rFonts w:hint="eastAsia" w:ascii="宋体" w:hAnsi="宋体" w:eastAsia="宋体" w:cs="宋体"/>
          <w:b/>
          <w:color w:val="auto"/>
          <w:sz w:val="32"/>
          <w:szCs w:val="22"/>
          <w:highlight w:val="none"/>
        </w:rPr>
        <w:t xml:space="preserve"> 专用条件</w:t>
      </w:r>
      <w:bookmarkEnd w:id="995"/>
    </w:p>
    <w:p>
      <w:pPr>
        <w:pStyle w:val="25"/>
        <w:rPr>
          <w:rFonts w:hint="eastAsia"/>
          <w:color w:val="auto"/>
          <w:highlight w:val="none"/>
        </w:rPr>
      </w:pP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不可抗力的其他情形还包括：</w:t>
      </w:r>
      <w:r>
        <w:rPr>
          <w:rFonts w:hint="eastAsia" w:ascii="宋体" w:hAnsi="宋体" w:eastAsia="宋体" w:cs="宋体"/>
          <w:color w:val="auto"/>
          <w:sz w:val="24"/>
          <w:szCs w:val="24"/>
          <w:highlight w:val="none"/>
          <w:u w:val="single"/>
        </w:rPr>
        <w:t>包括因战争、动乱、空中飞行物体坠落或非本合同相对方责任造成的爆炸、火灾，一定级别（不可避免且不能克服的）的风、雨、雪、洪、震等自然灾害。或出现较大偏离建设工程客观规律的情况</w:t>
      </w:r>
      <w:r>
        <w:rPr>
          <w:rFonts w:hint="eastAsia" w:ascii="宋体" w:hAnsi="宋体" w:eastAsia="宋体" w:cs="宋体"/>
          <w:color w:val="auto"/>
          <w:sz w:val="24"/>
          <w:szCs w:val="24"/>
          <w:highlight w:val="none"/>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委托人派遣的人员及为工程咨询工作提供的房屋、资料、设备条件：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pStyle w:val="34"/>
        <w:ind w:firstLine="48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2.5 委托人授权常驻代表及授权为：</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eastAsia="zh-CN"/>
        </w:rPr>
        <w:t>委托人更换常驻代表应当提前</w:t>
      </w:r>
      <w:r>
        <w:rPr>
          <w:rFonts w:hint="eastAsia" w:ascii="宋体" w:hAnsi="宋体" w:eastAsia="宋体" w:cs="宋体"/>
          <w:color w:val="auto"/>
          <w:kern w:val="0"/>
          <w:sz w:val="24"/>
          <w:szCs w:val="24"/>
          <w:highlight w:val="none"/>
          <w:u w:val="single"/>
          <w:lang w:eastAsia="zh-CN"/>
        </w:rPr>
        <w:t xml:space="preserve"> 7</w:t>
      </w:r>
      <w:r>
        <w:rPr>
          <w:rFonts w:hint="eastAsia" w:ascii="宋体" w:hAnsi="宋体" w:eastAsia="宋体" w:cs="宋体"/>
          <w:color w:val="auto"/>
          <w:kern w:val="0"/>
          <w:sz w:val="24"/>
          <w:szCs w:val="24"/>
          <w:highlight w:val="none"/>
          <w:lang w:eastAsia="zh-CN"/>
        </w:rPr>
        <w:t>天通知工程咨询人。</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工程咨询人向委托人报告工程咨询工作及提供相应的咨询服务成果文件要求为：</w:t>
      </w:r>
      <w:r>
        <w:rPr>
          <w:rFonts w:hint="eastAsia" w:ascii="宋体" w:hAnsi="宋体" w:eastAsia="宋体" w:cs="宋体"/>
          <w:color w:val="auto"/>
          <w:sz w:val="24"/>
          <w:szCs w:val="24"/>
          <w:highlight w:val="none"/>
          <w:u w:val="single"/>
        </w:rPr>
        <w:t>工程咨询人应根据项目进度与实际需要，提供月、季、年报表，报表内容应涵盖工程咨询委托范围内的各项内容；同时工程咨询过程中形成的各种会议纪要、专题汇报、建议及签署的各种文件应按委托人要求及时进行汇总并归档</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工程咨询人向委托人提供资金使用计划要求为：</w:t>
      </w:r>
      <w:r>
        <w:rPr>
          <w:rFonts w:hint="eastAsia" w:ascii="宋体" w:hAnsi="宋体" w:eastAsia="宋体" w:cs="宋体"/>
          <w:color w:val="auto"/>
          <w:sz w:val="24"/>
          <w:szCs w:val="24"/>
          <w:highlight w:val="none"/>
          <w:u w:val="single"/>
        </w:rPr>
        <w:t>按项目进度需要及时提供年、季、月度资金使用计划</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 在工程咨询工作完成或中止时，工程咨询人移交委托人提供的设施和剩余的物品的时间和方式为：</w:t>
      </w:r>
      <w:r>
        <w:rPr>
          <w:rFonts w:hint="eastAsia" w:ascii="宋体" w:hAnsi="宋体" w:eastAsia="宋体" w:cs="宋体"/>
          <w:color w:val="auto"/>
          <w:sz w:val="24"/>
          <w:szCs w:val="24"/>
          <w:highlight w:val="none"/>
          <w:u w:val="single"/>
        </w:rPr>
        <w:t>在工程咨询工作完成或中止后7天内，工程咨询人移交委托人提供的办公场地（如有）、设施</w:t>
      </w:r>
      <w:r>
        <w:rPr>
          <w:rFonts w:hint="eastAsia" w:ascii="宋体" w:hAnsi="宋体" w:eastAsia="宋体" w:cs="宋体"/>
          <w:b/>
          <w:color w:val="auto"/>
          <w:sz w:val="24"/>
          <w:szCs w:val="24"/>
          <w:highlight w:val="none"/>
          <w:u w:val="single"/>
        </w:rPr>
        <w:t>、资料</w:t>
      </w:r>
      <w:r>
        <w:rPr>
          <w:rFonts w:hint="eastAsia" w:ascii="宋体" w:hAnsi="宋体" w:eastAsia="宋体" w:cs="宋体"/>
          <w:color w:val="auto"/>
          <w:sz w:val="24"/>
          <w:szCs w:val="24"/>
          <w:highlight w:val="none"/>
          <w:u w:val="single"/>
        </w:rPr>
        <w:t>和剩余物品，且办理书面移交手续</w:t>
      </w:r>
      <w:r>
        <w:rPr>
          <w:rFonts w:hint="eastAsia" w:ascii="宋体" w:hAnsi="宋体" w:eastAsia="宋体" w:cs="宋体"/>
          <w:color w:val="auto"/>
          <w:sz w:val="24"/>
          <w:szCs w:val="24"/>
          <w:highlight w:val="none"/>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委托人授权工程咨询人在工程文件中签章或共同签章的要求为：</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工程咨询人应当在管理文件、资料和约定的成果文件上盖章并由项目负责人签字</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6.1 工程咨询人在责任期内如果失职或未能完全履行全过程工程咨询合同，同意按以下办法承担责任，所造成的损失或投资增加额按合同约定从工程咨询人的</w:t>
      </w:r>
      <w:r>
        <w:rPr>
          <w:rFonts w:hint="eastAsia" w:ascii="宋体" w:hAnsi="宋体" w:eastAsia="宋体" w:cs="宋体"/>
          <w:b/>
          <w:color w:val="auto"/>
          <w:sz w:val="24"/>
          <w:szCs w:val="24"/>
          <w:highlight w:val="none"/>
        </w:rPr>
        <w:t>履约保证金</w:t>
      </w:r>
      <w:r>
        <w:rPr>
          <w:rFonts w:hint="eastAsia" w:ascii="宋体" w:hAnsi="宋体" w:eastAsia="宋体" w:cs="宋体"/>
          <w:color w:val="auto"/>
          <w:sz w:val="24"/>
          <w:szCs w:val="24"/>
          <w:highlight w:val="none"/>
        </w:rPr>
        <w:t>中扣除；履约保证金额不足的，相应扣减工程咨询报酬，最高不超过项目管理（含监理）报酬总额：</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6.1.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u w:val="single"/>
        </w:rPr>
        <w:t>工程咨询人发生如下情况委托人有权解除合同：</w:t>
      </w:r>
    </w:p>
    <w:p>
      <w:pPr>
        <w:widowControl/>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违反《建设工程质量管理条例》、《建设工程监理规范》等法律、法规中关于咨询管理单位、人员相关规定条款的。</w:t>
      </w:r>
    </w:p>
    <w:p>
      <w:pPr>
        <w:snapToGrid w:val="0"/>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工程咨询人员不称职或能力不够，无法完成委托人委托的咨询管理任务, 委托人书面要求更换工程咨询人员拒不更换或在书面要求时间内未更换的。</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现场工程咨询人员到位率不足，经委托人书面通知拒不改正的。</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咨询管理单位与承担本工程的施工承包人及材料、设施供应商发生经济利益关系经查实的。</w:t>
      </w:r>
    </w:p>
    <w:p>
      <w:pPr>
        <w:widowControl/>
        <w:shd w:val="clear" w:color="auto" w:fill="FFFFFF"/>
        <w:spacing w:line="360" w:lineRule="auto"/>
        <w:ind w:firstLine="480"/>
        <w:jc w:val="lef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6.1.2工程咨询人在投标时承诺的人员须按工程进度及时到位。</w:t>
      </w:r>
    </w:p>
    <w:p>
      <w:pPr>
        <w:widowControl/>
        <w:shd w:val="clear" w:color="auto" w:fill="FFFFFF"/>
        <w:spacing w:line="360" w:lineRule="auto"/>
        <w:ind w:firstLine="480"/>
        <w:jc w:val="left"/>
        <w:rPr>
          <w:rFonts w:hint="eastAsia"/>
          <w:color w:val="auto"/>
          <w:highlight w:val="none"/>
          <w:lang w:val="en-US" w:eastAsia="zh-CN"/>
        </w:rPr>
      </w:pPr>
      <w:r>
        <w:rPr>
          <w:rFonts w:hint="eastAsia" w:ascii="宋体" w:hAnsi="宋体" w:eastAsia="宋体" w:cs="宋体"/>
          <w:color w:val="auto"/>
          <w:sz w:val="24"/>
          <w:szCs w:val="24"/>
          <w:highlight w:val="none"/>
          <w:u w:val="single"/>
        </w:rPr>
        <w:t>6.1.</w:t>
      </w:r>
      <w:r>
        <w:rPr>
          <w:rFonts w:hint="eastAsia" w:ascii="宋体" w:hAnsi="宋体" w:cs="宋体"/>
          <w:color w:val="auto"/>
          <w:sz w:val="24"/>
          <w:szCs w:val="24"/>
          <w:highlight w:val="none"/>
          <w:u w:val="single"/>
          <w:lang w:val="en-US" w:eastAsia="zh-CN"/>
        </w:rPr>
        <w:t>3 工程咨询人</w:t>
      </w:r>
      <w:r>
        <w:rPr>
          <w:rFonts w:hint="eastAsia" w:ascii="宋体" w:hAnsi="宋体" w:eastAsia="宋体" w:cs="宋体"/>
          <w:color w:val="auto"/>
          <w:sz w:val="24"/>
          <w:szCs w:val="24"/>
          <w:highlight w:val="none"/>
          <w:u w:val="single"/>
        </w:rPr>
        <w:t>原则上不得更换项目班子成员，但确需更换的，需事先征得委托人书面同意，并办理好相关变更手续，且更换人员不得低于原任职人员的资格。项目负责人和监理负责人</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总监</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造价</w:t>
      </w:r>
      <w:r>
        <w:rPr>
          <w:rFonts w:hint="eastAsia" w:ascii="宋体" w:hAnsi="宋体" w:cs="宋体"/>
          <w:color w:val="auto"/>
          <w:sz w:val="24"/>
          <w:szCs w:val="24"/>
          <w:highlight w:val="none"/>
          <w:u w:val="single"/>
          <w:lang w:val="en-US" w:eastAsia="zh-CN"/>
        </w:rPr>
        <w:t>咨询</w:t>
      </w:r>
      <w:r>
        <w:rPr>
          <w:rFonts w:hint="eastAsia" w:ascii="宋体" w:hAnsi="宋体" w:eastAsia="宋体" w:cs="宋体"/>
          <w:color w:val="auto"/>
          <w:sz w:val="24"/>
          <w:szCs w:val="24"/>
          <w:highlight w:val="none"/>
          <w:u w:val="single"/>
          <w:lang w:val="en-US" w:eastAsia="zh-CN"/>
        </w:rPr>
        <w:t>负责人除</w:t>
      </w:r>
      <w:r>
        <w:rPr>
          <w:rFonts w:hint="eastAsia" w:ascii="宋体" w:hAnsi="宋体" w:eastAsia="宋体" w:cs="宋体"/>
          <w:color w:val="auto"/>
          <w:sz w:val="24"/>
          <w:szCs w:val="24"/>
          <w:highlight w:val="none"/>
          <w:u w:val="single"/>
        </w:rPr>
        <w:t>因</w:t>
      </w:r>
      <w:r>
        <w:rPr>
          <w:rFonts w:hint="eastAsia" w:ascii="宋体" w:hAnsi="宋体" w:eastAsia="宋体" w:cs="宋体"/>
          <w:color w:val="auto"/>
          <w:sz w:val="24"/>
          <w:szCs w:val="24"/>
          <w:highlight w:val="none"/>
          <w:u w:val="single"/>
          <w:lang w:val="en-US" w:eastAsia="zh-CN"/>
        </w:rPr>
        <w:t>管理原因</w:t>
      </w:r>
      <w:r>
        <w:rPr>
          <w:rFonts w:hint="eastAsia" w:ascii="宋体" w:hAnsi="宋体" w:eastAsia="宋体" w:cs="宋体"/>
          <w:color w:val="auto"/>
          <w:sz w:val="24"/>
          <w:szCs w:val="24"/>
          <w:highlight w:val="none"/>
          <w:u w:val="single"/>
        </w:rPr>
        <w:t>发生重大</w:t>
      </w:r>
      <w:r>
        <w:rPr>
          <w:rFonts w:hint="eastAsia" w:ascii="宋体" w:hAnsi="宋体" w:eastAsia="宋体" w:cs="宋体"/>
          <w:color w:val="auto"/>
          <w:sz w:val="24"/>
          <w:szCs w:val="24"/>
          <w:highlight w:val="none"/>
          <w:u w:val="single"/>
          <w:lang w:val="en-US" w:eastAsia="zh-CN"/>
        </w:rPr>
        <w:t>质量</w:t>
      </w:r>
      <w:r>
        <w:rPr>
          <w:rFonts w:hint="eastAsia" w:ascii="宋体" w:hAnsi="宋体" w:eastAsia="宋体" w:cs="宋体"/>
          <w:color w:val="auto"/>
          <w:sz w:val="24"/>
          <w:szCs w:val="24"/>
          <w:highlight w:val="none"/>
          <w:u w:val="single"/>
        </w:rPr>
        <w:t>安全事故不适合</w:t>
      </w:r>
      <w:r>
        <w:rPr>
          <w:rFonts w:hint="eastAsia" w:ascii="宋体" w:hAnsi="宋体" w:eastAsia="宋体" w:cs="宋体"/>
          <w:color w:val="auto"/>
          <w:sz w:val="24"/>
          <w:szCs w:val="24"/>
          <w:highlight w:val="none"/>
          <w:u w:val="single"/>
          <w:lang w:val="en-US" w:eastAsia="zh-CN"/>
        </w:rPr>
        <w:t>再</w:t>
      </w:r>
      <w:r>
        <w:rPr>
          <w:rFonts w:hint="eastAsia" w:ascii="宋体" w:hAnsi="宋体" w:eastAsia="宋体" w:cs="宋体"/>
          <w:color w:val="auto"/>
          <w:sz w:val="24"/>
          <w:szCs w:val="24"/>
          <w:highlight w:val="none"/>
          <w:u w:val="single"/>
        </w:rPr>
        <w:t>任</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因</w:t>
      </w:r>
      <w:r>
        <w:rPr>
          <w:rFonts w:hint="eastAsia" w:ascii="宋体" w:hAnsi="宋体" w:eastAsia="宋体" w:cs="宋体"/>
          <w:color w:val="auto"/>
          <w:sz w:val="24"/>
          <w:szCs w:val="24"/>
          <w:highlight w:val="none"/>
          <w:u w:val="single"/>
        </w:rPr>
        <w:t>生病住院难以继续履职或终止劳动合同关系（提供相关部门或单位证明材料）等无法继续履行合同责任和义务</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被责令停止执业、羁押或判刑外，工程咨询人</w:t>
      </w:r>
      <w:r>
        <w:rPr>
          <w:rFonts w:hint="eastAsia" w:ascii="宋体" w:hAnsi="宋体" w:eastAsia="宋体" w:cs="宋体"/>
          <w:color w:val="auto"/>
          <w:sz w:val="24"/>
          <w:szCs w:val="24"/>
          <w:highlight w:val="none"/>
          <w:u w:val="single"/>
          <w:lang w:val="en-US" w:eastAsia="zh-CN"/>
        </w:rPr>
        <w:t>可</w:t>
      </w:r>
      <w:r>
        <w:rPr>
          <w:rFonts w:hint="eastAsia" w:ascii="宋体" w:hAnsi="宋体" w:eastAsia="宋体" w:cs="宋体"/>
          <w:color w:val="auto"/>
          <w:sz w:val="24"/>
          <w:szCs w:val="24"/>
          <w:highlight w:val="none"/>
          <w:u w:val="single"/>
        </w:rPr>
        <w:t>向委托人提出申请，委托人应同意更换符合要求的人员，更换到位的项目负责人或监理负责人</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总监</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或造价负责人</w:t>
      </w:r>
      <w:r>
        <w:rPr>
          <w:rFonts w:hint="eastAsia" w:ascii="宋体" w:hAnsi="宋体" w:eastAsia="宋体" w:cs="宋体"/>
          <w:color w:val="auto"/>
          <w:sz w:val="24"/>
          <w:szCs w:val="24"/>
          <w:highlight w:val="none"/>
          <w:u w:val="single"/>
        </w:rPr>
        <w:t>资质及业绩不低于原投标人员要求，</w:t>
      </w:r>
      <w:r>
        <w:rPr>
          <w:rFonts w:hint="eastAsia" w:ascii="宋体" w:hAnsi="宋体" w:eastAsia="宋体" w:cs="宋体"/>
          <w:color w:val="auto"/>
          <w:sz w:val="24"/>
          <w:szCs w:val="24"/>
          <w:highlight w:val="none"/>
          <w:u w:val="single"/>
          <w:lang w:val="en-US" w:eastAsia="zh-CN"/>
        </w:rPr>
        <w:t>且</w:t>
      </w:r>
      <w:r>
        <w:rPr>
          <w:rFonts w:hint="eastAsia" w:ascii="宋体" w:hAnsi="宋体" w:cs="宋体"/>
          <w:color w:val="auto"/>
          <w:sz w:val="24"/>
          <w:szCs w:val="24"/>
          <w:highlight w:val="none"/>
          <w:u w:val="single"/>
          <w:lang w:val="en-US" w:eastAsia="zh-CN"/>
        </w:rPr>
        <w:t>项目负责人无在建工程，监理负责人（总监）</w:t>
      </w:r>
      <w:r>
        <w:rPr>
          <w:rFonts w:hint="eastAsia" w:ascii="宋体" w:hAnsi="宋体" w:eastAsia="宋体" w:cs="宋体"/>
          <w:color w:val="auto"/>
          <w:sz w:val="24"/>
          <w:szCs w:val="24"/>
          <w:highlight w:val="none"/>
          <w:u w:val="single"/>
        </w:rPr>
        <w:t>无</w:t>
      </w:r>
      <w:r>
        <w:rPr>
          <w:rFonts w:hint="eastAsia" w:ascii="宋体" w:hAnsi="宋体" w:cs="宋体"/>
          <w:color w:val="auto"/>
          <w:sz w:val="24"/>
          <w:szCs w:val="24"/>
          <w:highlight w:val="none"/>
          <w:u w:val="single"/>
          <w:lang w:val="en-US" w:eastAsia="zh-CN"/>
        </w:rPr>
        <w:t>在监</w:t>
      </w:r>
      <w:r>
        <w:rPr>
          <w:rFonts w:hint="eastAsia" w:ascii="宋体" w:hAnsi="宋体" w:eastAsia="宋体" w:cs="宋体"/>
          <w:color w:val="auto"/>
          <w:sz w:val="24"/>
          <w:szCs w:val="24"/>
          <w:highlight w:val="none"/>
          <w:u w:val="single"/>
        </w:rPr>
        <w:t>工程</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均以施工项目竣工验收日期为准</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要求更换的</w:t>
      </w:r>
      <w:r>
        <w:rPr>
          <w:rFonts w:hint="eastAsia" w:ascii="宋体" w:hAnsi="宋体" w:eastAsia="宋体" w:cs="宋体"/>
          <w:color w:val="auto"/>
          <w:sz w:val="24"/>
          <w:szCs w:val="24"/>
          <w:highlight w:val="none"/>
          <w:u w:val="single"/>
        </w:rPr>
        <w:t>项目负责人或监理负责人</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总监</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或造价咨询负责人</w:t>
      </w:r>
      <w:r>
        <w:rPr>
          <w:rFonts w:hint="eastAsia" w:ascii="宋体" w:hAnsi="宋体" w:eastAsia="宋体" w:cs="宋体"/>
          <w:color w:val="auto"/>
          <w:sz w:val="24"/>
          <w:szCs w:val="24"/>
          <w:highlight w:val="none"/>
          <w:u w:val="single"/>
          <w:lang w:val="en-US" w:eastAsia="zh-CN"/>
        </w:rPr>
        <w:t>应在7天内更换</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不及时更换的处以</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0000元/人·天支付违约金</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如擅自更换项目负责人或监理负责人</w:t>
      </w:r>
      <w:r>
        <w:rPr>
          <w:rFonts w:hint="eastAsia" w:ascii="宋体" w:hAnsi="宋体" w:cs="宋体"/>
          <w:color w:val="auto"/>
          <w:sz w:val="24"/>
          <w:szCs w:val="24"/>
          <w:highlight w:val="none"/>
          <w:u w:val="single"/>
          <w:lang w:val="en-US" w:eastAsia="zh-CN"/>
        </w:rPr>
        <w:t>（总监）或造价咨询负责人</w:t>
      </w:r>
      <w:r>
        <w:rPr>
          <w:rFonts w:hint="eastAsia" w:ascii="宋体" w:hAnsi="宋体" w:eastAsia="宋体" w:cs="宋体"/>
          <w:color w:val="auto"/>
          <w:sz w:val="24"/>
          <w:szCs w:val="24"/>
          <w:highlight w:val="none"/>
          <w:u w:val="single"/>
        </w:rPr>
        <w:t>的，每更换一人次扣</w:t>
      </w:r>
      <w:r>
        <w:rPr>
          <w:rFonts w:hint="eastAsia" w:ascii="宋体" w:hAnsi="宋体" w:cs="宋体"/>
          <w:color w:val="auto"/>
          <w:sz w:val="24"/>
          <w:szCs w:val="24"/>
          <w:highlight w:val="none"/>
          <w:u w:val="single"/>
          <w:lang w:val="en-US" w:eastAsia="zh-CN"/>
        </w:rPr>
        <w:t>300000</w:t>
      </w:r>
      <w:r>
        <w:rPr>
          <w:rFonts w:hint="eastAsia" w:ascii="宋体" w:hAnsi="宋体" w:eastAsia="宋体" w:cs="宋体"/>
          <w:color w:val="auto"/>
          <w:sz w:val="24"/>
          <w:szCs w:val="24"/>
          <w:highlight w:val="none"/>
          <w:u w:val="single"/>
        </w:rPr>
        <w:t>元。如工程咨询人拒不更换的，委托人有权处以 20000</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val="en-US" w:eastAsia="zh-CN"/>
        </w:rPr>
        <w:t>一人次</w:t>
      </w:r>
      <w:r>
        <w:rPr>
          <w:rFonts w:hint="eastAsia" w:ascii="宋体" w:hAnsi="宋体" w:eastAsia="宋体" w:cs="宋体"/>
          <w:color w:val="auto"/>
          <w:sz w:val="24"/>
          <w:szCs w:val="24"/>
          <w:highlight w:val="none"/>
          <w:u w:val="single"/>
        </w:rPr>
        <w:t xml:space="preserve">的违约金，且委托人有权终止合同并向相关部门通报其违约行为。 </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6.1.4</w:t>
      </w:r>
      <w:r>
        <w:rPr>
          <w:rFonts w:hint="eastAsia" w:ascii="宋体" w:hAnsi="宋体" w:eastAsia="宋体" w:cs="宋体"/>
          <w:color w:val="auto"/>
          <w:sz w:val="24"/>
          <w:szCs w:val="24"/>
          <w:highlight w:val="none"/>
          <w:u w:val="single"/>
        </w:rPr>
        <w:t>工程咨询人应按照合同要求的时间完成相应合同内容，每延迟一天，罚款1000</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元</w:t>
      </w:r>
      <w:r>
        <w:rPr>
          <w:rFonts w:hint="eastAsia" w:ascii="宋体" w:hAnsi="宋体" w:cs="宋体"/>
          <w:color w:val="auto"/>
          <w:sz w:val="24"/>
          <w:szCs w:val="24"/>
          <w:highlight w:val="none"/>
          <w:u w:val="single"/>
          <w:lang w:val="en-US" w:eastAsia="zh-CN"/>
        </w:rPr>
        <w:t>/天</w:t>
      </w:r>
      <w:r>
        <w:rPr>
          <w:rFonts w:hint="eastAsia" w:ascii="宋体" w:hAnsi="宋体" w:eastAsia="宋体" w:cs="宋体"/>
          <w:color w:val="auto"/>
          <w:sz w:val="24"/>
          <w:szCs w:val="24"/>
          <w:highlight w:val="none"/>
          <w:u w:val="single"/>
        </w:rPr>
        <w:t>。</w:t>
      </w:r>
    </w:p>
    <w:p>
      <w:pPr>
        <w:spacing w:line="36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6.1.</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en-US" w:eastAsia="zh-CN"/>
        </w:rPr>
        <w:t>如发现不称职或能力不够的工程咨询人员，委托人有权要求更换工程咨询人员，要求更换的工程咨询人员应在7天内更换，不及时更换的处以20000元/人·天支付违约金。</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6.1.</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相关单位提交相关资料后，在三天提交审核报告，未按约定时间或者委托人通知的时间提交造价咨询成果，每超过一天处罚1000</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元。</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6.1.</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 xml:space="preserve">人员更换及到位率违约责任。 </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 xml:space="preserve">项目负责人须按投标承诺按时到位，不得随意更换： </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①</w:t>
      </w:r>
      <w:r>
        <w:rPr>
          <w:rFonts w:hint="eastAsia" w:ascii="宋体" w:hAnsi="宋体" w:eastAsia="宋体" w:cs="宋体"/>
          <w:color w:val="auto"/>
          <w:sz w:val="24"/>
          <w:szCs w:val="24"/>
          <w:highlight w:val="none"/>
          <w:u w:val="single"/>
        </w:rPr>
        <w:t>若工程咨询人擅自更换项目负责人，委托人有权处以</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00000 元/次的违约金，且委托人有权终止合同并向相关部门通报其违约行为。</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②</w:t>
      </w:r>
      <w:r>
        <w:rPr>
          <w:rFonts w:hint="eastAsia" w:ascii="宋体" w:hAnsi="宋体" w:eastAsia="宋体" w:cs="宋体"/>
          <w:color w:val="auto"/>
          <w:sz w:val="24"/>
          <w:szCs w:val="24"/>
          <w:highlight w:val="none"/>
          <w:u w:val="single"/>
        </w:rPr>
        <w:t>若特殊情况确需更换，替换人员不得低于原任职人员资格，并应提供相关材料并取得委托人的书面批准后，才能派替换的人员进场。</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③</w:t>
      </w:r>
      <w:r>
        <w:rPr>
          <w:rFonts w:hint="eastAsia" w:ascii="宋体" w:hAnsi="宋体" w:eastAsia="宋体" w:cs="宋体"/>
          <w:color w:val="auto"/>
          <w:sz w:val="24"/>
          <w:szCs w:val="24"/>
          <w:highlight w:val="none"/>
          <w:u w:val="single"/>
        </w:rPr>
        <w:t>在任何情况下，如果委托人认为项目负责人不能胜任工作，有权以书面通知，要求工程咨询人更换项目负责人；工程咨询人应在收到委托人通知之日起的 7 天内，按照委托人要求，提出新的项目负责人选，报委托人批准后，立即任命到位。如工程咨询人拒不更换的，委托人有权处以 20000</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元/次的违约金，且委托人有权终止合同并向相关部门通报其违约行为。 </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项目负责人到位率必须达到</w:t>
      </w:r>
      <w:r>
        <w:rPr>
          <w:rFonts w:hint="eastAsia" w:ascii="宋体" w:hAnsi="宋体" w:cs="宋体"/>
          <w:color w:val="auto"/>
          <w:sz w:val="24"/>
          <w:szCs w:val="24"/>
          <w:highlight w:val="none"/>
          <w:u w:val="single"/>
          <w:lang w:val="en-US" w:eastAsia="zh-CN"/>
        </w:rPr>
        <w:t>80</w:t>
      </w:r>
      <w:r>
        <w:rPr>
          <w:rFonts w:hint="eastAsia" w:ascii="宋体" w:hAnsi="宋体" w:eastAsia="宋体" w:cs="宋体"/>
          <w:color w:val="auto"/>
          <w:sz w:val="24"/>
          <w:szCs w:val="24"/>
          <w:highlight w:val="none"/>
          <w:u w:val="single"/>
        </w:rPr>
        <w:t>%以上，即每个月不少于</w:t>
      </w:r>
      <w:r>
        <w:rPr>
          <w:rFonts w:hint="eastAsia" w:ascii="宋体" w:hAnsi="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rPr>
        <w:t xml:space="preserve">天，若达不到则委托人有权按 </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000</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 元/天计取违约金，在工程咨询总报酬中直接扣除(考勤以委托人考勤统计为准)。</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项目管理</w:t>
      </w:r>
      <w:r>
        <w:rPr>
          <w:rFonts w:hint="eastAsia" w:ascii="宋体" w:hAnsi="宋体" w:cs="宋体"/>
          <w:color w:val="auto"/>
          <w:sz w:val="24"/>
          <w:szCs w:val="24"/>
          <w:highlight w:val="none"/>
          <w:u w:val="single"/>
          <w:lang w:val="en-US" w:eastAsia="zh-CN"/>
        </w:rPr>
        <w:t>人员</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造价</w:t>
      </w:r>
      <w:r>
        <w:rPr>
          <w:rFonts w:hint="eastAsia" w:ascii="宋体" w:hAnsi="宋体" w:eastAsia="宋体" w:cs="宋体"/>
          <w:color w:val="auto"/>
          <w:sz w:val="24"/>
          <w:szCs w:val="24"/>
          <w:highlight w:val="none"/>
          <w:u w:val="single"/>
        </w:rPr>
        <w:t>咨询人员（除监理人员外的所有服务人员，</w:t>
      </w:r>
      <w:r>
        <w:rPr>
          <w:rFonts w:hint="eastAsia" w:ascii="宋体" w:hAnsi="宋体" w:cs="宋体"/>
          <w:color w:val="auto"/>
          <w:sz w:val="24"/>
          <w:szCs w:val="24"/>
          <w:highlight w:val="none"/>
          <w:u w:val="single"/>
          <w:lang w:val="en-US" w:eastAsia="zh-CN"/>
        </w:rPr>
        <w:t>监理人员考核按附件</w:t>
      </w:r>
      <w:r>
        <w:rPr>
          <w:rFonts w:hint="eastAsia" w:ascii="宋体" w:hAnsi="宋体" w:eastAsia="宋体" w:cs="宋体"/>
          <w:color w:val="auto"/>
          <w:sz w:val="24"/>
          <w:szCs w:val="24"/>
          <w:highlight w:val="none"/>
          <w:u w:val="single"/>
        </w:rPr>
        <w:t>1本合同工程监理部分</w:t>
      </w:r>
      <w:r>
        <w:rPr>
          <w:rFonts w:hint="eastAsia" w:ascii="宋体" w:hAnsi="宋体" w:cs="宋体"/>
          <w:color w:val="auto"/>
          <w:sz w:val="24"/>
          <w:szCs w:val="24"/>
          <w:highlight w:val="none"/>
          <w:u w:val="single"/>
          <w:lang w:val="en-US" w:eastAsia="zh-CN"/>
        </w:rPr>
        <w:t>执行</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均由</w:t>
      </w:r>
      <w:r>
        <w:rPr>
          <w:rFonts w:hint="eastAsia" w:ascii="宋体" w:hAnsi="宋体" w:eastAsia="宋体" w:cs="宋体"/>
          <w:color w:val="auto"/>
          <w:sz w:val="24"/>
          <w:szCs w:val="24"/>
          <w:highlight w:val="none"/>
          <w:u w:val="single"/>
        </w:rPr>
        <w:t>委托人直接管理与考核，并与监理人员分开办公。项目管理</w:t>
      </w:r>
      <w:r>
        <w:rPr>
          <w:rFonts w:hint="eastAsia" w:ascii="宋体" w:hAnsi="宋体" w:cs="宋体"/>
          <w:color w:val="auto"/>
          <w:sz w:val="24"/>
          <w:szCs w:val="24"/>
          <w:highlight w:val="none"/>
          <w:u w:val="single"/>
          <w:lang w:val="en-US" w:eastAsia="zh-CN"/>
        </w:rPr>
        <w:t>人员（项目负责人除外）</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造价</w:t>
      </w:r>
      <w:r>
        <w:rPr>
          <w:rFonts w:hint="eastAsia" w:ascii="宋体" w:hAnsi="宋体" w:eastAsia="宋体" w:cs="宋体"/>
          <w:color w:val="auto"/>
          <w:sz w:val="24"/>
          <w:szCs w:val="24"/>
          <w:highlight w:val="none"/>
          <w:u w:val="single"/>
        </w:rPr>
        <w:t>咨询人员</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造价咨询负责人除外</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在进场前，委托人将就其资格条件、专业能力、管理能力进行复核并考察，经委托人确认后方可进场。人员进场后，委托人有权要求工程咨询人更换不称职、不合格的人员，</w:t>
      </w:r>
      <w:r>
        <w:rPr>
          <w:rFonts w:hint="eastAsia" w:ascii="宋体" w:hAnsi="宋体" w:eastAsia="宋体" w:cs="宋体"/>
          <w:color w:val="auto"/>
          <w:sz w:val="24"/>
          <w:szCs w:val="24"/>
          <w:highlight w:val="none"/>
          <w:u w:val="single"/>
          <w:lang w:val="en-US" w:eastAsia="zh-CN"/>
        </w:rPr>
        <w:t>要求更换的工程咨询人员应在7天内更换</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不及时更换的处以20000元/人·天支付违约金</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工程咨询人擅自更换项目管理</w:t>
      </w:r>
      <w:r>
        <w:rPr>
          <w:rFonts w:hint="eastAsia" w:ascii="宋体" w:hAnsi="宋体" w:cs="宋体"/>
          <w:color w:val="auto"/>
          <w:sz w:val="24"/>
          <w:szCs w:val="24"/>
          <w:highlight w:val="none"/>
          <w:u w:val="single"/>
          <w:lang w:val="en-US" w:eastAsia="zh-CN"/>
        </w:rPr>
        <w:t>人员</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造价咨询</w:t>
      </w:r>
      <w:r>
        <w:rPr>
          <w:rFonts w:hint="eastAsia" w:ascii="宋体" w:hAnsi="宋体" w:eastAsia="宋体" w:cs="宋体"/>
          <w:color w:val="auto"/>
          <w:sz w:val="24"/>
          <w:szCs w:val="24"/>
          <w:highlight w:val="none"/>
          <w:u w:val="single"/>
        </w:rPr>
        <w:t>人员的，委托人有权处以工程咨询人5000</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元/人·次的违约金。 </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根据工程进度，项目管理</w:t>
      </w:r>
      <w:r>
        <w:rPr>
          <w:rFonts w:hint="eastAsia" w:ascii="宋体" w:hAnsi="宋体" w:cs="宋体"/>
          <w:color w:val="auto"/>
          <w:sz w:val="24"/>
          <w:szCs w:val="24"/>
          <w:highlight w:val="none"/>
          <w:u w:val="single"/>
          <w:lang w:val="en-US" w:eastAsia="zh-CN"/>
        </w:rPr>
        <w:t>人员</w:t>
      </w:r>
      <w:r>
        <w:rPr>
          <w:rFonts w:hint="eastAsia" w:ascii="宋体" w:hAnsi="宋体" w:eastAsia="宋体" w:cs="宋体"/>
          <w:color w:val="auto"/>
          <w:sz w:val="24"/>
          <w:szCs w:val="24"/>
          <w:highlight w:val="none"/>
          <w:u w:val="single"/>
        </w:rPr>
        <w:t>及</w:t>
      </w:r>
      <w:r>
        <w:rPr>
          <w:rFonts w:hint="eastAsia" w:ascii="宋体" w:hAnsi="宋体" w:cs="宋体"/>
          <w:color w:val="auto"/>
          <w:sz w:val="24"/>
          <w:szCs w:val="24"/>
          <w:highlight w:val="none"/>
          <w:u w:val="single"/>
          <w:lang w:val="en-US" w:eastAsia="zh-CN"/>
        </w:rPr>
        <w:t>造价</w:t>
      </w:r>
      <w:r>
        <w:rPr>
          <w:rFonts w:hint="eastAsia" w:ascii="宋体" w:hAnsi="宋体" w:eastAsia="宋体" w:cs="宋体"/>
          <w:color w:val="auto"/>
          <w:sz w:val="24"/>
          <w:szCs w:val="24"/>
          <w:highlight w:val="none"/>
          <w:u w:val="single"/>
        </w:rPr>
        <w:t>咨询人员（</w:t>
      </w:r>
      <w:r>
        <w:rPr>
          <w:rFonts w:hint="eastAsia" w:ascii="宋体" w:hAnsi="宋体" w:cs="宋体"/>
          <w:color w:val="auto"/>
          <w:sz w:val="24"/>
          <w:szCs w:val="24"/>
          <w:highlight w:val="none"/>
          <w:u w:val="single"/>
          <w:lang w:val="en-US" w:eastAsia="zh-CN"/>
        </w:rPr>
        <w:t>项目负责人按6.1.7（1）执行，监理人员按附件</w:t>
      </w:r>
      <w:r>
        <w:rPr>
          <w:rFonts w:hint="eastAsia" w:ascii="宋体" w:hAnsi="宋体" w:eastAsia="宋体" w:cs="宋体"/>
          <w:color w:val="auto"/>
          <w:sz w:val="24"/>
          <w:szCs w:val="24"/>
          <w:highlight w:val="none"/>
          <w:u w:val="single"/>
        </w:rPr>
        <w:t>1本合同工程监理部分</w:t>
      </w:r>
      <w:r>
        <w:rPr>
          <w:rFonts w:hint="eastAsia" w:ascii="宋体" w:hAnsi="宋体" w:cs="宋体"/>
          <w:color w:val="auto"/>
          <w:sz w:val="24"/>
          <w:szCs w:val="24"/>
          <w:highlight w:val="none"/>
          <w:u w:val="single"/>
          <w:lang w:val="en-US" w:eastAsia="zh-CN"/>
        </w:rPr>
        <w:t>执行</w:t>
      </w:r>
      <w:r>
        <w:rPr>
          <w:rFonts w:hint="eastAsia" w:ascii="宋体" w:hAnsi="宋体" w:eastAsia="宋体" w:cs="宋体"/>
          <w:color w:val="auto"/>
          <w:sz w:val="24"/>
          <w:szCs w:val="24"/>
          <w:highlight w:val="none"/>
          <w:u w:val="single"/>
        </w:rPr>
        <w:t>）到位率要求</w:t>
      </w:r>
      <w:r>
        <w:rPr>
          <w:rFonts w:hint="eastAsia" w:ascii="宋体" w:hAnsi="宋体" w:cs="宋体"/>
          <w:color w:val="auto"/>
          <w:sz w:val="24"/>
          <w:szCs w:val="24"/>
          <w:highlight w:val="none"/>
          <w:u w:val="single"/>
          <w:lang w:val="en-US" w:eastAsia="zh-CN"/>
        </w:rPr>
        <w:t>80</w:t>
      </w:r>
      <w:r>
        <w:rPr>
          <w:rFonts w:hint="eastAsia" w:ascii="宋体" w:hAnsi="宋体" w:eastAsia="宋体" w:cs="宋体"/>
          <w:color w:val="auto"/>
          <w:sz w:val="24"/>
          <w:szCs w:val="24"/>
          <w:highlight w:val="none"/>
          <w:u w:val="single"/>
        </w:rPr>
        <w:t xml:space="preserve">％，即每个月不少于 </w:t>
      </w:r>
      <w:r>
        <w:rPr>
          <w:rFonts w:hint="eastAsia" w:ascii="宋体" w:hAnsi="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rPr>
        <w:t xml:space="preserve">天，如达不到则委托人有权按 </w:t>
      </w:r>
      <w:r>
        <w:rPr>
          <w:rFonts w:hint="eastAsia" w:ascii="宋体" w:hAnsi="宋体" w:cs="宋体"/>
          <w:color w:val="auto"/>
          <w:sz w:val="24"/>
          <w:szCs w:val="24"/>
          <w:highlight w:val="none"/>
          <w:u w:val="single"/>
          <w:lang w:val="en-US" w:eastAsia="zh-CN"/>
        </w:rPr>
        <w:t>10000</w:t>
      </w:r>
      <w:r>
        <w:rPr>
          <w:rFonts w:hint="eastAsia" w:ascii="宋体" w:hAnsi="宋体" w:eastAsia="宋体" w:cs="宋体"/>
          <w:color w:val="auto"/>
          <w:sz w:val="24"/>
          <w:szCs w:val="24"/>
          <w:highlight w:val="none"/>
          <w:u w:val="single"/>
        </w:rPr>
        <w:t xml:space="preserve"> 元/人·天收取违约金，均在工程咨询总报酬中直接扣除(以委托人考勤统计为准)。</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项目管理及咨询人员在工作时间内上网聊天、玩游戏的，每发现一次收取违约金</w:t>
      </w:r>
      <w:r>
        <w:rPr>
          <w:rFonts w:hint="eastAsia" w:ascii="宋体" w:hAnsi="宋体" w:cs="宋体"/>
          <w:color w:val="auto"/>
          <w:sz w:val="24"/>
          <w:szCs w:val="24"/>
          <w:highlight w:val="none"/>
          <w:u w:val="single"/>
          <w:lang w:val="en-US" w:eastAsia="zh-CN"/>
        </w:rPr>
        <w:t>1000</w:t>
      </w:r>
      <w:r>
        <w:rPr>
          <w:rFonts w:hint="eastAsia" w:ascii="宋体" w:hAnsi="宋体" w:eastAsia="宋体" w:cs="宋体"/>
          <w:color w:val="auto"/>
          <w:sz w:val="24"/>
          <w:szCs w:val="24"/>
          <w:highlight w:val="none"/>
          <w:u w:val="single"/>
        </w:rPr>
        <w:t xml:space="preserve">元，在工程咨询费中直接扣除。项目管理及咨询人员中午及工作时间(包括值班时间)不得饮酒，每发现一次收取违约金 </w:t>
      </w:r>
      <w:r>
        <w:rPr>
          <w:rFonts w:hint="eastAsia" w:ascii="宋体" w:hAnsi="宋体" w:cs="宋体"/>
          <w:color w:val="auto"/>
          <w:sz w:val="24"/>
          <w:szCs w:val="24"/>
          <w:highlight w:val="none"/>
          <w:u w:val="single"/>
          <w:lang w:val="en-US" w:eastAsia="zh-CN"/>
        </w:rPr>
        <w:t>1000</w:t>
      </w:r>
      <w:r>
        <w:rPr>
          <w:rFonts w:hint="eastAsia" w:ascii="宋体" w:hAnsi="宋体" w:eastAsia="宋体" w:cs="宋体"/>
          <w:color w:val="auto"/>
          <w:sz w:val="24"/>
          <w:szCs w:val="24"/>
          <w:highlight w:val="none"/>
          <w:u w:val="single"/>
        </w:rPr>
        <w:t xml:space="preserve">元，在工程咨询总报酬中直接扣除。 </w:t>
      </w:r>
    </w:p>
    <w:p>
      <w:pPr>
        <w:widowControl/>
        <w:shd w:val="clear" w:color="auto" w:fill="FFFFFF"/>
        <w:spacing w:line="360" w:lineRule="auto"/>
        <w:ind w:firstLine="48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关于委托人对</w:t>
      </w:r>
      <w:r>
        <w:rPr>
          <w:rFonts w:hint="eastAsia" w:ascii="宋体" w:hAnsi="宋体" w:cs="宋体"/>
          <w:color w:val="auto"/>
          <w:sz w:val="24"/>
          <w:szCs w:val="24"/>
          <w:highlight w:val="none"/>
          <w:u w:val="single"/>
          <w:lang w:val="en-US" w:eastAsia="zh-CN"/>
        </w:rPr>
        <w:t>监理负责人（总监）</w:t>
      </w:r>
      <w:r>
        <w:rPr>
          <w:rFonts w:hint="eastAsia" w:ascii="宋体" w:hAnsi="宋体" w:eastAsia="宋体" w:cs="宋体"/>
          <w:color w:val="auto"/>
          <w:sz w:val="24"/>
          <w:szCs w:val="24"/>
          <w:highlight w:val="none"/>
          <w:u w:val="single"/>
        </w:rPr>
        <w:t>及监理人员的到位率的考核及违约责任详见</w:t>
      </w:r>
      <w:r>
        <w:rPr>
          <w:rFonts w:hint="eastAsia" w:ascii="宋体" w:hAnsi="宋体" w:cs="宋体"/>
          <w:color w:val="auto"/>
          <w:sz w:val="24"/>
          <w:szCs w:val="24"/>
          <w:highlight w:val="none"/>
          <w:u w:val="single"/>
          <w:lang w:val="en-US" w:eastAsia="zh-CN"/>
        </w:rPr>
        <w:t>附件</w:t>
      </w:r>
      <w:r>
        <w:rPr>
          <w:rFonts w:hint="eastAsia" w:ascii="宋体" w:hAnsi="宋体" w:eastAsia="宋体" w:cs="宋体"/>
          <w:color w:val="auto"/>
          <w:sz w:val="24"/>
          <w:szCs w:val="24"/>
          <w:highlight w:val="none"/>
          <w:u w:val="single"/>
        </w:rPr>
        <w:t xml:space="preserve">1本合同工程监理部分。 </w:t>
      </w:r>
    </w:p>
    <w:p>
      <w:pP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注：若出现处罚情况时，委托人在当期咨询费中扣除。</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6.1.8</w:t>
      </w:r>
      <w:r>
        <w:rPr>
          <w:rFonts w:hint="eastAsia" w:ascii="宋体" w:hAnsi="宋体" w:eastAsia="宋体" w:cs="宋体"/>
          <w:color w:val="auto"/>
          <w:sz w:val="24"/>
          <w:szCs w:val="24"/>
          <w:highlight w:val="none"/>
          <w:u w:val="single"/>
        </w:rPr>
        <w:t>工程咨询人在责任期内，因工程咨询</w:t>
      </w:r>
      <w:r>
        <w:rPr>
          <w:rFonts w:hint="eastAsia" w:ascii="宋体" w:hAnsi="宋体" w:cs="宋体"/>
          <w:color w:val="auto"/>
          <w:sz w:val="24"/>
          <w:szCs w:val="24"/>
          <w:highlight w:val="none"/>
          <w:u w:val="single"/>
          <w:lang w:val="en-US" w:eastAsia="zh-CN"/>
        </w:rPr>
        <w:t>管理</w:t>
      </w:r>
      <w:r>
        <w:rPr>
          <w:rFonts w:hint="eastAsia" w:ascii="宋体" w:hAnsi="宋体" w:eastAsia="宋体" w:cs="宋体"/>
          <w:color w:val="auto"/>
          <w:sz w:val="24"/>
          <w:szCs w:val="24"/>
          <w:highlight w:val="none"/>
          <w:u w:val="single"/>
        </w:rPr>
        <w:t>原因，</w:t>
      </w:r>
      <w:r>
        <w:rPr>
          <w:rFonts w:hint="eastAsia" w:ascii="宋体" w:hAnsi="宋体" w:cs="宋体"/>
          <w:color w:val="auto"/>
          <w:sz w:val="24"/>
          <w:szCs w:val="24"/>
          <w:highlight w:val="none"/>
          <w:u w:val="single"/>
          <w:lang w:val="en-US" w:eastAsia="zh-CN"/>
        </w:rPr>
        <w:t>发生以下情形的，</w:t>
      </w:r>
      <w:r>
        <w:rPr>
          <w:rFonts w:hint="eastAsia" w:ascii="宋体" w:hAnsi="宋体" w:eastAsia="宋体" w:cs="宋体"/>
          <w:color w:val="auto"/>
          <w:sz w:val="24"/>
          <w:szCs w:val="24"/>
          <w:highlight w:val="none"/>
          <w:u w:val="single"/>
        </w:rPr>
        <w:t>工程咨询人同意按以下约定承担责任，</w:t>
      </w:r>
      <w:r>
        <w:rPr>
          <w:rFonts w:hint="eastAsia" w:ascii="宋体" w:hAnsi="宋体" w:cs="宋体"/>
          <w:color w:val="auto"/>
          <w:sz w:val="24"/>
          <w:szCs w:val="24"/>
          <w:highlight w:val="none"/>
          <w:u w:val="single"/>
          <w:lang w:val="en-US" w:eastAsia="zh-CN"/>
        </w:rPr>
        <w:t>并</w:t>
      </w:r>
      <w:r>
        <w:rPr>
          <w:rFonts w:hint="eastAsia" w:ascii="宋体" w:hAnsi="宋体" w:eastAsia="宋体" w:cs="宋体"/>
          <w:color w:val="auto"/>
          <w:sz w:val="24"/>
          <w:szCs w:val="24"/>
          <w:highlight w:val="none"/>
          <w:u w:val="single"/>
        </w:rPr>
        <w:t>赔偿违约损失。</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（1）安全事故</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①</w:t>
      </w:r>
      <w:r>
        <w:rPr>
          <w:rFonts w:hint="eastAsia" w:ascii="宋体" w:hAnsi="宋体" w:eastAsia="宋体" w:cs="宋体"/>
          <w:color w:val="auto"/>
          <w:sz w:val="24"/>
          <w:szCs w:val="24"/>
          <w:highlight w:val="none"/>
          <w:u w:val="single"/>
        </w:rPr>
        <w:t>发生了特别重大安全事故（造成30人以上死亡，或者100人以上重伤，或者1亿元以上直接经济损失），则委托人将扣减工程咨询人项目管理（含监理）部分的30%作为处罚金，在当期咨询费中扣除；</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②</w:t>
      </w:r>
      <w:r>
        <w:rPr>
          <w:rFonts w:hint="eastAsia" w:ascii="宋体" w:hAnsi="宋体" w:eastAsia="宋体" w:cs="宋体"/>
          <w:color w:val="auto"/>
          <w:sz w:val="24"/>
          <w:szCs w:val="24"/>
          <w:highlight w:val="none"/>
          <w:u w:val="single"/>
        </w:rPr>
        <w:t>发生了重大安全事故（造成10人以上30人以下死亡，或者50人以上100人以下重伤，或者5000万元以上1亿元以下直接经济损失），则委托人将扣减工程咨询人项目管理（含监理）部分的20%作为处罚金，在当期咨询费中扣除；</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③</w:t>
      </w:r>
      <w:r>
        <w:rPr>
          <w:rFonts w:hint="eastAsia" w:ascii="宋体" w:hAnsi="宋体" w:eastAsia="宋体" w:cs="宋体"/>
          <w:color w:val="auto"/>
          <w:sz w:val="24"/>
          <w:szCs w:val="24"/>
          <w:highlight w:val="none"/>
          <w:u w:val="single"/>
        </w:rPr>
        <w:t>发生了较大安全事故（造成3人以上10人以下死亡，或者10人以上50人以下重伤，或者1000万元以上5000万元以下直接经济损失），则委托人将扣减工程咨询人项目管理（含监理）部分的10%作为处罚金，在当期咨询费中扣除；</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④</w:t>
      </w:r>
      <w:r>
        <w:rPr>
          <w:rFonts w:hint="eastAsia" w:ascii="宋体" w:hAnsi="宋体" w:eastAsia="宋体" w:cs="宋体"/>
          <w:color w:val="auto"/>
          <w:sz w:val="24"/>
          <w:szCs w:val="24"/>
          <w:highlight w:val="none"/>
          <w:u w:val="single"/>
        </w:rPr>
        <w:t>发生了一般安全事故（造成3人以下死亡，或者10人以下重伤，或者1000万元以下直接经济损失），则委托人将扣减工程咨询人项目管理（含监理）部分的5%作为处罚金，在当期咨询费中扣除；</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⑤</w:t>
      </w:r>
      <w:r>
        <w:rPr>
          <w:rFonts w:hint="eastAsia" w:ascii="宋体" w:hAnsi="宋体" w:eastAsia="宋体" w:cs="宋体"/>
          <w:color w:val="auto"/>
          <w:sz w:val="24"/>
          <w:szCs w:val="24"/>
          <w:highlight w:val="none"/>
          <w:u w:val="single"/>
        </w:rPr>
        <w:t>发生</w:t>
      </w:r>
      <w:r>
        <w:rPr>
          <w:rFonts w:hint="eastAsia" w:ascii="宋体" w:hAnsi="宋体" w:eastAsia="宋体" w:cs="宋体"/>
          <w:color w:val="auto"/>
          <w:sz w:val="24"/>
          <w:szCs w:val="24"/>
          <w:highlight w:val="none"/>
          <w:u w:val="single"/>
          <w:lang w:val="en-US" w:eastAsia="zh-CN"/>
        </w:rPr>
        <w:t>①</w:t>
      </w:r>
      <w:r>
        <w:rPr>
          <w:rFonts w:hint="eastAsia" w:ascii="宋体" w:hAnsi="宋体" w:eastAsia="宋体" w:cs="宋体"/>
          <w:color w:val="auto"/>
          <w:sz w:val="24"/>
          <w:szCs w:val="24"/>
          <w:highlight w:val="none"/>
          <w:u w:val="single"/>
        </w:rPr>
        <w:t>或</w:t>
      </w:r>
      <w:r>
        <w:rPr>
          <w:rFonts w:hint="eastAsia" w:ascii="宋体" w:hAnsi="宋体" w:eastAsia="宋体" w:cs="宋体"/>
          <w:color w:val="auto"/>
          <w:sz w:val="24"/>
          <w:szCs w:val="24"/>
          <w:highlight w:val="none"/>
          <w:u w:val="single"/>
          <w:lang w:val="en-US" w:eastAsia="zh-CN"/>
        </w:rPr>
        <w:t>②</w:t>
      </w:r>
      <w:r>
        <w:rPr>
          <w:rFonts w:hint="eastAsia" w:ascii="宋体" w:hAnsi="宋体" w:eastAsia="宋体" w:cs="宋体"/>
          <w:color w:val="auto"/>
          <w:sz w:val="24"/>
          <w:szCs w:val="24"/>
          <w:highlight w:val="none"/>
          <w:u w:val="single"/>
        </w:rPr>
        <w:t>安全事故时，除处罚金以外，委托人视情况有权单方面终止合同，并依法追究工程咨询人责任。</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（2）工程质量事故</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①</w:t>
      </w:r>
      <w:r>
        <w:rPr>
          <w:rFonts w:hint="eastAsia" w:ascii="宋体" w:hAnsi="宋体" w:eastAsia="宋体" w:cs="宋体"/>
          <w:color w:val="auto"/>
          <w:sz w:val="24"/>
          <w:szCs w:val="24"/>
          <w:highlight w:val="none"/>
          <w:u w:val="single"/>
        </w:rPr>
        <w:t>发生了特大质量事故或两起及以上相同性质的重大质量事故，则委托人将扣减工程咨询人100万作为处罚金，在当期咨询费中扣除；</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②</w:t>
      </w:r>
      <w:r>
        <w:rPr>
          <w:rFonts w:hint="eastAsia" w:ascii="宋体" w:hAnsi="宋体" w:eastAsia="宋体" w:cs="宋体"/>
          <w:color w:val="auto"/>
          <w:sz w:val="24"/>
          <w:szCs w:val="24"/>
          <w:highlight w:val="none"/>
          <w:u w:val="single"/>
        </w:rPr>
        <w:t xml:space="preserve">发生了重大质量事故，则委托人将扣减工程咨询人50万作为处罚金，在当期咨询费中扣除； </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③</w:t>
      </w:r>
      <w:r>
        <w:rPr>
          <w:rFonts w:hint="eastAsia" w:ascii="宋体" w:hAnsi="宋体" w:eastAsia="宋体" w:cs="宋体"/>
          <w:color w:val="auto"/>
          <w:sz w:val="24"/>
          <w:szCs w:val="24"/>
          <w:highlight w:val="none"/>
          <w:u w:val="single"/>
        </w:rPr>
        <w:t>工程验收未能一次达到合格工程，委托人将扣减工程咨询人10万作为处罚金，在当期咨询费中扣除；</w:t>
      </w:r>
    </w:p>
    <w:p>
      <w:pPr>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（3）投资超额</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①</w:t>
      </w:r>
      <w:r>
        <w:rPr>
          <w:rFonts w:hint="eastAsia" w:ascii="宋体" w:hAnsi="宋体" w:eastAsia="宋体" w:cs="宋体"/>
          <w:color w:val="auto"/>
          <w:sz w:val="24"/>
          <w:szCs w:val="24"/>
          <w:highlight w:val="none"/>
          <w:u w:val="single"/>
        </w:rPr>
        <w:t>全过程工程咨询人需对施工单位提交的结算进行初审，工程咨询人应在确保工程质量、安全和进度的前提下，严格控制项目工程造价。为确保审核的正确性</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如果因工程咨询人原因导致</w:t>
      </w:r>
      <w:r>
        <w:rPr>
          <w:rFonts w:hint="eastAsia" w:ascii="宋体" w:hAnsi="宋体" w:eastAsia="宋体" w:cs="宋体"/>
          <w:color w:val="auto"/>
          <w:sz w:val="24"/>
          <w:szCs w:val="24"/>
          <w:highlight w:val="none"/>
          <w:u w:val="single"/>
          <w:lang w:val="en-US" w:eastAsia="zh-CN"/>
        </w:rPr>
        <w:t>最终审定</w:t>
      </w:r>
      <w:r>
        <w:rPr>
          <w:rFonts w:hint="eastAsia" w:ascii="宋体" w:hAnsi="宋体" w:eastAsia="宋体" w:cs="宋体"/>
          <w:color w:val="auto"/>
          <w:sz w:val="24"/>
          <w:szCs w:val="24"/>
          <w:highlight w:val="none"/>
          <w:u w:val="single"/>
        </w:rPr>
        <w:t>结算价如最终审定价与全过程</w:t>
      </w:r>
      <w:r>
        <w:rPr>
          <w:rFonts w:hint="eastAsia" w:ascii="宋体" w:hAnsi="宋体" w:cs="宋体"/>
          <w:color w:val="auto"/>
          <w:sz w:val="24"/>
          <w:szCs w:val="24"/>
          <w:highlight w:val="none"/>
          <w:u w:val="single"/>
          <w:lang w:val="en-US" w:eastAsia="zh-CN"/>
        </w:rPr>
        <w:t>工程</w:t>
      </w:r>
      <w:r>
        <w:rPr>
          <w:rFonts w:hint="eastAsia" w:ascii="宋体" w:hAnsi="宋体" w:eastAsia="宋体" w:cs="宋体"/>
          <w:color w:val="auto"/>
          <w:sz w:val="24"/>
          <w:szCs w:val="24"/>
          <w:highlight w:val="none"/>
          <w:u w:val="single"/>
        </w:rPr>
        <w:t>咨询人的初审价差错率大于2.5%（差错额包括核减金额和核增金额的绝对值之和），则委托人将按照以下公式对全过程工程咨询人进行处罚：</w:t>
      </w:r>
    </w:p>
    <w:p>
      <w:pPr>
        <w:spacing w:line="360" w:lineRule="auto"/>
        <w:ind w:firstLine="480" w:firstLineChars="200"/>
        <w:rPr>
          <w:rFonts w:hint="eastAsia"/>
          <w:color w:val="auto"/>
          <w:highlight w:val="none"/>
        </w:rPr>
      </w:pPr>
      <w:r>
        <w:rPr>
          <w:rFonts w:hint="eastAsia" w:ascii="宋体" w:hAnsi="宋体" w:eastAsia="宋体" w:cs="宋体"/>
          <w:color w:val="auto"/>
          <w:sz w:val="24"/>
          <w:szCs w:val="24"/>
          <w:highlight w:val="none"/>
          <w:u w:val="single"/>
        </w:rPr>
        <w:t>处罚金额=[(∣审定后的核减金额∣+∣审定后的核增金额∣)-送审价×2.5%]÷送审价×造价咨询费。</w:t>
      </w:r>
    </w:p>
    <w:p>
      <w:pPr>
        <w:spacing w:line="360" w:lineRule="auto"/>
        <w:ind w:firstLine="480" w:firstLineChars="200"/>
        <w:rPr>
          <w:rFonts w:ascii="宋体" w:hAnsi="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在保修期间，因工作需要，</w:t>
      </w:r>
      <w:r>
        <w:rPr>
          <w:rFonts w:hint="eastAsia" w:ascii="宋体" w:hAnsi="宋体" w:cs="宋体"/>
          <w:b/>
          <w:bCs/>
          <w:color w:val="auto"/>
          <w:sz w:val="24"/>
          <w:szCs w:val="24"/>
          <w:highlight w:val="none"/>
          <w:u w:val="single"/>
        </w:rPr>
        <w:t>工程咨询人</w:t>
      </w:r>
      <w:r>
        <w:rPr>
          <w:rFonts w:hint="eastAsia" w:ascii="宋体" w:hAnsi="宋体" w:eastAsia="宋体" w:cs="宋体"/>
          <w:color w:val="auto"/>
          <w:sz w:val="24"/>
          <w:szCs w:val="24"/>
          <w:highlight w:val="none"/>
          <w:u w:val="single"/>
        </w:rPr>
        <w:t>在接到委托人的通知后24小时内未到位的，处以10000元/次支付违约金。</w:t>
      </w:r>
    </w:p>
    <w:p>
      <w:pPr>
        <w:spacing w:line="360" w:lineRule="auto"/>
        <w:ind w:firstLine="482" w:firstLineChars="200"/>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w:t>
      </w:r>
      <w:r>
        <w:rPr>
          <w:rFonts w:ascii="宋体" w:hAnsi="宋体" w:cs="宋体"/>
          <w:b/>
          <w:bCs/>
          <w:color w:val="auto"/>
          <w:sz w:val="24"/>
          <w:szCs w:val="24"/>
          <w:highlight w:val="none"/>
          <w:u w:val="single"/>
        </w:rPr>
        <w:t>5）如</w:t>
      </w:r>
      <w:r>
        <w:rPr>
          <w:rFonts w:hint="eastAsia" w:ascii="宋体" w:hAnsi="宋体" w:cs="宋体"/>
          <w:b/>
          <w:bCs/>
          <w:color w:val="auto"/>
          <w:sz w:val="24"/>
          <w:szCs w:val="24"/>
          <w:highlight w:val="none"/>
          <w:u w:val="single"/>
        </w:rPr>
        <w:t>未经发包人同意，工程咨询人擅自转包、挂靠，委托人有权</w:t>
      </w:r>
      <w:r>
        <w:rPr>
          <w:rFonts w:hint="eastAsia" w:ascii="宋体" w:hAnsi="宋体" w:cs="宋体"/>
          <w:b/>
          <w:bCs/>
          <w:color w:val="auto"/>
          <w:sz w:val="24"/>
          <w:szCs w:val="24"/>
          <w:highlight w:val="none"/>
          <w:u w:val="single"/>
          <w:lang w:eastAsia="zh-CN"/>
        </w:rPr>
        <w:t>不予退还</w:t>
      </w:r>
      <w:r>
        <w:rPr>
          <w:rFonts w:hint="eastAsia" w:ascii="宋体" w:hAnsi="宋体" w:cs="宋体"/>
          <w:b/>
          <w:bCs/>
          <w:color w:val="auto"/>
          <w:sz w:val="24"/>
          <w:szCs w:val="24"/>
          <w:highlight w:val="none"/>
          <w:u w:val="single"/>
        </w:rPr>
        <w:t>全部履约担保。</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6.1.</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考核要求：</w:t>
      </w:r>
    </w:p>
    <w:p>
      <w:pPr>
        <w:spacing w:line="360" w:lineRule="auto"/>
        <w:ind w:firstLine="480" w:firstLineChars="200"/>
        <w:rPr>
          <w:rFonts w:hint="eastAsia"/>
          <w:color w:val="auto"/>
          <w:highlight w:val="none"/>
          <w:lang w:eastAsia="zh-CN"/>
        </w:rPr>
      </w:pPr>
      <w:r>
        <w:rPr>
          <w:rFonts w:hint="eastAsia" w:ascii="宋体" w:hAnsi="宋体" w:eastAsia="宋体" w:cs="宋体"/>
          <w:color w:val="auto"/>
          <w:sz w:val="24"/>
          <w:szCs w:val="24"/>
          <w:highlight w:val="none"/>
          <w:u w:val="single"/>
        </w:rPr>
        <w:t>项目投资结算价如不能满足财政部绩效评价等考核要求的，工程咨询人须支付委托人10万元违约金。</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工程咨询人向委托人赔偿金额的确定方式：</w:t>
      </w:r>
      <w:r>
        <w:rPr>
          <w:rFonts w:hint="eastAsia" w:ascii="宋体" w:hAnsi="宋体" w:eastAsia="宋体" w:cs="宋体"/>
          <w:color w:val="auto"/>
          <w:sz w:val="24"/>
          <w:szCs w:val="24"/>
          <w:highlight w:val="none"/>
          <w:u w:val="single"/>
        </w:rPr>
        <w:t xml:space="preserve"> 根据考勤及相关文件记录确定，相关违约金在当期工程咨询总报酬进度款中直接扣除 </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委托人的具体违约责任：</w:t>
      </w:r>
      <w:r>
        <w:rPr>
          <w:rFonts w:hint="eastAsia" w:ascii="宋体" w:hAnsi="宋体" w:eastAsia="宋体" w:cs="宋体"/>
          <w:color w:val="auto"/>
          <w:sz w:val="24"/>
          <w:szCs w:val="24"/>
          <w:highlight w:val="none"/>
          <w:u w:val="single"/>
        </w:rPr>
        <w:t>按通用条款</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双方约定不可抗力情形及相关处理原则：</w:t>
      </w:r>
      <w:r>
        <w:rPr>
          <w:rFonts w:hint="eastAsia" w:ascii="宋体" w:hAnsi="宋体" w:eastAsia="宋体" w:cs="宋体"/>
          <w:color w:val="auto"/>
          <w:sz w:val="24"/>
          <w:szCs w:val="24"/>
          <w:highlight w:val="none"/>
          <w:u w:val="single"/>
        </w:rPr>
        <w:t>按通用条款及1.1.12</w:t>
      </w:r>
      <w:r>
        <w:rPr>
          <w:rFonts w:hint="eastAsia" w:ascii="宋体" w:hAnsi="宋体" w:eastAsia="宋体" w:cs="宋体"/>
          <w:color w:val="auto"/>
          <w:sz w:val="24"/>
          <w:szCs w:val="24"/>
          <w:highlight w:val="none"/>
        </w:rPr>
        <w:t>。</w:t>
      </w:r>
    </w:p>
    <w:p>
      <w:pPr>
        <w:widowControl/>
        <w:shd w:val="clear" w:color="auto" w:fill="FFFFFF"/>
        <w:spacing w:line="360" w:lineRule="auto"/>
        <w:ind w:firstLine="480" w:firstLineChars="200"/>
        <w:jc w:val="left"/>
        <w:rPr>
          <w:rFonts w:hint="eastAsia" w:ascii="宋体" w:hAnsi="宋体" w:eastAsia="宋体" w:cs="宋体"/>
          <w:strike/>
          <w:color w:val="auto"/>
          <w:sz w:val="24"/>
          <w:szCs w:val="24"/>
          <w:highlight w:val="none"/>
          <w:u w:val="single"/>
        </w:rPr>
      </w:pPr>
      <w:r>
        <w:rPr>
          <w:rFonts w:hint="eastAsia" w:ascii="宋体" w:hAnsi="宋体" w:eastAsia="宋体" w:cs="宋体"/>
          <w:color w:val="auto"/>
          <w:sz w:val="24"/>
          <w:szCs w:val="24"/>
          <w:highlight w:val="none"/>
        </w:rPr>
        <w:t>8.2  附加工作报酬的确定方式：</w:t>
      </w:r>
      <w:r>
        <w:rPr>
          <w:rFonts w:hint="eastAsia" w:hAnsi="宋体" w:cs="宋体"/>
          <w:color w:val="auto"/>
          <w:sz w:val="24"/>
          <w:szCs w:val="24"/>
          <w:highlight w:val="none"/>
          <w:u w:val="single"/>
        </w:rPr>
        <w:t xml:space="preserve">双方另行协商 </w:t>
      </w:r>
      <w:r>
        <w:rPr>
          <w:rFonts w:hint="eastAsia" w:ascii="宋体" w:hAnsi="宋体" w:eastAsia="宋体" w:cs="宋体"/>
          <w:color w:val="auto"/>
          <w:sz w:val="24"/>
          <w:szCs w:val="24"/>
          <w:highlight w:val="none"/>
          <w:u w:val="single"/>
        </w:rPr>
        <w:t>。</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8.5.2 双方约定解除合同的其他条件：</w:t>
      </w:r>
      <w:r>
        <w:rPr>
          <w:rFonts w:hint="eastAsia" w:ascii="宋体" w:hAnsi="宋体" w:eastAsia="宋体" w:cs="宋体"/>
          <w:color w:val="auto"/>
          <w:sz w:val="24"/>
          <w:szCs w:val="24"/>
          <w:highlight w:val="none"/>
          <w:u w:val="single"/>
        </w:rPr>
        <w:t>按通用条款</w:t>
      </w:r>
      <w:r>
        <w:rPr>
          <w:rFonts w:hint="eastAsia" w:ascii="宋体" w:hAnsi="宋体" w:eastAsia="宋体" w:cs="宋体"/>
          <w:color w:val="auto"/>
          <w:sz w:val="24"/>
          <w:szCs w:val="24"/>
          <w:highlight w:val="none"/>
        </w:rPr>
        <w:t>。</w:t>
      </w:r>
    </w:p>
    <w:p>
      <w:pPr>
        <w:spacing w:line="360" w:lineRule="auto"/>
        <w:ind w:firstLine="456"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9.1  附加工作报酬、工作奖励或参与投资节余分成等计取条件与方式分别为：</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附加工作报酬：</w:t>
      </w:r>
      <w:r>
        <w:rPr>
          <w:rFonts w:hint="eastAsia" w:ascii="宋体" w:hAnsi="宋体" w:eastAsia="宋体" w:cs="宋体"/>
          <w:color w:val="auto"/>
          <w:sz w:val="24"/>
          <w:szCs w:val="24"/>
          <w:highlight w:val="none"/>
          <w:u w:val="single"/>
        </w:rPr>
        <w:t xml:space="preserve">    按专用条件8.2</w:t>
      </w:r>
      <w:r>
        <w:rPr>
          <w:rFonts w:hint="eastAsia" w:ascii="宋体" w:hAnsi="宋体" w:eastAsia="宋体" w:cs="宋体"/>
          <w:color w:val="auto"/>
          <w:sz w:val="24"/>
          <w:szCs w:val="24"/>
          <w:highlight w:val="none"/>
          <w:u w:val="single"/>
          <w:lang w:val="en-US" w:eastAsia="zh-CN"/>
        </w:rPr>
        <w:t>款</w:t>
      </w:r>
      <w:r>
        <w:rPr>
          <w:rFonts w:hint="eastAsia" w:ascii="宋体" w:hAnsi="宋体" w:eastAsia="宋体" w:cs="宋体"/>
          <w:color w:val="auto"/>
          <w:sz w:val="24"/>
          <w:szCs w:val="24"/>
          <w:highlight w:val="none"/>
          <w:u w:val="single"/>
        </w:rPr>
        <w:t xml:space="preserve">       </w:t>
      </w:r>
    </w:p>
    <w:p>
      <w:pPr>
        <w:spacing w:line="360" w:lineRule="auto"/>
        <w:ind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9.2 委托人同意按以下的计算方法、支付时间与金额，支付工程咨询人的报酬：</w:t>
      </w:r>
    </w:p>
    <w:p>
      <w:pPr>
        <w:spacing w:line="360" w:lineRule="auto"/>
        <w:ind w:firstLine="456" w:firstLineChars="200"/>
        <w:rPr>
          <w:rFonts w:hint="eastAsia" w:ascii="宋体" w:hAnsi="宋体" w:eastAsia="宋体" w:cs="宋体"/>
          <w:color w:val="auto"/>
          <w:spacing w:val="-6"/>
          <w:sz w:val="24"/>
          <w:szCs w:val="24"/>
          <w:highlight w:val="none"/>
        </w:rPr>
      </w:pPr>
      <w:r>
        <w:rPr>
          <w:rFonts w:hint="eastAsia" w:ascii="宋体" w:hAnsi="宋体" w:cs="宋体"/>
          <w:color w:val="auto"/>
          <w:spacing w:val="-6"/>
          <w:sz w:val="24"/>
          <w:szCs w:val="24"/>
          <w:highlight w:val="none"/>
          <w:lang w:val="en-US" w:eastAsia="zh-CN"/>
        </w:rPr>
        <w:t>本合同为固定总价</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在合同实施期间，合同价不作调整。</w:t>
      </w:r>
      <w:r>
        <w:rPr>
          <w:rFonts w:hint="eastAsia" w:ascii="宋体" w:hAnsi="宋体" w:eastAsia="宋体" w:cs="宋体"/>
          <w:color w:val="auto"/>
          <w:spacing w:val="-6"/>
          <w:sz w:val="24"/>
          <w:szCs w:val="24"/>
          <w:highlight w:val="none"/>
        </w:rPr>
        <w:t>具体按以下约定条款支付：</w:t>
      </w:r>
    </w:p>
    <w:tbl>
      <w:tblPr>
        <w:tblStyle w:val="26"/>
        <w:tblpPr w:leftFromText="180" w:rightFromText="180" w:vertAnchor="text" w:horzAnchor="page" w:tblpXSpec="center" w:tblpY="742"/>
        <w:tblOverlap w:val="never"/>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3476"/>
        <w:gridCol w:w="1900"/>
        <w:gridCol w:w="1215"/>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支付次数</w:t>
            </w:r>
          </w:p>
        </w:tc>
        <w:tc>
          <w:tcPr>
            <w:tcW w:w="34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支付时间</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支付比例</w:t>
            </w:r>
          </w:p>
        </w:tc>
        <w:tc>
          <w:tcPr>
            <w:tcW w:w="121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支付金额（万元）</w:t>
            </w:r>
          </w:p>
        </w:tc>
        <w:tc>
          <w:tcPr>
            <w:tcW w:w="153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次付款</w:t>
            </w:r>
          </w:p>
        </w:tc>
        <w:tc>
          <w:tcPr>
            <w:tcW w:w="3476" w:type="dxa"/>
            <w:vAlign w:val="center"/>
          </w:tcPr>
          <w:p>
            <w:pPr>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项目开工，取得本项目施工许可证后</w:t>
            </w:r>
            <w:r>
              <w:rPr>
                <w:rFonts w:hint="eastAsia" w:ascii="宋体" w:hAnsi="宋体" w:eastAsia="宋体" w:cs="宋体"/>
                <w:color w:val="auto"/>
                <w:sz w:val="24"/>
                <w:szCs w:val="24"/>
                <w:highlight w:val="none"/>
                <w:lang w:val="en-US" w:eastAsia="zh-CN"/>
              </w:rPr>
              <w:t>二十八</w:t>
            </w:r>
            <w:r>
              <w:rPr>
                <w:rFonts w:hint="eastAsia" w:ascii="宋体" w:hAnsi="宋体" w:eastAsia="宋体" w:cs="宋体"/>
                <w:color w:val="auto"/>
                <w:sz w:val="24"/>
                <w:szCs w:val="24"/>
                <w:highlight w:val="none"/>
              </w:rPr>
              <w:t>天内</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合同价</w:t>
            </w:r>
          </w:p>
          <w:p>
            <w:pPr>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次付款</w:t>
            </w:r>
          </w:p>
        </w:tc>
        <w:tc>
          <w:tcPr>
            <w:tcW w:w="3476" w:type="dxa"/>
            <w:vAlign w:val="center"/>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3个施工标段</w:t>
            </w:r>
            <w:r>
              <w:rPr>
                <w:rFonts w:hint="eastAsia" w:ascii="宋体" w:hAnsi="宋体" w:eastAsia="宋体" w:cs="宋体"/>
                <w:color w:val="auto"/>
                <w:sz w:val="24"/>
                <w:szCs w:val="24"/>
                <w:highlight w:val="none"/>
              </w:rPr>
              <w:t>工程量完成累计</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工程量的50%后</w:t>
            </w:r>
            <w:r>
              <w:rPr>
                <w:rFonts w:hint="eastAsia" w:ascii="宋体" w:hAnsi="宋体" w:eastAsia="宋体" w:cs="宋体"/>
                <w:color w:val="auto"/>
                <w:sz w:val="24"/>
                <w:szCs w:val="24"/>
                <w:highlight w:val="none"/>
                <w:lang w:val="en-US" w:eastAsia="zh-CN"/>
              </w:rPr>
              <w:t>二十八</w:t>
            </w:r>
            <w:r>
              <w:rPr>
                <w:rFonts w:hint="eastAsia" w:ascii="宋体" w:hAnsi="宋体" w:eastAsia="宋体" w:cs="宋体"/>
                <w:color w:val="auto"/>
                <w:sz w:val="24"/>
                <w:szCs w:val="24"/>
                <w:highlight w:val="none"/>
              </w:rPr>
              <w:t>天内</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合同价的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次付款</w:t>
            </w:r>
          </w:p>
        </w:tc>
        <w:tc>
          <w:tcPr>
            <w:tcW w:w="3476" w:type="dxa"/>
            <w:vAlign w:val="center"/>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3个施工标段</w:t>
            </w:r>
            <w:r>
              <w:rPr>
                <w:rFonts w:hint="eastAsia" w:ascii="宋体" w:hAnsi="宋体" w:eastAsia="宋体" w:cs="宋体"/>
                <w:color w:val="auto"/>
                <w:sz w:val="24"/>
                <w:szCs w:val="24"/>
                <w:highlight w:val="none"/>
              </w:rPr>
              <w:t>工程量完成累计</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工程量的80%后</w:t>
            </w:r>
            <w:r>
              <w:rPr>
                <w:rFonts w:hint="eastAsia" w:ascii="宋体" w:hAnsi="宋体" w:eastAsia="宋体" w:cs="宋体"/>
                <w:color w:val="auto"/>
                <w:sz w:val="24"/>
                <w:szCs w:val="24"/>
                <w:highlight w:val="none"/>
                <w:lang w:val="en-US" w:eastAsia="zh-CN"/>
              </w:rPr>
              <w:t>二十八天</w:t>
            </w:r>
            <w:r>
              <w:rPr>
                <w:rFonts w:hint="eastAsia" w:ascii="宋体" w:hAnsi="宋体" w:eastAsia="宋体" w:cs="宋体"/>
                <w:color w:val="auto"/>
                <w:sz w:val="24"/>
                <w:szCs w:val="24"/>
                <w:highlight w:val="none"/>
              </w:rPr>
              <w:t>内</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合同价的</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次付款</w:t>
            </w:r>
          </w:p>
        </w:tc>
        <w:tc>
          <w:tcPr>
            <w:tcW w:w="3476" w:type="dxa"/>
            <w:vAlign w:val="center"/>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3个标段</w:t>
            </w:r>
            <w:r>
              <w:rPr>
                <w:rFonts w:hint="eastAsia" w:ascii="宋体" w:hAnsi="宋体" w:eastAsia="宋体" w:cs="宋体"/>
                <w:color w:val="auto"/>
                <w:sz w:val="24"/>
                <w:szCs w:val="24"/>
                <w:highlight w:val="none"/>
              </w:rPr>
              <w:t>所有工程竣工验收通过(包括施工档案资料完成)后</w:t>
            </w:r>
            <w:r>
              <w:rPr>
                <w:rFonts w:hint="eastAsia" w:ascii="宋体" w:hAnsi="宋体" w:eastAsia="宋体" w:cs="宋体"/>
                <w:color w:val="auto"/>
                <w:sz w:val="24"/>
                <w:szCs w:val="24"/>
                <w:highlight w:val="none"/>
                <w:lang w:val="en-US" w:eastAsia="zh-CN"/>
              </w:rPr>
              <w:t>二十八天</w:t>
            </w:r>
            <w:r>
              <w:rPr>
                <w:rFonts w:hint="eastAsia" w:ascii="宋体" w:hAnsi="宋体" w:eastAsia="宋体" w:cs="宋体"/>
                <w:color w:val="auto"/>
                <w:sz w:val="24"/>
                <w:szCs w:val="24"/>
                <w:highlight w:val="none"/>
              </w:rPr>
              <w:t>内</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合同价的</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次付款</w:t>
            </w:r>
          </w:p>
        </w:tc>
        <w:tc>
          <w:tcPr>
            <w:tcW w:w="3476" w:type="dxa"/>
            <w:vAlign w:val="center"/>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3个标段</w:t>
            </w:r>
            <w:r>
              <w:rPr>
                <w:rFonts w:hint="eastAsia" w:ascii="宋体" w:hAnsi="宋体" w:eastAsia="宋体" w:cs="宋体"/>
                <w:color w:val="auto"/>
                <w:sz w:val="24"/>
                <w:szCs w:val="24"/>
                <w:highlight w:val="none"/>
              </w:rPr>
              <w:t>所有工程第三方工程造价结算审计结束并出具报告</w:t>
            </w:r>
            <w:r>
              <w:rPr>
                <w:rFonts w:hint="eastAsia" w:ascii="宋体" w:hAnsi="宋体" w:eastAsia="宋体" w:cs="宋体"/>
                <w:color w:val="auto"/>
                <w:sz w:val="24"/>
                <w:szCs w:val="24"/>
                <w:highlight w:val="none"/>
                <w:lang w:val="en-US" w:eastAsia="zh-CN"/>
              </w:rPr>
              <w:t>二十八天</w:t>
            </w:r>
            <w:r>
              <w:rPr>
                <w:rFonts w:hint="eastAsia" w:ascii="宋体" w:hAnsi="宋体" w:eastAsia="宋体" w:cs="宋体"/>
                <w:color w:val="auto"/>
                <w:sz w:val="24"/>
                <w:szCs w:val="24"/>
                <w:highlight w:val="none"/>
              </w:rPr>
              <w:t>内</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合同价的</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rPr>
              <w:t>%</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第七次付款</w:t>
            </w:r>
          </w:p>
        </w:tc>
        <w:tc>
          <w:tcPr>
            <w:tcW w:w="3476" w:type="dxa"/>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项目委托人完成合同相关服务内容的审计及相关流程并认可后</w:t>
            </w:r>
            <w:r>
              <w:rPr>
                <w:rFonts w:hint="eastAsia" w:ascii="宋体" w:hAnsi="宋体" w:eastAsia="宋体" w:cs="宋体"/>
                <w:color w:val="auto"/>
                <w:sz w:val="24"/>
                <w:szCs w:val="24"/>
                <w:highlight w:val="none"/>
                <w:lang w:val="en-US" w:eastAsia="zh-CN"/>
              </w:rPr>
              <w:t>二十八</w:t>
            </w:r>
            <w:r>
              <w:rPr>
                <w:rFonts w:hint="eastAsia" w:ascii="宋体" w:hAnsi="宋体" w:eastAsia="宋体" w:cs="宋体"/>
                <w:color w:val="auto"/>
                <w:sz w:val="24"/>
                <w:szCs w:val="24"/>
                <w:highlight w:val="none"/>
              </w:rPr>
              <w:t>天内</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合同价的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53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最后付款</w:t>
            </w:r>
          </w:p>
        </w:tc>
        <w:tc>
          <w:tcPr>
            <w:tcW w:w="34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工程保修期（即缺陷责任期）</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val="en-US" w:eastAsia="zh-CN"/>
              </w:rPr>
              <w:t>二十八</w:t>
            </w:r>
            <w:r>
              <w:rPr>
                <w:rFonts w:hint="eastAsia" w:ascii="宋体" w:hAnsi="宋体" w:eastAsia="宋体" w:cs="宋体"/>
                <w:color w:val="auto"/>
                <w:sz w:val="24"/>
                <w:szCs w:val="24"/>
                <w:highlight w:val="none"/>
              </w:rPr>
              <w:t>天内，结清剩余的</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w:t>
            </w:r>
          </w:p>
        </w:tc>
        <w:tc>
          <w:tcPr>
            <w:tcW w:w="190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付清合同价余款（剩余5%）</w:t>
            </w:r>
          </w:p>
        </w:tc>
        <w:tc>
          <w:tcPr>
            <w:tcW w:w="1215" w:type="dxa"/>
            <w:vAlign w:val="center"/>
          </w:tcPr>
          <w:p>
            <w:pPr>
              <w:ind w:firstLine="480" w:firstLineChars="200"/>
              <w:rPr>
                <w:rFonts w:hint="eastAsia" w:ascii="宋体" w:hAnsi="宋体" w:eastAsia="宋体" w:cs="宋体"/>
                <w:color w:val="auto"/>
                <w:sz w:val="24"/>
                <w:szCs w:val="24"/>
                <w:highlight w:val="none"/>
              </w:rPr>
            </w:pPr>
          </w:p>
        </w:tc>
        <w:tc>
          <w:tcPr>
            <w:tcW w:w="1530"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pPr>
        <w:pStyle w:val="34"/>
        <w:ind w:firstLine="48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9.3 委托人在规定的支付期限内未支付工程咨询报酬所导致的逾期付款利息计算方式约定为：</w:t>
      </w:r>
      <w:r>
        <w:rPr>
          <w:rFonts w:hint="eastAsia" w:ascii="宋体" w:hAnsi="宋体" w:eastAsia="宋体" w:cs="宋体"/>
          <w:color w:val="auto"/>
          <w:kern w:val="0"/>
          <w:sz w:val="24"/>
          <w:szCs w:val="24"/>
          <w:highlight w:val="none"/>
          <w:u w:val="single"/>
          <w:lang w:eastAsia="zh-CN"/>
        </w:rPr>
        <w:t xml:space="preserve"> / </w:t>
      </w:r>
      <w:r>
        <w:rPr>
          <w:rFonts w:hint="eastAsia" w:ascii="宋体" w:hAnsi="宋体" w:eastAsia="宋体" w:cs="宋体"/>
          <w:color w:val="auto"/>
          <w:kern w:val="0"/>
          <w:sz w:val="24"/>
          <w:szCs w:val="24"/>
          <w:highlight w:val="none"/>
          <w:lang w:eastAsia="zh-CN"/>
        </w:rPr>
        <w:t xml:space="preserve">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支付工程咨询报酬所采用的货币币种、汇率约定为：</w:t>
      </w:r>
      <w:r>
        <w:rPr>
          <w:rFonts w:hint="eastAsia" w:ascii="宋体" w:hAnsi="宋体" w:eastAsia="宋体" w:cs="宋体"/>
          <w:color w:val="auto"/>
          <w:sz w:val="24"/>
          <w:szCs w:val="24"/>
          <w:highlight w:val="none"/>
          <w:u w:val="single"/>
        </w:rPr>
        <w:t>人民币</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10.4 委托人要求的保密事项与期限：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工程咨询人要求的保密事项与期限：</w:t>
      </w:r>
      <w:r>
        <w:rPr>
          <w:rFonts w:hint="eastAsia" w:ascii="宋体" w:hAnsi="宋体" w:eastAsia="宋体" w:cs="宋体"/>
          <w:color w:val="auto"/>
          <w:sz w:val="24"/>
          <w:szCs w:val="24"/>
          <w:highlight w:val="none"/>
          <w:u w:val="single"/>
        </w:rPr>
        <w:t xml:space="preserve">     /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本合同涉及的通知采用书面形式外的其他形式及生效条件为：</w:t>
      </w:r>
      <w:r>
        <w:rPr>
          <w:rFonts w:hint="eastAsia" w:ascii="宋体" w:hAnsi="宋体" w:eastAsia="宋体" w:cs="宋体"/>
          <w:color w:val="auto"/>
          <w:sz w:val="24"/>
          <w:szCs w:val="24"/>
          <w:highlight w:val="none"/>
          <w:u w:val="single"/>
        </w:rPr>
        <w:t>须征得委托人同意</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10.6 工程咨询人出版涉及本工程的有关工程咨询的资料约定：</w:t>
      </w:r>
      <w:r>
        <w:rPr>
          <w:rFonts w:hint="eastAsia" w:ascii="宋体" w:hAnsi="宋体" w:eastAsia="宋体" w:cs="宋体"/>
          <w:color w:val="auto"/>
          <w:sz w:val="24"/>
          <w:szCs w:val="24"/>
          <w:highlight w:val="none"/>
          <w:u w:val="single"/>
        </w:rPr>
        <w:t>须征得委托人同意</w:t>
      </w:r>
    </w:p>
    <w:p>
      <w:pPr>
        <w:pStyle w:val="2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 附加条款</w:t>
      </w:r>
    </w:p>
    <w:p>
      <w:pPr>
        <w:pStyle w:val="2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10.7.1 分包</w:t>
      </w:r>
    </w:p>
    <w:p>
      <w:pPr>
        <w:pStyle w:val="2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其他咨询服务工作中非主体、非关键性咨询服务工作如需分包的，应经得委托方同意后，可依法委托给具有相应资质或能力的单位，受托方对其负总责。</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10.7.2履约保证金：</w:t>
      </w:r>
      <w:r>
        <w:rPr>
          <w:rFonts w:hint="eastAsia" w:ascii="宋体" w:hAnsi="宋体" w:eastAsia="宋体" w:cs="宋体"/>
          <w:color w:val="auto"/>
          <w:sz w:val="24"/>
          <w:szCs w:val="24"/>
          <w:highlight w:val="none"/>
          <w:u w:val="single"/>
        </w:rPr>
        <w:t>合同签订前，工程咨询人向委托人缴纳签约中标合同金额2%的履约保证即     万元（大写：       元整），履约保证金可采用银行汇票或工程保函的形式，服务合同结束后无质量问题</w:t>
      </w:r>
      <w:r>
        <w:rPr>
          <w:rFonts w:hint="eastAsia" w:ascii="宋体" w:hAnsi="宋体" w:eastAsia="宋体" w:cs="宋体"/>
          <w:color w:val="auto"/>
          <w:sz w:val="24"/>
          <w:szCs w:val="24"/>
          <w:highlight w:val="none"/>
          <w:u w:val="single"/>
          <w:lang w:val="en-US" w:eastAsia="zh-CN"/>
        </w:rPr>
        <w:t>28</w:t>
      </w:r>
      <w:r>
        <w:rPr>
          <w:rFonts w:hint="eastAsia" w:ascii="宋体" w:hAnsi="宋体" w:eastAsia="宋体" w:cs="宋体"/>
          <w:color w:val="auto"/>
          <w:sz w:val="24"/>
          <w:szCs w:val="24"/>
          <w:highlight w:val="none"/>
          <w:u w:val="single"/>
        </w:rPr>
        <w:t>天退回（不计息）。</w:t>
      </w:r>
      <w:r>
        <w:rPr>
          <w:rFonts w:hint="eastAsia" w:ascii="宋体" w:hAnsi="宋体" w:eastAsia="宋体" w:cs="宋体"/>
          <w:color w:val="auto"/>
          <w:sz w:val="24"/>
          <w:szCs w:val="24"/>
          <w:highlight w:val="none"/>
        </w:rPr>
        <w:t>（说明：履约保证金采用保函形式递交的，保函到期前中标人须自动按时续保，否则委托人在应付服务费中扣回相应金额）。</w:t>
      </w:r>
    </w:p>
    <w:p>
      <w:pPr>
        <w:pStyle w:val="3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10.7.3廉政处罚：</w:t>
      </w:r>
    </w:p>
    <w:p>
      <w:pPr>
        <w:pStyle w:val="3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工程咨询人应公正行使应尽职责，督促工程咨询人团队人员严格遵守职业道德，如工程咨询人团队人员违反《工程廉政责任书》中的乙方责任条款，委托人有权要求其更换项目人员。</w:t>
      </w:r>
    </w:p>
    <w:p>
      <w:pPr>
        <w:pStyle w:val="3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如发现工程咨询人有与施工方（或生产厂家）共同谋取利益，偷工减料、弄虚作假、以次代好的现象，委托人有权立即停止施工，查明情况后，根据情节轻重对咨询人进行罚除，罚款金额每次不超过工程咨询人合同价的1%。</w:t>
      </w:r>
    </w:p>
    <w:p>
      <w:pPr>
        <w:pStyle w:val="3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如工程咨询人有违反廉政规定并被纪检部门或司法机关查处的，则工程咨询人向委托人支付合同价5%的违约金。</w:t>
      </w:r>
    </w:p>
    <w:p>
      <w:pPr>
        <w:spacing w:line="360" w:lineRule="auto"/>
        <w:ind w:firstLine="240" w:firstLineChars="100"/>
        <w:rPr>
          <w:rFonts w:ascii="宋体" w:hAnsi="宋体" w:cs="宋体"/>
          <w:color w:val="auto"/>
          <w:sz w:val="24"/>
          <w:szCs w:val="24"/>
          <w:highlight w:val="none"/>
        </w:rPr>
        <w:sectPr>
          <w:footerReference r:id="rId15" w:type="default"/>
          <w:footnotePr>
            <w:numRestart w:val="eachPage"/>
          </w:footnotePr>
          <w:pgSz w:w="11906" w:h="16838"/>
          <w:pgMar w:top="1440" w:right="1134" w:bottom="1134" w:left="1417" w:header="851" w:footer="850" w:gutter="0"/>
          <w:pgNumType w:fmt="decimal"/>
          <w:cols w:space="720" w:num="1"/>
          <w:docGrid w:linePitch="286"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以上罚款及违约金须自收到纪检部门或司法机关相关处罚决定15日内支付</w:t>
      </w:r>
    </w:p>
    <w:p>
      <w:pPr>
        <w:pStyle w:val="25"/>
        <w:spacing w:line="360" w:lineRule="auto"/>
        <w:ind w:firstLine="281"/>
        <w:jc w:val="center"/>
        <w:rPr>
          <w:rFonts w:hint="eastAsia" w:ascii="宋体" w:hAnsi="宋体" w:eastAsia="宋体" w:cs="宋体"/>
          <w:b/>
          <w:bCs/>
          <w:color w:val="auto"/>
          <w:sz w:val="28"/>
          <w:szCs w:val="28"/>
          <w:highlight w:val="none"/>
          <w:lang w:val="en-US" w:eastAsia="zh-CN"/>
        </w:rPr>
      </w:pPr>
      <w:bookmarkStart w:id="996" w:name="_Toc18485"/>
      <w:r>
        <w:rPr>
          <w:rFonts w:hint="eastAsia" w:ascii="宋体" w:hAnsi="宋体" w:eastAsia="宋体" w:cs="宋体"/>
          <w:b/>
          <w:bCs/>
          <w:color w:val="auto"/>
          <w:sz w:val="28"/>
          <w:szCs w:val="28"/>
          <w:highlight w:val="none"/>
          <w:lang w:val="en-US" w:eastAsia="zh-CN"/>
        </w:rPr>
        <w:t>附件1</w:t>
      </w:r>
      <w:bookmarkEnd w:id="996"/>
      <w:r>
        <w:rPr>
          <w:rFonts w:hint="eastAsia" w:ascii="宋体" w:hAnsi="宋体" w:eastAsia="宋体" w:cs="宋体"/>
          <w:b/>
          <w:bCs/>
          <w:color w:val="auto"/>
          <w:sz w:val="28"/>
          <w:szCs w:val="28"/>
          <w:highlight w:val="none"/>
          <w:lang w:val="en-US" w:eastAsia="zh-CN"/>
        </w:rPr>
        <w:t>本合同工程监理部分</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通用合同</w:t>
      </w:r>
    </w:p>
    <w:p>
      <w:pPr>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1. 定义与解释</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定义</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除根据上下文另有其意义外，组成本合同的全部文件中的下列名词和用语应具有本款所赋予的含义：</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1.1.1“工程”是指按照本合同约定实施监理与相关服务的建设工程。</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1.1.2“委托人”是指本合同中委托监理与相关服务的一方，及其合法的继承人或受让人。</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1.1.3“监理人”是指本合同中提供监理与相关服务的一方，及其合法的继承人。</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1.1.4“承包人”是指在工程范围内与委托人签订勘察、设计、施工等有关合同的当事人，及其合法的继承人。</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1.1.6“相关服务”是指监理人受委托人的委托 ，按照本合同约定，在勘察、设计、保修等阶段提供的服务活动。</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1.1.7“正常工作”指本合同订立时通用条件和专用条件中约定的监理人的工作。</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1.1.8“附加工作”是指本合同约定的正常工作以外监理人的工作。</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1.1.9“项目监理机构”是指监理人派驻工程负责履行本合同的组织机构。</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1.1.10“总监理工程师”是指由监理人的法定代表人书面授权，全面负责履行本合同、主持项目监理机构工作的注册监理工程师。</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1.1.11“酬金”是指监理人履行本合同义务，委托人按照本合同约定给付监理人的金额。</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1.1.12“正常工作酬金”是指监理人完成正常工作，委托人应给付监理人并在协议书中载明的签约酬金额。</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1.1.13“附加工作酬金”是指监理人完成附加工作，委托人应给付监理人的金额。</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1.1.14“一方”是指委托人或监理人；“双方”是指委托人和监理人；“第三方”是指除委托人和监理人以外的有关方。</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1.1.15“书面形式”是指合同书、信件和数据电文（包括电报、电传、传真、电子数据交换和电子邮件）等可以有形地表现所载内容的形式。</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1.1.16“天”是指第一天零时至第二天零时的时间。</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1.1.17“月”是指按公历从一个月中任何一天开始的一个公历月时间。</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1.1.18“不可抗力”是指委托人和监理人在订立本合同时不可预见，在工程施工过程中不可避免发生并不能克服的自然灾害和社会性突发事件，如地震、海啸、瘟疫、水灾、骚乱、暴动、战争和专用条件约定的其他情形。</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1.2 </w:t>
      </w:r>
      <w:r>
        <w:rPr>
          <w:rFonts w:hint="eastAsia" w:ascii="仿宋_GB2312" w:hAnsi="仿宋_GB2312" w:eastAsia="仿宋_GB2312" w:cs="仿宋_GB2312"/>
          <w:color w:val="auto"/>
          <w:sz w:val="24"/>
          <w:szCs w:val="24"/>
          <w:highlight w:val="none"/>
        </w:rPr>
        <w:t>解释</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1.2.1本合同使用中文书写、解释和说明。如专用条件约定使用两种及以上语言文字时，应以中文为准。</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1.2.2组成本合同的下列文件彼此应能相互解释、互为说明。除专用条件另有约定外，本合同文件的解释顺序如下：</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（1）协议书；</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（2）中标通知书（适用于招标工程）或委托书（适用于非招标工程）；</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（3）专用条件及附录A、附录B；</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（4）通用条件；</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（5）投标文件（适用于招标工程）或监理与相关服务建议书（适用于非招标工程）。</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双方签订的补充协议与其他文件发生矛盾或歧义时，属于同一类内容的文件，应以最新签署的为准。</w:t>
      </w:r>
    </w:p>
    <w:p>
      <w:pPr>
        <w:keepNext w:val="0"/>
        <w:keepLines w:val="0"/>
        <w:pageBreakBefore w:val="0"/>
        <w:widowControl w:val="0"/>
        <w:kinsoku/>
        <w:wordWrap/>
        <w:overflowPunct/>
        <w:topLinePunct w:val="0"/>
        <w:autoSpaceDE/>
        <w:autoSpaceDN/>
        <w:bidi w:val="0"/>
        <w:adjustRightInd w:val="0"/>
        <w:spacing w:line="360" w:lineRule="auto"/>
        <w:textAlignment w:val="baseline"/>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2. 监理人的义务</w:t>
      </w:r>
    </w:p>
    <w:p>
      <w:pPr>
        <w:keepNext w:val="0"/>
        <w:keepLines w:val="0"/>
        <w:pageBreakBefore w:val="0"/>
        <w:widowControl w:val="0"/>
        <w:kinsoku/>
        <w:wordWrap/>
        <w:overflowPunct/>
        <w:topLinePunct w:val="0"/>
        <w:autoSpaceDE/>
        <w:autoSpaceDN/>
        <w:bidi w:val="0"/>
        <w:adjustRightInd w:val="0"/>
        <w:snapToGrid w:val="0"/>
        <w:spacing w:line="360" w:lineRule="auto"/>
        <w:ind w:left="200" w:leftChars="100"/>
        <w:textAlignment w:val="baseline"/>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2.1监理的范围和工作内容</w:t>
      </w:r>
    </w:p>
    <w:p>
      <w:pPr>
        <w:keepNext w:val="0"/>
        <w:keepLines w:val="0"/>
        <w:pageBreakBefore w:val="0"/>
        <w:widowControl w:val="0"/>
        <w:kinsoku/>
        <w:wordWrap/>
        <w:overflowPunct/>
        <w:topLinePunct w:val="0"/>
        <w:autoSpaceDE/>
        <w:autoSpaceDN/>
        <w:bidi w:val="0"/>
        <w:adjustRightInd w:val="0"/>
        <w:snapToGrid w:val="0"/>
        <w:spacing w:line="360" w:lineRule="auto"/>
        <w:ind w:left="400" w:left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2.1.1监理范围在专用条件中约定。</w:t>
      </w:r>
    </w:p>
    <w:p>
      <w:pPr>
        <w:keepNext w:val="0"/>
        <w:keepLines w:val="0"/>
        <w:pageBreakBefore w:val="0"/>
        <w:widowControl w:val="0"/>
        <w:kinsoku/>
        <w:wordWrap/>
        <w:overflowPunct/>
        <w:topLinePunct w:val="0"/>
        <w:autoSpaceDE/>
        <w:autoSpaceDN/>
        <w:bidi w:val="0"/>
        <w:adjustRightInd w:val="0"/>
        <w:snapToGrid w:val="0"/>
        <w:spacing w:line="360" w:lineRule="auto"/>
        <w:ind w:left="400" w:left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2.1.2除专用条件另有约定外，监理工作内容包括：</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（1）收到工程设计文件后编制监理规划，并在第一次工地会议7天前报委托人。根据有关规定和监理工作需要，编制监理实施细则；</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（2）熟悉工程设计文件，并参加由委托人主持的图纸会审和设计交底会议；</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（3）参加由委托人主持的第一次工地会议；主持监理例会并根据工程需要主持或参加专题会议；</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（4）审查施工承包人提交的施工组织设计，重点审查其中的质量安全技术措施、专项施工方案与工程建设强制性标准的符合性；</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（5）检查施工承包人工程质量、安全生产管理制度及组织机构和人员资格； </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（6）检查施工承包人专职安全生产管理人员的配备情况；</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（7）审查施工承包人提交的施工进度计划，核查承包人对施工进度计划的调整；</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（8）检查施工承包人的试验室；</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（9）审核施工分包人资质条件；</w:t>
      </w:r>
    </w:p>
    <w:p>
      <w:pPr>
        <w:keepNext w:val="0"/>
        <w:keepLines w:val="0"/>
        <w:pageBreakBefore w:val="0"/>
        <w:widowControl w:val="0"/>
        <w:kinsoku/>
        <w:wordWrap/>
        <w:overflowPunct/>
        <w:topLinePunct w:val="0"/>
        <w:autoSpaceDE/>
        <w:autoSpaceDN/>
        <w:bidi w:val="0"/>
        <w:adjustRightIn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（10）查验施工承包人的施工测量放线成果；</w:t>
      </w:r>
    </w:p>
    <w:p>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（11）审查工程开工条件，对条件具备的签发开工令；</w:t>
      </w:r>
    </w:p>
    <w:p>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（12）审查施工承包人报送的工程材料、构配件、设备质量证明文件的有效性和符合性，并按规定对用于工程的材料采取平行检验或见证取样方式进行抽检；</w:t>
      </w:r>
    </w:p>
    <w:p>
      <w:pPr>
        <w:keepNext w:val="0"/>
        <w:keepLines w:val="0"/>
        <w:pageBreakBefore w:val="0"/>
        <w:widowControl w:val="0"/>
        <w:kinsoku/>
        <w:wordWrap/>
        <w:overflowPunct/>
        <w:topLinePunct w:val="0"/>
        <w:autoSpaceDE/>
        <w:autoSpaceDN/>
        <w:bidi w:val="0"/>
        <w:adjustRightInd w:val="0"/>
        <w:snapToGrid w:val="0"/>
        <w:spacing w:line="360" w:lineRule="auto"/>
        <w:ind w:left="-92" w:leftChars="-46"/>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（13）审核施工承包人提交的工程款支付申请，签发或出具工程款支付证书，并报委托人审核、批准；</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（14）在巡视、旁站和检验过程中，发现工程质量、施工安全存在事故隐患的，要求施工承包人整改并报委托人；</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（15）经委托人同意，签发工程暂停令和复工令；</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（16）审查施工承包人提交的采用新材料、新工艺、新技术、新设备的论证材料及相关验收标准；</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（17）验收隐蔽工程、分部分项工程；</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（18）审查施工承包人提交的工程变更申请，协调处理施工进度调整、费用索赔、合同争议等事项；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（19）审查施工承包人提交的竣工验收申请，编写工程质量评估报告；</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（20）参加工程竣工验收，签署竣工验收意见；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（21）审查施工承包人提交的竣工结算申请并报委托人；</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（22）编制、整理工程监理归档文件并报委托人。</w:t>
      </w:r>
    </w:p>
    <w:p>
      <w:pPr>
        <w:keepNext w:val="0"/>
        <w:keepLines w:val="0"/>
        <w:pageBreakBefore w:val="0"/>
        <w:widowControl w:val="0"/>
        <w:kinsoku/>
        <w:wordWrap/>
        <w:overflowPunct/>
        <w:topLinePunct w:val="0"/>
        <w:autoSpaceDE/>
        <w:autoSpaceDN/>
        <w:bidi w:val="0"/>
        <w:adjustRightInd w:val="0"/>
        <w:spacing w:line="360" w:lineRule="auto"/>
        <w:ind w:left="400" w:leftChars="200" w:firstLine="120" w:firstLineChars="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相关服务的范围和内容在附录A中约定。</w:t>
      </w:r>
    </w:p>
    <w:p>
      <w:pPr>
        <w:keepNext w:val="0"/>
        <w:keepLines w:val="0"/>
        <w:pageBreakBefore w:val="0"/>
        <w:widowControl w:val="0"/>
        <w:kinsoku/>
        <w:wordWrap/>
        <w:overflowPunct/>
        <w:topLinePunct w:val="0"/>
        <w:autoSpaceDE/>
        <w:autoSpaceDN/>
        <w:bidi w:val="0"/>
        <w:adjustRightInd w:val="0"/>
        <w:spacing w:line="360" w:lineRule="auto"/>
        <w:ind w:firstLine="240" w:firstLineChars="100"/>
        <w:textAlignment w:val="baseline"/>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2.2 </w:t>
      </w:r>
      <w:r>
        <w:rPr>
          <w:rFonts w:hint="eastAsia" w:ascii="宋体" w:hAnsi="宋体" w:eastAsia="宋体" w:cs="宋体"/>
          <w:bCs/>
          <w:color w:val="auto"/>
          <w:sz w:val="24"/>
          <w:szCs w:val="24"/>
          <w:highlight w:val="none"/>
        </w:rPr>
        <w:t>监理与相关服务依据</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监理依据包括：</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（1）适用的法律、行政法规及部门规章；</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（2）与工程有关的标准；</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（3）工程设计及有关文件；</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（4）本合同及委托人与第三方签订的与实施工程有关的其他合同。</w:t>
      </w:r>
    </w:p>
    <w:p>
      <w:pPr>
        <w:keepNext w:val="0"/>
        <w:keepLines w:val="0"/>
        <w:pageBreakBefore w:val="0"/>
        <w:widowControl w:val="0"/>
        <w:kinsoku/>
        <w:wordWrap/>
        <w:overflowPunct/>
        <w:topLinePunct w:val="0"/>
        <w:autoSpaceDE/>
        <w:autoSpaceDN/>
        <w:bidi w:val="0"/>
        <w:adjustRightInd w:val="0"/>
        <w:spacing w:line="360" w:lineRule="auto"/>
        <w:ind w:left="200" w:leftChars="100"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双方根据工程的行业和地域特点，在专用条件中具体约定监理依据。</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相关服务依据在专用条件中约定。</w:t>
      </w:r>
    </w:p>
    <w:p>
      <w:pPr>
        <w:keepNext w:val="0"/>
        <w:keepLines w:val="0"/>
        <w:pageBreakBefore w:val="0"/>
        <w:widowControl w:val="0"/>
        <w:kinsoku/>
        <w:wordWrap/>
        <w:overflowPunct/>
        <w:topLinePunct w:val="0"/>
        <w:autoSpaceDE/>
        <w:autoSpaceDN/>
        <w:bidi w:val="0"/>
        <w:adjustRightInd w:val="0"/>
        <w:spacing w:line="360" w:lineRule="auto"/>
        <w:ind w:firstLine="240" w:firstLine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 项目监理机构和人员</w:t>
      </w:r>
    </w:p>
    <w:p>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2.3.1 监理人应组建满足工作需要的项目监理机构，配备必要的检测设备。项目监理机构的主要人员应具有相应的资格条件。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2.3.2本合同履行过程中，总监理工程师及重要岗位监理人员应保持相对稳定，以保证监理工作正常进行。</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2.3.4 监理人应及时更换有下列情形之一的监理人员：</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（1）严重过失行为的；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（2）有违法行为不能履行职责的；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（3）涉嫌犯罪的；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（4）不能胜任岗位职责的；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（5）严重违反职业道德的；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（6）专用条件约定的其他情形。</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2.3.5 委托人可要求监理人更换不能胜任本职工作的项目监理机构人员。</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 履行职责</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监理人应遵循职业道德准则和行为规范，严格按照法律法规、工程建设有关标准及本合同履行职责。</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在监理与相关服务范围内，委托人和承包人提出的意见和要求，监理人应及时提出处置意见。当委托人与承包人之间发生合同争议时，监理人应协助委托人、承包人协商解决。</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当委托人与承包人之间的合同争议提交仲裁机构仲裁或人民法院审理时，监理人应提供必要的证明资料。</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2.4.3 监理人应在专用条件约定的授权范围内，处理委托人与承包人所签订合同的变更事宜。如果变更超过授权范围，应以书面形式报委托人批准。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在紧急情况下，为了保护财产和人身安全，监理人所发出的指令未能事先报委托人批准时，应在发出指令后的24小时内以书面形式报委托人。</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2.4.4 除专用条件另有约定外，监理人发现承包人的人员不能胜任本职工作的，有权要求承包人予以调换。</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 提交报告</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监理人应按专用条件约定的种类、时间和份数向委托人提交监理与相关服务的报告。</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 文件资料</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在本合同履行期内，监理人应在现场保留工作所用的图纸、报告及记录监理工</w:t>
      </w:r>
      <w:r>
        <w:rPr>
          <w:rFonts w:hint="eastAsia" w:ascii="宋体" w:hAnsi="宋体" w:eastAsia="宋体" w:cs="宋体"/>
          <w:color w:val="auto"/>
          <w:sz w:val="24"/>
          <w:szCs w:val="24"/>
          <w:highlight w:val="none"/>
        </w:rPr>
        <w:t>作的相关文件。工程竣工后，应当按照档案管理规定将监理有关文件归档。</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 使用委托人的财产</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pPr>
        <w:keepNext w:val="0"/>
        <w:keepLines w:val="0"/>
        <w:pageBreakBefore w:val="0"/>
        <w:widowControl w:val="0"/>
        <w:kinsoku/>
        <w:wordWrap/>
        <w:overflowPunct/>
        <w:topLinePunct w:val="0"/>
        <w:autoSpaceDE/>
        <w:autoSpaceDN/>
        <w:bidi w:val="0"/>
        <w:adjustRightInd w:val="0"/>
        <w:spacing w:line="360" w:lineRule="auto"/>
        <w:textAlignment w:val="baseline"/>
        <w:rPr>
          <w:rFonts w:hint="eastAsia" w:ascii="仿宋_GB2312" w:hAnsi="仿宋_GB2312" w:eastAsia="仿宋_GB2312" w:cs="仿宋_GB2312"/>
          <w:b/>
          <w:color w:val="auto"/>
          <w:kern w:val="0"/>
          <w:sz w:val="24"/>
          <w:szCs w:val="24"/>
          <w:highlight w:val="none"/>
        </w:rPr>
      </w:pPr>
      <w:r>
        <w:rPr>
          <w:rFonts w:hint="eastAsia" w:ascii="仿宋_GB2312" w:hAnsi="仿宋_GB2312" w:eastAsia="仿宋_GB2312" w:cs="仿宋_GB2312"/>
          <w:b/>
          <w:color w:val="auto"/>
          <w:kern w:val="0"/>
          <w:sz w:val="24"/>
          <w:szCs w:val="24"/>
          <w:highlight w:val="none"/>
        </w:rPr>
        <w:t>3．委托人的义务</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告知</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委托人应在委托人与承包人签订的合同中明确监理人、总监理工程师和授予项目监理机构的权限。如有变更，应及时通知承包人。</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提供资料</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委托人应按照附录B约定，无偿向监理人提供工程有关的资料。在本合同履行过程中，委托人应及时向监理人提供最新的与工程有关的资料。</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提供工作条件</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委托人应为监理人完成监理与相关服务提供必要的条件。</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委托人应按照附录B约定，派遣相应的人员，提供房屋、设备，供监理人无偿使用。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委托人应负责协调工程建设中所有外部关系，为监理人履行本合同提供必要的外部条件。</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委托人代表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委托人意见或要求</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在本合同约定的监理与相关服务工作范围内，委托人对承包人的任何意见或要求应通知监理人，由监理人向承包人发出相应指令。</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答复</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委托人应在专用条件约定的时间内，对监理人以书面形式提交并要求作出决定的事宜，给予书面答复。逾期未答复的，视为委托人认可。</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支付</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委托人应按本合同约定，向监理人支付酬金。</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4. 违约责任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监理人的违约责任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监理人未履行本合同义务的，应承担相应的责任。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因监理人违反本合同约定给委托人造成损失的，监理人应当赔偿委托人损失。赔偿金额的确定方法在专用条件中约定。监理人承担部分赔偿责任的，其承担赔偿金额由双方协商确定。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监理人向委托人的索赔不成立时，监理人应赔偿委托人由此发生的费用。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委托人的违约责任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委托人未履行本合同义务的，应承担相应的责任。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 委托人违反本合同约定造成监理人损失的，委托人应予以赔偿。</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委托人向监理人的索赔不成立时，应赔偿监理人由此引起的费用。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委托人未能按期支付酬金超过28天，应按专用条件约定支付逾期付款利息。</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除外责任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因非监理人的原因，且监理人无过错，发生工程质量事故、安全事故、工期延误等造成的损失，监理人不承担赔偿责任。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因不可抗力导致本合同全部或部分不能履行时，双方各自承担其因此而造成的损失、损害。</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5. 支付</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支付货币</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除专用条件另有约定外，酬金均以人民币支付。涉及外币支付的，所采用的货币种类、比例和汇率在专用条件中约定。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支付申请</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监理人应在本合同约定的每次应付款时间的7天前，向委托人提交支付申请书。支付申请书应当说明当期应付款总额，并列出当期应支付的款项及其金额。</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5.3 支付酬金</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支付的酬金包括正常工作酬金、附加工作酬金、合理化建议奖励金额及费用。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5.4 有争议部分的付款</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6. 合同生效、变更、暂停、解除与终止</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6.1生效</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除法律另有规定或者专用条件另有约定外，委托人和监理人的法定代表人或其授权代理人在协议书上签字并盖单位章后本合同生效。</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6.2变更</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 任何一方提出变更请求时，双方经协商一致后可进行变更。</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6.2.4合同签订后，遇有与工程相关的法律法规、标准颁布或修订的，双方应遵照执行。由此引起监理与相关服务的范围、时间、酬金变化的，双方应通过协商进行相应调整。</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6.2.5 因非监理人原因造成工程概算投资额或建筑安装工程费增加时，正常工作酬金应作相应调整。调整方法在专用条件中约定。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6.2.6 因工程规模、监理范围的变化导致监理人的正常工作量减少时，正常工作酬金应作相应调整。调整方法在专用条件中约定。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6.3 暂停与解除</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除双方协商一致可以解除本合同外，当一方无正当理由未履行本合同约定的义务时，另一方可以根据本合同约定暂停履行本合同直至解除本合同。</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因解除本合同或解除监理人的部分义务导致监理人遭受的损失，除依法可以免除责任的情况外，应由委托人予以补偿，补偿金额由双方协商确定。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解除本合同的协议必须采取书面形式，协议未达成之前，本合同仍然有效。</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6.3.5 因不可抗力致使本合同部分或全部不能履行时，一方应立即通知另一方，可暂停或解除本合同。</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6.3.6 本合同解除后，本合同约定的有关结算、清理、争议解决方式的条件仍然有效。</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终止</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以下条件全部满足时，本合同即告终止：</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（1）监理人完成本合同约定的全部工作；</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（2）委托人与监理人结清并支付全部酬金。</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7. 争议解决</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7.1协商</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双方应本着诚信原则协商解决彼此间的争议。</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7.2调解</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如果双方不能在14天内或双方商定的其他时间内解决本合同争议，可以将其提交给专用条件约定的或事后达成协议的调解人进行调解。</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7.3仲裁或诉讼</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双方均有权不经调解直接向专用条件约定的仲裁机构申请仲裁或向有管辖权的人民法院提起诉讼。</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8. 其他</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外出考察费用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经委托人同意，监理人员外出考察发生的费用由委托人审核后支付。</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检测费用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委托人要求监理人进行的材料和设备检测所发生的费用，由委托人支付，支付时间在专用条件中约定。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咨询费用</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经委托人同意，根据工程需要由监理人组织的相关咨询论证会以及聘请相关专家等发生的费用由委托人支付，支付时间在专用条件中约定。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奖励</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监理人在服务过程中提出的合理化建议，使委托人获得经济效益的，双方在专用条件中约定奖励金额的确定方法。奖励金额在合理化建议被采纳后，与最近一期的正常工作酬金同期支付。</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 守法诚信</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监理人及其工作人员不得从与实施工程有关的第三方处获得任何经济利益。</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保密</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双方不得泄露对方申明的保密资料，亦不得泄露与实施工程有关的第三方所提供的保密资料，保密事项在专用条件中约定。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8.7 通知</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本合同涉及的通知均应当采用书面形式，并在送达对方时生效，收件人应书面签收。</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 著作权</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监理人对其编制的文件拥有著作权。</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pPr>
        <w:adjustRightInd w:val="0"/>
        <w:snapToGrid w:val="0"/>
        <w:spacing w:line="300" w:lineRule="exact"/>
        <w:ind w:firstLine="400" w:firstLineChars="200"/>
        <w:rPr>
          <w:rFonts w:hint="eastAsia" w:ascii="仿宋_GB2312" w:hAnsi="仿宋_GB2312" w:eastAsia="仿宋_GB2312" w:cs="仿宋_GB2312"/>
          <w:color w:val="auto"/>
          <w:highlight w:val="none"/>
        </w:rPr>
      </w:pPr>
    </w:p>
    <w:p>
      <w:pPr>
        <w:adjustRightInd w:val="0"/>
        <w:snapToGrid w:val="0"/>
        <w:spacing w:line="300" w:lineRule="exact"/>
        <w:rPr>
          <w:rFonts w:hint="eastAsia" w:ascii="仿宋_GB2312" w:hAnsi="仿宋_GB2312" w:eastAsia="仿宋_GB2312" w:cs="仿宋_GB2312"/>
          <w:color w:val="auto"/>
          <w:highlight w:val="none"/>
        </w:rPr>
      </w:pPr>
    </w:p>
    <w:p>
      <w:pPr>
        <w:jc w:val="center"/>
        <w:rPr>
          <w:rFonts w:hint="eastAsia" w:ascii="仿宋_GB2312" w:hAnsi="仿宋_GB2312" w:eastAsia="仿宋_GB2312" w:cs="仿宋_GB2312"/>
          <w:color w:val="auto"/>
          <w:highlight w:val="none"/>
          <w:lang w:eastAsia="zh-CN"/>
        </w:rPr>
      </w:pPr>
      <w:bookmarkStart w:id="997" w:name="_Toc32019"/>
      <w:r>
        <w:rPr>
          <w:rFonts w:hint="eastAsia" w:ascii="仿宋_GB2312" w:hAnsi="仿宋_GB2312" w:eastAsia="仿宋_GB2312" w:cs="仿宋_GB2312"/>
          <w:b/>
          <w:bCs w:val="0"/>
          <w:color w:val="auto"/>
          <w:kern w:val="0"/>
          <w:sz w:val="24"/>
          <w:szCs w:val="24"/>
          <w:highlight w:val="none"/>
          <w:lang w:val="en-US" w:eastAsia="zh-CN" w:bidi="ar-SA"/>
        </w:rPr>
        <w:t>第二部分合同专用条款</w:t>
      </w:r>
      <w:bookmarkEnd w:id="997"/>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定义与解释</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  解释</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本合同文件除使用中文外，还可用</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约定本合同文件的解释顺序为：</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 监理人义务</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监理的范围和</w:t>
      </w:r>
      <w:r>
        <w:rPr>
          <w:rFonts w:hint="eastAsia" w:ascii="宋体" w:hAnsi="宋体" w:eastAsia="宋体" w:cs="宋体"/>
          <w:bCs/>
          <w:color w:val="auto"/>
          <w:sz w:val="24"/>
          <w:szCs w:val="24"/>
          <w:highlight w:val="none"/>
        </w:rPr>
        <w:t>内容</w:t>
      </w:r>
    </w:p>
    <w:p>
      <w:pPr>
        <w:keepNext w:val="0"/>
        <w:keepLines w:val="0"/>
        <w:pageBreakBefore w:val="0"/>
        <w:widowControl w:val="0"/>
        <w:kinsoku/>
        <w:wordWrap/>
        <w:overflowPunct/>
        <w:topLinePunct w:val="0"/>
        <w:autoSpaceDE/>
        <w:autoSpaceDN/>
        <w:bidi w:val="0"/>
        <w:adjustRightInd w:val="0"/>
        <w:spacing w:line="36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监理范围包括：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pacing w:line="36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监理工作内容还包括：</w:t>
      </w:r>
      <w:r>
        <w:rPr>
          <w:rFonts w:hint="eastAsia" w:ascii="宋体" w:hAnsi="宋体" w:eastAsia="宋体" w:cs="宋体"/>
          <w:color w:val="auto"/>
          <w:sz w:val="24"/>
          <w:szCs w:val="24"/>
          <w:highlight w:val="none"/>
          <w:u w:val="single"/>
        </w:rPr>
        <w:t>四控制、二管理、一协调</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监理与相关服务依据</w:t>
      </w:r>
    </w:p>
    <w:p>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监理依据包括：</w:t>
      </w:r>
      <w:r>
        <w:rPr>
          <w:rFonts w:hint="eastAsia" w:ascii="宋体" w:hAnsi="宋体" w:eastAsia="宋体" w:cs="宋体"/>
          <w:color w:val="auto"/>
          <w:sz w:val="24"/>
          <w:szCs w:val="24"/>
          <w:highlight w:val="none"/>
          <w:u w:val="single"/>
        </w:rPr>
        <w:t xml:space="preserve">国家有关工程建设的政策、法律、法规，政府批准的建设计划、规划、设计文件及依法成立的工程承包合同。工程委托监理合同、工程招标文件、投标文件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baseline"/>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2.2.2 相关服务依据包括：</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w:t>
      </w:r>
      <w:r>
        <w:rPr>
          <w:rFonts w:hint="eastAsia" w:ascii="宋体" w:hAnsi="宋体" w:eastAsia="宋体" w:cs="宋体"/>
          <w:color w:val="auto"/>
          <w:kern w:val="0"/>
          <w:sz w:val="24"/>
          <w:szCs w:val="24"/>
          <w:highlight w:val="none"/>
        </w:rPr>
        <w:t>项目监理机构和人员</w:t>
      </w:r>
    </w:p>
    <w:p>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w:t>
      </w:r>
      <w:r>
        <w:rPr>
          <w:rFonts w:hint="eastAsia" w:ascii="宋体" w:hAnsi="宋体" w:eastAsia="宋体" w:cs="宋体"/>
          <w:color w:val="auto"/>
          <w:kern w:val="0"/>
          <w:sz w:val="24"/>
          <w:szCs w:val="24"/>
          <w:highlight w:val="none"/>
        </w:rPr>
        <w:t>更换监理人员的其他情形：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autoSpaceDE/>
        <w:autoSpaceDN/>
        <w:bidi w:val="0"/>
        <w:adjustRightIn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w:t>
      </w:r>
      <w:r>
        <w:rPr>
          <w:rFonts w:hint="eastAsia" w:ascii="宋体" w:hAnsi="宋体" w:eastAsia="宋体" w:cs="宋体"/>
          <w:color w:val="auto"/>
          <w:kern w:val="0"/>
          <w:sz w:val="24"/>
          <w:szCs w:val="24"/>
          <w:highlight w:val="none"/>
        </w:rPr>
        <w:t>履行职责</w:t>
      </w:r>
    </w:p>
    <w:p>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对监理人的授权范围：</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baseline"/>
        <w:rPr>
          <w:rFonts w:hint="eastAsia" w:ascii="宋体" w:hAnsi="宋体" w:eastAsia="宋体" w:cs="宋体"/>
          <w:color w:val="auto"/>
          <w:kern w:val="0"/>
          <w:sz w:val="24"/>
          <w:szCs w:val="24"/>
          <w:highlight w:val="none"/>
        </w:rPr>
      </w:pPr>
      <w:bookmarkStart w:id="998" w:name="_Toc395272902"/>
      <w:bookmarkStart w:id="999" w:name="_Toc30583"/>
      <w:bookmarkStart w:id="1000" w:name="_Toc21548"/>
      <w:r>
        <w:rPr>
          <w:rFonts w:hint="eastAsia" w:ascii="宋体" w:hAnsi="宋体" w:eastAsia="宋体" w:cs="宋体"/>
          <w:color w:val="auto"/>
          <w:kern w:val="0"/>
          <w:sz w:val="24"/>
          <w:szCs w:val="24"/>
          <w:highlight w:val="none"/>
        </w:rPr>
        <w:t>在涉及工程延期</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 xml:space="preserve"> 天内和（或）金额</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 xml:space="preserve"> 万元内的变更，监理人不需请示委托人即可向承包人发布变更通知。</w:t>
      </w:r>
      <w:bookmarkEnd w:id="998"/>
      <w:bookmarkEnd w:id="999"/>
      <w:bookmarkEnd w:id="1000"/>
    </w:p>
    <w:p>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2.4.4 监理人有权要求承包人调换其人员</w:t>
      </w:r>
      <w:r>
        <w:rPr>
          <w:rFonts w:hint="eastAsia" w:ascii="宋体" w:hAnsi="宋体" w:eastAsia="宋体" w:cs="宋体"/>
          <w:color w:val="auto"/>
          <w:sz w:val="24"/>
          <w:szCs w:val="24"/>
          <w:highlight w:val="none"/>
        </w:rPr>
        <w:t>的限制条件：</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120" w:firstLineChars="50"/>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2.5 </w:t>
      </w:r>
      <w:r>
        <w:rPr>
          <w:rFonts w:hint="eastAsia" w:ascii="宋体" w:hAnsi="宋体" w:eastAsia="宋体" w:cs="宋体"/>
          <w:color w:val="auto"/>
          <w:sz w:val="24"/>
          <w:szCs w:val="24"/>
          <w:highlight w:val="none"/>
        </w:rPr>
        <w:t>提交</w:t>
      </w:r>
      <w:r>
        <w:rPr>
          <w:rFonts w:hint="eastAsia" w:ascii="宋体" w:hAnsi="宋体" w:eastAsia="宋体" w:cs="宋体"/>
          <w:color w:val="auto"/>
          <w:kern w:val="0"/>
          <w:sz w:val="24"/>
          <w:szCs w:val="24"/>
          <w:highlight w:val="none"/>
        </w:rPr>
        <w:t>报告</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监理人应提交报告的种类(</w:t>
      </w:r>
      <w:r>
        <w:rPr>
          <w:rFonts w:hint="eastAsia" w:ascii="宋体" w:hAnsi="宋体" w:eastAsia="宋体" w:cs="宋体"/>
          <w:color w:val="auto"/>
          <w:kern w:val="0"/>
          <w:sz w:val="24"/>
          <w:szCs w:val="24"/>
          <w:highlight w:val="none"/>
        </w:rPr>
        <w:t>包括监理规划、监理月报及约定的专项报告)</w:t>
      </w:r>
      <w:r>
        <w:rPr>
          <w:rFonts w:hint="eastAsia" w:ascii="宋体" w:hAnsi="宋体" w:eastAsia="宋体" w:cs="宋体"/>
          <w:color w:val="auto"/>
          <w:sz w:val="24"/>
          <w:szCs w:val="24"/>
          <w:highlight w:val="none"/>
        </w:rPr>
        <w:t>、时间和份数</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监理规划可在签订建设工程监理合同及收到工程设计文件后由总监理工程师组织编制，并应在召开第一次工地会议前报送建设单位；</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监理月报项目监理机构每月初向建设单位提交的建设工程监理工作及建设工程实施情况等分析总结报告；</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监理月报应包括下列主要内容：（1）本月工程实施情况；（2）本月监理工作情况；（3）本月施工中存在的问题及处理情况；（4）下月监理工作重点。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本月月报工作实施情况包括以下具体内容：（1）工程进展情况，实际进度与计划进度的比较，施工单位人、机、料进场及使用情况，本期在施部位的工程照片；（2）工程质量情况，分项分部工程验收情况，工程材料、设备、构配件进场检验情况，主要施工试验情况，本月工程质量分析；（3）施工单位安全生产管理工作评述；（4）已完工程量与已付工程款的统计及说明。</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本月监理工程情况包括以下具体内容：（1）工程进度控制方面的工作情况；（2）工程质量控制方面的工作情况；（3）安全生产管理方面的工作情况；（4）工程计量与工程款支付方面的工作情况；（5）合同其他事项的管理工作情况；（6）监理工作统计及工作照片。</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本月施工中存在的问题及处理情况包括以下具体内容：（1）工程进度控制方面的主要问题分析及处理情况；（2）工程质量控制方面的主要问题分析及处理情况；（3）施工单位安全生产管理方面的主要问题分析及处理情况；（4）工程计量与工程款支付方面的主要问题分析及处理情况；（5）合同其他事项管理方面的主要问题分析及处理情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下月监理工作重点包括以下具体内容：（1）在工程管理方面的监理工作重点；（2）在项目监理机构内部管理方面的工作重点。</w:t>
      </w:r>
    </w:p>
    <w:p>
      <w:pPr>
        <w:keepNext w:val="0"/>
        <w:keepLines w:val="0"/>
        <w:pageBreakBefore w:val="0"/>
        <w:widowControl w:val="0"/>
        <w:kinsoku/>
        <w:wordWrap/>
        <w:overflowPunct/>
        <w:topLinePunct w:val="0"/>
        <w:autoSpaceDE/>
        <w:autoSpaceDN/>
        <w:bidi w:val="0"/>
        <w:adjustRightInd w:val="0"/>
        <w:spacing w:line="360" w:lineRule="auto"/>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 使用委托人的财产</w:t>
      </w:r>
    </w:p>
    <w:p>
      <w:pPr>
        <w:keepNext w:val="0"/>
        <w:keepLines w:val="0"/>
        <w:pageBreakBefore w:val="0"/>
        <w:widowControl w:val="0"/>
        <w:kinsoku/>
        <w:wordWrap/>
        <w:overflowPunct/>
        <w:topLinePunct w:val="0"/>
        <w:autoSpaceDE/>
        <w:autoSpaceDN/>
        <w:bidi w:val="0"/>
        <w:adjustRightInd w:val="0"/>
        <w:spacing w:line="360" w:lineRule="auto"/>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附录B中由委托人无偿提供的房屋、设备的所有权属于</w:t>
      </w:r>
      <w:r>
        <w:rPr>
          <w:rFonts w:hint="eastAsia" w:ascii="宋体" w:hAnsi="宋体" w:eastAsia="宋体" w:cs="宋体"/>
          <w:color w:val="auto"/>
          <w:sz w:val="24"/>
          <w:szCs w:val="24"/>
          <w:highlight w:val="none"/>
          <w:u w:val="single"/>
        </w:rPr>
        <w:t xml:space="preserve">     委托人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监理人应在本合同终止后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天内移交委托人无偿提供的房屋、设备，移交的时间和方式为：</w:t>
      </w:r>
      <w:r>
        <w:rPr>
          <w:rFonts w:hint="eastAsia" w:ascii="宋体" w:hAnsi="宋体" w:eastAsia="宋体" w:cs="宋体"/>
          <w:color w:val="auto"/>
          <w:sz w:val="24"/>
          <w:szCs w:val="24"/>
          <w:highlight w:val="none"/>
          <w:u w:val="single"/>
        </w:rPr>
        <w:t xml:space="preserve">   双方另行协商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 xml:space="preserve">3. 委托人义务  </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kern w:val="0"/>
          <w:sz w:val="24"/>
          <w:szCs w:val="24"/>
          <w:highlight w:val="none"/>
        </w:rPr>
        <w:t>3.4 委托人代表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委托人代表为：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 答复</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委托人同意在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天内，对监理人书面提交并要求做出决定的事宜给予书面答复。</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 违约责任</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 监理人的违约责任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4.1.1监理人赔偿金额按下列方法确定：</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赔偿金＝直接经济损失×正常工作酬金÷工程概算</w:t>
      </w:r>
      <w:r>
        <w:rPr>
          <w:rFonts w:hint="eastAsia" w:ascii="宋体" w:hAnsi="宋体" w:eastAsia="宋体" w:cs="宋体"/>
          <w:color w:val="auto"/>
          <w:kern w:val="0"/>
          <w:sz w:val="24"/>
          <w:szCs w:val="24"/>
          <w:highlight w:val="none"/>
        </w:rPr>
        <w:t>投资额（或建筑安装工程费）</w:t>
      </w:r>
    </w:p>
    <w:p>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 委托人的违约责任</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4.2.3 委托人</w:t>
      </w:r>
      <w:r>
        <w:rPr>
          <w:rFonts w:hint="eastAsia" w:ascii="宋体" w:hAnsi="宋体" w:eastAsia="宋体" w:cs="宋体"/>
          <w:color w:val="auto"/>
          <w:kern w:val="0"/>
          <w:sz w:val="24"/>
          <w:szCs w:val="24"/>
          <w:highlight w:val="none"/>
        </w:rPr>
        <w:t>逾期付款利息按下列方法确定：</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逾期付款利息＝当期应付款总额×银行同期贷款利率×拖延支付天数</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5. 支付</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5.1 </w:t>
      </w:r>
      <w:r>
        <w:rPr>
          <w:rFonts w:hint="eastAsia" w:ascii="宋体" w:hAnsi="宋体" w:eastAsia="宋体" w:cs="宋体"/>
          <w:bCs/>
          <w:color w:val="auto"/>
          <w:sz w:val="24"/>
          <w:szCs w:val="24"/>
          <w:highlight w:val="none"/>
        </w:rPr>
        <w:t>支付货币</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币种为：</w:t>
      </w:r>
      <w:r>
        <w:rPr>
          <w:rFonts w:hint="eastAsia" w:ascii="宋体" w:hAnsi="宋体" w:eastAsia="宋体" w:cs="宋体"/>
          <w:color w:val="auto"/>
          <w:sz w:val="24"/>
          <w:szCs w:val="24"/>
          <w:highlight w:val="none"/>
          <w:u w:val="single"/>
        </w:rPr>
        <w:t xml:space="preserve"> 人民币 </w:t>
      </w:r>
      <w:r>
        <w:rPr>
          <w:rFonts w:hint="eastAsia" w:ascii="宋体" w:hAnsi="宋体" w:eastAsia="宋体" w:cs="宋体"/>
          <w:color w:val="auto"/>
          <w:sz w:val="24"/>
          <w:szCs w:val="24"/>
          <w:highlight w:val="none"/>
        </w:rPr>
        <w:t>，比例为：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，汇率为：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支付酬金 </w:t>
      </w:r>
    </w:p>
    <w:p>
      <w:pPr>
        <w:keepNext w:val="0"/>
        <w:keepLines w:val="0"/>
        <w:pageBreakBefore w:val="0"/>
        <w:widowControl w:val="0"/>
        <w:kinsoku/>
        <w:wordWrap/>
        <w:overflowPunct/>
        <w:topLinePunct w:val="0"/>
        <w:autoSpaceDE/>
        <w:autoSpaceDN/>
        <w:bidi w:val="0"/>
        <w:adjustRightInd w:val="0"/>
        <w:spacing w:line="360" w:lineRule="auto"/>
        <w:ind w:firstLine="240" w:firstLineChars="100"/>
        <w:textAlignment w:val="baseline"/>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t>酬金的支付按照前述工程咨询服务合同专用条件第“9.2”条约定支付。</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 xml:space="preserve">如遇建设工期顺延与概算调整，此监理酬金也不予调整。 </w:t>
      </w:r>
    </w:p>
    <w:p>
      <w:pPr>
        <w:keepNext w:val="0"/>
        <w:keepLines w:val="0"/>
        <w:pageBreakBefore w:val="0"/>
        <w:widowControl w:val="0"/>
        <w:kinsoku/>
        <w:wordWrap/>
        <w:overflowPunct/>
        <w:topLinePunct w:val="0"/>
        <w:autoSpaceDE/>
        <w:autoSpaceDN/>
        <w:bidi w:val="0"/>
        <w:adjustRightInd w:val="0"/>
        <w:spacing w:line="360" w:lineRule="auto"/>
        <w:ind w:left="200" w:leftChars="100"/>
        <w:textAlignment w:val="baseline"/>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u w:val="none"/>
        </w:rPr>
        <w:t xml:space="preserve">注：1）针对监理人在合同履约过程中的违约行为（具体详见补充条款），每发生一起违约行为，除扣除相应的违约金外，将暂扣当季应付工程咨询报酬的1-5%，暂扣酬金在工程竣工验收合格后根据工程质量、进度、安全完成情况酌情予以支付。 </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
          <w:bCs/>
          <w:color w:val="auto"/>
          <w:sz w:val="24"/>
          <w:szCs w:val="24"/>
          <w:highlight w:val="none"/>
        </w:rPr>
        <w:t>. 合同生效、变更、暂停、解除与终止</w:t>
      </w:r>
    </w:p>
    <w:p>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生效</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本合同生效条件：</w:t>
      </w:r>
      <w:r>
        <w:rPr>
          <w:rFonts w:hint="eastAsia" w:ascii="宋体" w:hAnsi="宋体" w:eastAsia="宋体" w:cs="宋体"/>
          <w:color w:val="auto"/>
          <w:sz w:val="24"/>
          <w:szCs w:val="24"/>
          <w:highlight w:val="none"/>
          <w:u w:val="single"/>
        </w:rPr>
        <w:t>委托人和监理人的法定代表人或其授权代理人在协议书上签字并盖单位章后本合同生效</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变更</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6.2.2 除不可抗力外， 因非监理人原因导致本合同期限延长时，附加工作酬金按下列方法确定：</w:t>
      </w:r>
      <w:r>
        <w:rPr>
          <w:rFonts w:hint="eastAsia" w:ascii="宋体" w:hAnsi="宋体" w:cs="宋体"/>
          <w:color w:val="auto"/>
          <w:sz w:val="24"/>
          <w:szCs w:val="24"/>
          <w:highlight w:val="none"/>
          <w:u w:val="single"/>
          <w:lang w:val="en-US" w:eastAsia="zh-CN"/>
        </w:rPr>
        <w:t xml:space="preserve">  无  。</w:t>
      </w:r>
    </w:p>
    <w:p>
      <w:pPr>
        <w:pStyle w:val="4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6.2.3附加工作酬金按下列方法确定：</w:t>
      </w:r>
      <w:r>
        <w:rPr>
          <w:rFonts w:hint="eastAsia" w:ascii="宋体" w:hAnsi="宋体"/>
          <w:color w:val="auto"/>
          <w:sz w:val="24"/>
          <w:szCs w:val="24"/>
          <w:highlight w:val="none"/>
          <w:u w:val="single"/>
        </w:rPr>
        <w:t>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6.2.5 正常工作酬金增加额按下列方法确定：</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6.2.6 因工程规模、监理范围的变化导致监理人的正常工作量减少时，按减少工作量的比例从协议书约定的正常工作酬金中扣减相同比例的酬金。</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7. 争议解决</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bCs/>
          <w:color w:val="auto"/>
          <w:sz w:val="24"/>
          <w:szCs w:val="24"/>
          <w:highlight w:val="none"/>
        </w:rPr>
        <w:t>调解</w:t>
      </w:r>
    </w:p>
    <w:p>
      <w:pPr>
        <w:keepNext w:val="0"/>
        <w:keepLines w:val="0"/>
        <w:pageBreakBefore w:val="0"/>
        <w:widowControl w:val="0"/>
        <w:kinsoku/>
        <w:wordWrap/>
        <w:overflowPunct/>
        <w:topLinePunct w:val="0"/>
        <w:autoSpaceDE/>
        <w:autoSpaceDN/>
        <w:bidi w:val="0"/>
        <w:adjustRightInd w:val="0"/>
        <w:snapToGrid w:val="0"/>
        <w:spacing w:line="360" w:lineRule="auto"/>
        <w:ind w:firstLine="470" w:firstLineChars="196"/>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本合同争议进行调解时，可提交</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进行调解。</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w:t>
      </w:r>
      <w:r>
        <w:rPr>
          <w:rFonts w:hint="eastAsia" w:ascii="宋体" w:hAnsi="宋体" w:eastAsia="宋体" w:cs="宋体"/>
          <w:bCs/>
          <w:color w:val="auto"/>
          <w:sz w:val="24"/>
          <w:szCs w:val="24"/>
          <w:highlight w:val="none"/>
        </w:rPr>
        <w:t>仲裁或诉讼</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合同争议的最终解决方式为下列第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（1）提请</w:t>
      </w:r>
      <w:r>
        <w:rPr>
          <w:rFonts w:hint="eastAsia" w:ascii="宋体" w:hAnsi="宋体" w:eastAsia="宋体" w:cs="宋体"/>
          <w:color w:val="auto"/>
          <w:sz w:val="24"/>
          <w:szCs w:val="24"/>
          <w:highlight w:val="none"/>
          <w:u w:val="single"/>
        </w:rPr>
        <w:t xml:space="preserve">  绍兴  </w:t>
      </w:r>
      <w:r>
        <w:rPr>
          <w:rFonts w:hint="eastAsia" w:ascii="宋体" w:hAnsi="宋体" w:eastAsia="宋体" w:cs="宋体"/>
          <w:color w:val="auto"/>
          <w:sz w:val="24"/>
          <w:szCs w:val="24"/>
          <w:highlight w:val="none"/>
        </w:rPr>
        <w:t>仲裁委员会进行仲裁。</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诸暨市  </w:t>
      </w:r>
      <w:r>
        <w:rPr>
          <w:rFonts w:hint="eastAsia" w:ascii="宋体" w:hAnsi="宋体" w:eastAsia="宋体" w:cs="宋体"/>
          <w:color w:val="auto"/>
          <w:sz w:val="24"/>
          <w:szCs w:val="24"/>
          <w:highlight w:val="none"/>
        </w:rPr>
        <w:t>人民法院提起诉讼。</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 其他</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8.2 检测费用  委托人应在检测工作完成后</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天内支付检测费用。</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8.3 咨询费用</w:t>
      </w:r>
    </w:p>
    <w:p>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委托人应在咨询工作完成后</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天内支付咨询费用。</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奖励</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合理化建议的奖励金额按下列方法确定为：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奖励金额＝工程投资节省额×奖励金额的比率；</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奖励金额的比率为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保密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委托人申明的保密事项和期限：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监理人申明的保密事项和期限：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第三方申明的保密事项和期限：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8.8</w:t>
      </w:r>
      <w:r>
        <w:rPr>
          <w:rFonts w:hint="eastAsia" w:ascii="宋体" w:hAnsi="宋体" w:eastAsia="宋体" w:cs="宋体"/>
          <w:bCs/>
          <w:color w:val="auto"/>
          <w:sz w:val="24"/>
          <w:szCs w:val="24"/>
          <w:highlight w:val="none"/>
        </w:rPr>
        <w:t>著作权</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监理人在本合同履行期间及本合同终止后两年内出版涉及本工程的有关监理与相关服务的资料的限制条件：</w:t>
      </w:r>
      <w:r>
        <w:rPr>
          <w:rFonts w:hint="eastAsia" w:ascii="宋体" w:hAnsi="宋体" w:eastAsia="宋体" w:cs="宋体"/>
          <w:color w:val="auto"/>
          <w:sz w:val="24"/>
          <w:szCs w:val="24"/>
          <w:highlight w:val="none"/>
          <w:u w:val="single"/>
        </w:rPr>
        <w:t xml:space="preserve">                 /                     </w:t>
      </w:r>
    </w:p>
    <w:p>
      <w:pPr>
        <w:keepNext w:val="0"/>
        <w:keepLines w:val="0"/>
        <w:pageBreakBefore w:val="0"/>
        <w:widowControl w:val="0"/>
        <w:kinsoku/>
        <w:wordWrap/>
        <w:overflowPunct/>
        <w:topLinePunct w:val="0"/>
        <w:autoSpaceDE/>
        <w:autoSpaceDN/>
        <w:bidi w:val="0"/>
        <w:adjustRightInd w:val="0"/>
        <w:snapToGrid w:val="0"/>
        <w:spacing w:line="360" w:lineRule="auto"/>
        <w:ind w:firstLine="235" w:firstLineChars="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补充条款</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9.1在工程中对工程质量、造价、进度等监理时弄虚作假损害业主利益的，一经查实，每发现一例，即扣除监理费总额的30%。</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根据监理规范必须旁站的关键部位及关键工序须有专业监理工程师或总监进行旁站，并做好旁站、隐蔽工程记录及监理日记，记录可用文字及影像的形式。专业监理工程师除了每天必须进行巡查外，须按督促施工单位严格按图施工，发现问题及时处理，并报总监及委托人现场管理人员。监理工程师没有按要求进行旁站、没有做好相关记录或者没及时处理问题的，每查到一次罚款50000元，以上问题发生三次以上委托人有权解除监理合同，由监理单位承担一切责任。</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9.3加强对施工中安全问题的监督，如施工中发现安全隐患，应及时向业主报告，并及时要求施工单位整改。因监理工作不到位引起的施工安全问题，予以扣除相应的监理费。</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监理人员在审核工程洽商及设计变更单、工程变更单时应及时认真核对工程招标文件、工程合同、工程施工图纸及现场监理记录等，确保变更真实合理。若由于监理人员工作疏忽导致核定的变更明显有误或核签工程款支付申请（核准）表时有误，一经认定，每发生一例，即扣除监理费50000元。</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9.5本工程施工管理同时严格执行《诸暨市住房和城乡建设局基础设施建设项目管理规定》【诸建建（2014）5、6、7、8、17号】文件。</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9.6项目监理机构人员必须严格按照国家、行业及有关要求履行职责，必须严格落实考勤制度，保证人员到岗到位。施工期间，总监理工程师、专业监理工程师、监理员、注册造价师、资料员必须到岗，实行人脸识别门禁系统考勤与抽查相结合的办法，到</w:t>
      </w:r>
      <w:r>
        <w:rPr>
          <w:rFonts w:hint="eastAsia" w:ascii="宋体" w:hAnsi="宋体" w:cs="宋体"/>
          <w:color w:val="auto"/>
          <w:sz w:val="24"/>
          <w:szCs w:val="24"/>
          <w:highlight w:val="none"/>
          <w:lang w:val="en-US" w:eastAsia="zh-CN"/>
        </w:rPr>
        <w:t>岗</w:t>
      </w:r>
      <w:r>
        <w:rPr>
          <w:rFonts w:hint="eastAsia" w:ascii="宋体" w:hAnsi="宋体" w:eastAsia="宋体" w:cs="宋体"/>
          <w:color w:val="auto"/>
          <w:sz w:val="24"/>
          <w:szCs w:val="24"/>
          <w:highlight w:val="none"/>
        </w:rPr>
        <w:t>率不得低于23天/月，同时根据（绍市建设办〔2020〕90 号）文件和诸暨市纪委相关要求到</w:t>
      </w:r>
      <w:r>
        <w:rPr>
          <w:rFonts w:hint="eastAsia" w:ascii="宋体" w:hAnsi="宋体" w:cs="宋体"/>
          <w:color w:val="auto"/>
          <w:sz w:val="24"/>
          <w:szCs w:val="24"/>
          <w:highlight w:val="none"/>
          <w:lang w:val="en-US" w:eastAsia="zh-CN"/>
        </w:rPr>
        <w:t>岗</w:t>
      </w:r>
      <w:r>
        <w:rPr>
          <w:rFonts w:hint="eastAsia" w:ascii="宋体" w:hAnsi="宋体" w:eastAsia="宋体" w:cs="宋体"/>
          <w:color w:val="auto"/>
          <w:sz w:val="24"/>
          <w:szCs w:val="24"/>
          <w:highlight w:val="none"/>
        </w:rPr>
        <w:t>率不得低于80%。监理机构人员出勤天数未达到规定的每缺勤1天或虽已人脸识别考勤但经抽查不在岗，总监理工程师每次罚款30000元，专业监理工程师和监理员每次罚款5000元，累计缺勤5次以上10次以下的扣除总监理费的20%，超过10次的扣除总监理费的50%且发包方有权解除合同，并报行业主管部门，引起的一切责任由监理人承担，发包人有权追究处罚。</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9.7工程因质量问题引起大面积返工或发生一般质量安全事故的，按相关文件进行处罚，给予监理单位罚没总监理费20%并按诸暨市住房和城乡建设局相关文件执行；工程质量等级未达到合同约定的，按合同约定进行处罚外并按诸暨市住房和城乡建设局相关文件执行；工程因安全问题发生群伤二人以上或死亡事故的，提请有关部门按《生产安全事故报告和调查处理条例》进行处罚，并按诸暨市住房和城乡建设局相关文件执行。</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9.8监理到岗人员必须与投标文件中的人员相一致，原则上不允许更换，如有特殊情况（如患重病或发生人身意外等原因的，应出具工程所在地三级甲等医院证明材料），必须书面报告委托人，由委托人同意后方可更换，关键岗位人员变更的比例不得超过合同约定关键岗位人员总人数的50%，否则按擅自更换人员处理。擅自更换专业监理工程师的每一人次罚款100000元，擅自更换总监的罚款300000元。</w:t>
      </w:r>
    </w:p>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9.9监理单位未落实监督职责（未开展日常检查或现场存在大量安全文明施工问题的）或已对施工单位提出整改意见，但施工单位拒不整改而未向主管部门报告的，可停止监理单位在诸暨市内承接监理业务3个月；经主管部门督促后，仍不落实监督职责的或被上级部门通报批评的，可停止监理单位在诸暨市内承接监理业务6个月。</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9.10本工程监理招标项目部人员。</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3"/>
        <w:gridCol w:w="2047"/>
        <w:gridCol w:w="2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31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204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94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31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总监</w:t>
            </w:r>
            <w:r>
              <w:rPr>
                <w:rFonts w:hint="eastAsia" w:ascii="宋体" w:hAnsi="宋体" w:eastAsia="宋体" w:cs="宋体"/>
                <w:color w:val="auto"/>
                <w:sz w:val="24"/>
                <w:szCs w:val="24"/>
                <w:highlight w:val="none"/>
                <w:lang w:val="en-US" w:eastAsia="zh-CN"/>
              </w:rPr>
              <w:t>1人</w:t>
            </w:r>
          </w:p>
        </w:tc>
        <w:tc>
          <w:tcPr>
            <w:tcW w:w="204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c>
          <w:tcPr>
            <w:tcW w:w="294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31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市政专业监理工程师</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人</w:t>
            </w:r>
          </w:p>
        </w:tc>
        <w:tc>
          <w:tcPr>
            <w:tcW w:w="204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c>
          <w:tcPr>
            <w:tcW w:w="294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31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监理员（市政）</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人</w:t>
            </w:r>
          </w:p>
        </w:tc>
        <w:tc>
          <w:tcPr>
            <w:tcW w:w="204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c>
          <w:tcPr>
            <w:tcW w:w="294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31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资料员</w:t>
            </w:r>
            <w:r>
              <w:rPr>
                <w:rFonts w:hint="eastAsia" w:ascii="宋体" w:hAnsi="宋体" w:eastAsia="宋体" w:cs="宋体"/>
                <w:color w:val="auto"/>
                <w:sz w:val="24"/>
                <w:szCs w:val="24"/>
                <w:highlight w:val="none"/>
                <w:lang w:val="en-US" w:eastAsia="zh-CN"/>
              </w:rPr>
              <w:t>1人</w:t>
            </w:r>
          </w:p>
        </w:tc>
        <w:tc>
          <w:tcPr>
            <w:tcW w:w="204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c>
          <w:tcPr>
            <w:tcW w:w="294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baseline"/>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注：监理人应根据项目需求增派专业监理工程师和监理员，满足现场监理需求。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9.11中标下浮率：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9.12本工程履约保证金金额为：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元。合同履约保证金待工程验收合格且监理人完全履行监理义务后，一次性退还（无息）。</w:t>
      </w:r>
    </w:p>
    <w:p>
      <w:pPr>
        <w:pStyle w:val="38"/>
        <w:keepNext w:val="0"/>
        <w:keepLines w:val="0"/>
        <w:pageBreakBefore w:val="0"/>
        <w:widowControl w:val="0"/>
        <w:kinsoku/>
        <w:wordWrap/>
        <w:overflowPunct/>
        <w:topLinePunct w:val="0"/>
        <w:autoSpaceDE/>
        <w:autoSpaceDN/>
        <w:bidi w:val="0"/>
        <w:adjustRightInd w:val="0"/>
        <w:spacing w:line="360" w:lineRule="auto"/>
        <w:ind w:firstLine="48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9.13监理招标文件为本合同组成部分。</w:t>
      </w:r>
    </w:p>
    <w:p>
      <w:pPr>
        <w:pStyle w:val="38"/>
        <w:keepNext w:val="0"/>
        <w:keepLines w:val="0"/>
        <w:pageBreakBefore w:val="0"/>
        <w:widowControl w:val="0"/>
        <w:kinsoku/>
        <w:wordWrap/>
        <w:overflowPunct/>
        <w:topLinePunct w:val="0"/>
        <w:autoSpaceDE/>
        <w:autoSpaceDN/>
        <w:bidi w:val="0"/>
        <w:adjustRightInd w:val="0"/>
        <w:spacing w:line="360" w:lineRule="auto"/>
        <w:ind w:firstLine="48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9.14本工程安全文明施工按诸建设[2020]35号规定执行。</w:t>
      </w:r>
    </w:p>
    <w:p>
      <w:pPr>
        <w:pStyle w:val="38"/>
        <w:keepNext w:val="0"/>
        <w:keepLines w:val="0"/>
        <w:pageBreakBefore w:val="0"/>
        <w:widowControl w:val="0"/>
        <w:kinsoku/>
        <w:wordWrap/>
        <w:overflowPunct/>
        <w:topLinePunct w:val="0"/>
        <w:autoSpaceDE/>
        <w:autoSpaceDN/>
        <w:bidi w:val="0"/>
        <w:adjustRightInd w:val="0"/>
        <w:spacing w:line="360" w:lineRule="auto"/>
        <w:ind w:firstLine="48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9.15根据《中华人民共和国文物保护法》等规定，在进行建设工程中发现文物应当立即停工、保护现场，并立即报告诸暨市文物局（联系电话：87239563，88591136，87252150）。</w:t>
      </w: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pStyle w:val="25"/>
        <w:spacing w:line="360" w:lineRule="auto"/>
        <w:ind w:firstLine="281"/>
        <w:rPr>
          <w:rFonts w:hint="eastAsia" w:ascii="宋体" w:hAnsi="宋体" w:eastAsia="宋体" w:cs="宋体"/>
          <w:b/>
          <w:bCs/>
          <w:color w:val="auto"/>
          <w:szCs w:val="28"/>
          <w:highlight w:val="none"/>
        </w:rPr>
        <w:sectPr>
          <w:pgSz w:w="11906" w:h="16838"/>
          <w:pgMar w:top="1417" w:right="1134" w:bottom="1417" w:left="1134" w:header="851" w:footer="992" w:gutter="0"/>
          <w:pgNumType w:fmt="decimal"/>
          <w:cols w:space="720" w:num="1"/>
          <w:docGrid w:linePitch="321" w:charSpace="0"/>
        </w:sectPr>
      </w:pPr>
    </w:p>
    <w:p>
      <w:pPr>
        <w:pStyle w:val="25"/>
        <w:spacing w:line="360" w:lineRule="auto"/>
        <w:ind w:firstLine="281"/>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附件2工程廉政责任书</w:t>
      </w:r>
    </w:p>
    <w:p>
      <w:pPr>
        <w:spacing w:line="360" w:lineRule="auto"/>
        <w:rPr>
          <w:rFonts w:hint="eastAsia" w:ascii="宋体" w:hAnsi="宋体" w:eastAsia="宋体" w:cs="宋体"/>
          <w:color w:val="auto"/>
          <w:sz w:val="24"/>
          <w:szCs w:val="24"/>
          <w:highlight w:val="none"/>
        </w:rPr>
      </w:pPr>
    </w:p>
    <w:p>
      <w:pPr>
        <w:snapToGrid w:val="0"/>
        <w:spacing w:after="50" w:line="360" w:lineRule="auto"/>
        <w:ind w:firstLine="360" w:firstLineChars="1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工程项目名称：</w:t>
      </w:r>
      <w:r>
        <w:rPr>
          <w:rFonts w:hint="eastAsia" w:ascii="宋体" w:hAnsi="宋体" w:eastAsia="宋体" w:cs="宋体"/>
          <w:color w:val="auto"/>
          <w:sz w:val="24"/>
          <w:szCs w:val="24"/>
          <w:highlight w:val="none"/>
          <w:u w:val="single"/>
        </w:rPr>
        <w:t>二环路智慧快速化改造工程（柯诸高速至S211省道公路连接线）全过程工程</w:t>
      </w:r>
      <w:r>
        <w:rPr>
          <w:rFonts w:hint="eastAsia" w:ascii="宋体" w:hAnsi="宋体" w:cs="宋体"/>
          <w:color w:val="auto"/>
          <w:sz w:val="24"/>
          <w:szCs w:val="24"/>
          <w:highlight w:val="none"/>
          <w:u w:val="single"/>
          <w:lang w:val="en-US" w:eastAsia="zh-CN"/>
        </w:rPr>
        <w:t>咨询服务</w:t>
      </w:r>
    </w:p>
    <w:p>
      <w:pPr>
        <w:snapToGrid w:val="0"/>
        <w:spacing w:after="50" w:line="360" w:lineRule="auto"/>
        <w:ind w:firstLine="360" w:firstLineChars="15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p>
    <w:p>
      <w:pPr>
        <w:snapToGrid w:val="0"/>
        <w:spacing w:after="50" w:line="360" w:lineRule="auto"/>
        <w:ind w:firstLine="360" w:firstLineChars="15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建设单位（甲方）：</w:t>
      </w:r>
      <w:r>
        <w:rPr>
          <w:rFonts w:hint="eastAsia" w:ascii="宋体" w:hAnsi="宋体" w:eastAsia="宋体" w:cs="宋体"/>
          <w:color w:val="auto"/>
          <w:sz w:val="24"/>
          <w:szCs w:val="24"/>
          <w:highlight w:val="none"/>
          <w:u w:val="single"/>
        </w:rPr>
        <w:t xml:space="preserve">                    </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工程咨询单位（乙方）：</w:t>
      </w:r>
      <w:r>
        <w:rPr>
          <w:rFonts w:hint="eastAsia" w:ascii="宋体" w:hAnsi="宋体" w:eastAsia="宋体" w:cs="宋体"/>
          <w:color w:val="auto"/>
          <w:sz w:val="24"/>
          <w:szCs w:val="24"/>
          <w:highlight w:val="none"/>
          <w:u w:val="single"/>
        </w:rPr>
        <w:t xml:space="preserve">                    </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加强工程建设中的廉政建设，规范全过程工程咨询委托与被委托双方的各项活动，防止发生各种谋取不正当利益的违法违纪行为，保护国家、集体和当事人的合法权益，根据国家有关工程建设的法律法规和廉政建设责任制规定，特订立本廉政责任书。</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甲乙双方的责任</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（一）应严格遵守国家关于市场准入、项目招标投标、工程建设、工程全过程工程咨询和市场活动的有关法律、法规，相关政策，以及廉政建设的各项规定。</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（二）严格执行建设工程项目全过程工程咨询合同文件，自觉按合同办事。</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（三）业务活动必须坚持公开、公平、公正、诚信、透明的原则（除法律法规另有规定者外），不得为获取不正当的利益，损害国家、集体和对方利益，不得违反工程建设管理、建设监理的规章制度。</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（四）发现对方在业务活动中有违规、违纪、违法行为的，应及时提醒对方，情节严重的，应向其上级主管部门或纪检监察、司法等有关机关举报。</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甲方的责任</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甲方的领导和从事该建设工程项目的工作人员在工程建设的事前、事中、事后应遵守以下规定：</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（一）不准向乙方和相关单位索要或接受回扣、礼金、有价证券、贵重物品和好处费、感谢费等。</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（二）不准在乙方和相关单位报销任何应由甲方或个人支付的费用。</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（三）不准要求、暗示或接受乙方和相关单位为个人装修住房、婚丧嫁娶、配偶子女的工作安排以及出国（境）、旅游等提供方便。</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（四）不准参加有可能影响公正执行公务的乙方和相关单位的宴请、健身、娱乐等活动。</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准向乙方和相关单位介绍或为配偶、子女、亲属参与同甲方工程项目合同有关的分包项目等活动。不准向乙方和相关单位介绍或为配偶、子女、亲属参与同项目工程合同有关的设备、材料、工程分包、劳务等经济活动。不得以任何理由向乙方和相关单位推荐分包单位和要求购买与项目工程合同规定以外的材料、设备等。</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乙方的责任</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与甲方和相关单位保持正常的业务交往，按照有关法律法规和程序开展业务工作，严格执行工程建设的方针、政策，尤其是有关勘察设计、建筑施工安装的强制性标准和规范，以及全过程工程咨询法规，认真履行全过程工程咨询职责，并遵守以下规定：</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（一）不准以任何理由向甲方和相关单位及其工作人员索要、接受或赠送礼金、有价证券、贵重物品及回扣、好处费、感谢费等。</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（二）不准以任何理由为甲方和相关单位报销应由对方或个人支付的费用。</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（三）不准接受或暗示为甲方、相关单位或个人装修住房、婚丧嫁娶、配偶子女的工作安排以及出国（境）、旅游等提供方便。</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（四）不准违反合同约定而使用甲方、相关单位提供的通信、交通工具和高档办公用品。</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（五）不准以任何理由为甲方、相关单位或个人组织有可能影响公正执行公务的宴请、健身、娱乐等活动。</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（六）不准接受全过程工程咨询单位的宴请、健身、娱乐等活动。</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（三）乙方工作人员有违反本责任书第三条责任行为中任何一条规定的，每次罚款人民币1000元。</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本责任书作为全过程工程咨询合同的附件，与全过程工程咨询合同具有同等法律效力。经双方签署后立即生效。</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本责任书的有效期为双方签署之日起至该工程项目完工验收止。</w:t>
      </w: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第七条　本责任书一式四份，由甲乙双方各执份，送交甲乙双方的监督单位各一份。</w:t>
      </w:r>
    </w:p>
    <w:p>
      <w:pPr>
        <w:snapToGrid w:val="0"/>
        <w:spacing w:after="50" w:line="360" w:lineRule="auto"/>
        <w:rPr>
          <w:rFonts w:hint="eastAsia" w:ascii="宋体" w:hAnsi="宋体" w:eastAsia="宋体" w:cs="宋体"/>
          <w:color w:val="auto"/>
          <w:sz w:val="24"/>
          <w:szCs w:val="24"/>
          <w:highlight w:val="none"/>
        </w:rPr>
      </w:pPr>
    </w:p>
    <w:p>
      <w:pPr>
        <w:snapToGrid w:val="0"/>
        <w:spacing w:after="50" w:line="360" w:lineRule="auto"/>
        <w:ind w:firstLine="360" w:firstLineChars="150"/>
        <w:rPr>
          <w:rFonts w:hint="eastAsia" w:ascii="宋体" w:hAnsi="宋体" w:eastAsia="宋体" w:cs="宋体"/>
          <w:color w:val="auto"/>
          <w:sz w:val="24"/>
          <w:szCs w:val="24"/>
          <w:highlight w:val="none"/>
        </w:rPr>
      </w:pPr>
    </w:p>
    <w:p>
      <w:pPr>
        <w:snapToGrid w:val="0"/>
        <w:spacing w:after="5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（盖章）　乙方单位（或联合体牵头人，如有）：</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（盖章）</w:t>
      </w:r>
    </w:p>
    <w:p>
      <w:pPr>
        <w:snapToGrid w:val="0"/>
        <w:spacing w:after="50" w:line="360" w:lineRule="auto"/>
        <w:ind w:firstLine="360" w:firstLineChars="150"/>
        <w:jc w:val="center"/>
        <w:rPr>
          <w:rFonts w:hint="eastAsia" w:ascii="宋体" w:hAnsi="宋体" w:eastAsia="宋体" w:cs="宋体"/>
          <w:color w:val="auto"/>
          <w:sz w:val="24"/>
          <w:szCs w:val="24"/>
          <w:highlight w:val="none"/>
        </w:rPr>
      </w:pPr>
    </w:p>
    <w:p>
      <w:pPr>
        <w:snapToGrid w:val="0"/>
        <w:spacing w:after="50" w:line="360" w:lineRule="auto"/>
        <w:ind w:firstLine="360" w:firstLineChars="15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法定代表人（签章）：</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法定代表人（签章）：</w:t>
      </w:r>
      <w:r>
        <w:rPr>
          <w:rFonts w:hint="eastAsia" w:ascii="宋体" w:hAnsi="宋体" w:cs="宋体"/>
          <w:color w:val="auto"/>
          <w:sz w:val="24"/>
          <w:szCs w:val="24"/>
          <w:highlight w:val="none"/>
          <w:u w:val="single"/>
          <w:lang w:val="en-US" w:eastAsia="zh-CN"/>
        </w:rPr>
        <w:t xml:space="preserve">       </w:t>
      </w:r>
    </w:p>
    <w:p>
      <w:pPr>
        <w:snapToGrid w:val="0"/>
        <w:spacing w:after="50" w:line="360" w:lineRule="auto"/>
        <w:ind w:firstLine="360" w:firstLineChars="150"/>
        <w:rPr>
          <w:rFonts w:hint="eastAsia" w:ascii="宋体" w:hAnsi="宋体" w:eastAsia="宋体" w:cs="宋体"/>
          <w:color w:val="auto"/>
          <w:sz w:val="24"/>
          <w:szCs w:val="24"/>
          <w:highlight w:val="none"/>
        </w:rPr>
      </w:pPr>
    </w:p>
    <w:p>
      <w:pPr>
        <w:snapToGrid w:val="0"/>
        <w:spacing w:after="50" w:line="360" w:lineRule="auto"/>
        <w:ind w:firstLine="360" w:firstLineChars="150"/>
        <w:rPr>
          <w:rFonts w:hint="eastAsia" w:ascii="宋体" w:hAnsi="宋体" w:eastAsia="宋体" w:cs="宋体"/>
          <w:color w:val="auto"/>
          <w:sz w:val="24"/>
          <w:szCs w:val="24"/>
          <w:highlight w:val="none"/>
        </w:rPr>
      </w:pPr>
    </w:p>
    <w:p>
      <w:pPr>
        <w:snapToGrid w:val="0"/>
        <w:spacing w:after="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乙方单位（或联合体成员，如有）：</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（盖章）</w:t>
      </w:r>
    </w:p>
    <w:p>
      <w:pPr>
        <w:snapToGrid w:val="0"/>
        <w:spacing w:after="50" w:line="360" w:lineRule="auto"/>
        <w:ind w:firstLine="360" w:firstLineChars="150"/>
        <w:rPr>
          <w:rFonts w:hint="eastAsia" w:ascii="宋体" w:hAnsi="宋体" w:eastAsia="宋体" w:cs="宋体"/>
          <w:color w:val="auto"/>
          <w:sz w:val="24"/>
          <w:szCs w:val="24"/>
          <w:highlight w:val="none"/>
        </w:rPr>
      </w:pPr>
    </w:p>
    <w:p>
      <w:pPr>
        <w:snapToGrid w:val="0"/>
        <w:spacing w:after="50" w:line="360" w:lineRule="auto"/>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w:t>
      </w:r>
    </w:p>
    <w:p>
      <w:pPr>
        <w:snapToGrid w:val="0"/>
        <w:spacing w:after="50"/>
        <w:ind w:firstLine="300" w:firstLineChars="150"/>
        <w:rPr>
          <w:rFonts w:ascii="宋体" w:hAnsi="宋体" w:cs="宋体"/>
          <w:color w:val="auto"/>
          <w:szCs w:val="21"/>
          <w:highlight w:val="none"/>
        </w:rPr>
      </w:pPr>
    </w:p>
    <w:p>
      <w:pPr>
        <w:pStyle w:val="2"/>
        <w:numPr>
          <w:ilvl w:val="0"/>
          <w:numId w:val="0"/>
        </w:numPr>
        <w:rPr>
          <w:color w:val="auto"/>
          <w:highlight w:val="none"/>
        </w:rPr>
        <w:sectPr>
          <w:pgSz w:w="11906" w:h="16838"/>
          <w:pgMar w:top="1417" w:right="1134" w:bottom="1417" w:left="1134" w:header="851" w:footer="992" w:gutter="0"/>
          <w:pgNumType w:fmt="decimal"/>
          <w:cols w:space="720" w:num="1"/>
          <w:titlePg/>
          <w:docGrid w:linePitch="321" w:charSpace="0"/>
        </w:sectPr>
      </w:pPr>
    </w:p>
    <w:bookmarkEnd w:id="982"/>
    <w:bookmarkEnd w:id="983"/>
    <w:bookmarkEnd w:id="984"/>
    <w:bookmarkEnd w:id="985"/>
    <w:bookmarkEnd w:id="986"/>
    <w:bookmarkEnd w:id="987"/>
    <w:p>
      <w:pPr>
        <w:pStyle w:val="2"/>
        <w:numPr>
          <w:ilvl w:val="0"/>
          <w:numId w:val="0"/>
        </w:numPr>
        <w:spacing w:before="0" w:after="0" w:line="360" w:lineRule="auto"/>
        <w:jc w:val="center"/>
        <w:rPr>
          <w:color w:val="auto"/>
          <w:highlight w:val="none"/>
        </w:rPr>
      </w:pPr>
      <w:bookmarkStart w:id="1001" w:name="_Toc11444"/>
      <w:bookmarkStart w:id="1002" w:name="_Toc14210"/>
      <w:bookmarkStart w:id="1003" w:name="_Toc21887"/>
      <w:bookmarkStart w:id="1004" w:name="_Toc11396"/>
      <w:bookmarkStart w:id="1005" w:name="_Toc10016"/>
      <w:bookmarkStart w:id="1006" w:name="_Toc29701"/>
      <w:bookmarkStart w:id="1007" w:name="_Toc584"/>
      <w:bookmarkStart w:id="1008" w:name="_Toc16533"/>
      <w:bookmarkStart w:id="1009" w:name="_Toc15808"/>
      <w:bookmarkStart w:id="1010" w:name="_Toc9930"/>
      <w:bookmarkStart w:id="1011" w:name="_Toc25429"/>
      <w:bookmarkStart w:id="1012" w:name="_Toc22337"/>
      <w:bookmarkStart w:id="1013" w:name="_Toc22343"/>
      <w:bookmarkStart w:id="1014" w:name="_Toc31204"/>
      <w:bookmarkStart w:id="1015" w:name="_Toc26319"/>
      <w:bookmarkStart w:id="1016" w:name="_Toc21374"/>
      <w:bookmarkStart w:id="1017" w:name="_Toc9844"/>
      <w:bookmarkStart w:id="1018" w:name="_Toc1817"/>
      <w:bookmarkStart w:id="1019" w:name="_Toc9929"/>
      <w:bookmarkStart w:id="1020" w:name="_Toc12716"/>
      <w:bookmarkStart w:id="1021" w:name="_Toc6469"/>
      <w:bookmarkStart w:id="1022" w:name="_Toc1145"/>
      <w:bookmarkStart w:id="1023" w:name="_Toc304"/>
      <w:bookmarkStart w:id="1024" w:name="_Toc3487"/>
      <w:bookmarkStart w:id="1025" w:name="_Toc12953"/>
      <w:bookmarkStart w:id="1026" w:name="_Toc9814"/>
      <w:bookmarkStart w:id="1027" w:name="_Toc4504"/>
      <w:bookmarkStart w:id="1028" w:name="_Toc471863707"/>
      <w:r>
        <w:rPr>
          <w:rFonts w:hint="eastAsia"/>
          <w:color w:val="auto"/>
          <w:highlight w:val="none"/>
        </w:rPr>
        <w:t>第六章投标文件格式</w:t>
      </w:r>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pPr>
        <w:pStyle w:val="14"/>
        <w:spacing w:line="400" w:lineRule="exact"/>
        <w:jc w:val="center"/>
        <w:rPr>
          <w:rFonts w:hAnsi="宋体"/>
          <w:color w:val="auto"/>
          <w:sz w:val="24"/>
          <w:szCs w:val="24"/>
          <w:highlight w:val="none"/>
        </w:rPr>
      </w:pPr>
      <w:bookmarkStart w:id="1029" w:name="_Toc29973"/>
      <w:r>
        <w:rPr>
          <w:rFonts w:hint="eastAsia" w:hAnsi="宋体"/>
          <w:b/>
          <w:color w:val="auto"/>
          <w:sz w:val="32"/>
          <w:szCs w:val="32"/>
          <w:highlight w:val="none"/>
        </w:rPr>
        <w:t>说明</w:t>
      </w:r>
      <w:bookmarkEnd w:id="1029"/>
    </w:p>
    <w:p>
      <w:pPr>
        <w:tabs>
          <w:tab w:val="left" w:pos="540"/>
        </w:tabs>
        <w:spacing w:line="460" w:lineRule="exact"/>
        <w:ind w:firstLine="361" w:firstLineChars="150"/>
        <w:rPr>
          <w:rFonts w:ascii="宋体" w:hAnsi="宋体"/>
          <w:b/>
          <w:bCs/>
          <w:color w:val="auto"/>
          <w:kern w:val="16"/>
          <w:sz w:val="24"/>
          <w:szCs w:val="22"/>
          <w:highlight w:val="none"/>
        </w:rPr>
      </w:pPr>
    </w:p>
    <w:p>
      <w:pPr>
        <w:tabs>
          <w:tab w:val="left" w:pos="540"/>
        </w:tabs>
        <w:spacing w:line="460" w:lineRule="exact"/>
        <w:ind w:firstLine="361" w:firstLineChars="150"/>
        <w:rPr>
          <w:rFonts w:ascii="宋体" w:hAnsi="宋体"/>
          <w:b/>
          <w:bCs/>
          <w:color w:val="auto"/>
          <w:kern w:val="16"/>
          <w:sz w:val="24"/>
          <w:szCs w:val="22"/>
          <w:highlight w:val="none"/>
        </w:rPr>
      </w:pPr>
      <w:r>
        <w:rPr>
          <w:rFonts w:hint="eastAsia" w:ascii="宋体" w:hAnsi="宋体"/>
          <w:b/>
          <w:bCs/>
          <w:color w:val="auto"/>
          <w:kern w:val="16"/>
          <w:sz w:val="24"/>
          <w:szCs w:val="22"/>
          <w:highlight w:val="none"/>
        </w:rPr>
        <w:t>一、资格审查文件</w:t>
      </w:r>
    </w:p>
    <w:p>
      <w:pPr>
        <w:tabs>
          <w:tab w:val="left" w:pos="540"/>
        </w:tabs>
        <w:spacing w:line="460" w:lineRule="exact"/>
        <w:ind w:firstLine="360" w:firstLineChars="150"/>
        <w:rPr>
          <w:rFonts w:ascii="宋体" w:hAnsi="宋体"/>
          <w:color w:val="auto"/>
          <w:kern w:val="2"/>
          <w:sz w:val="24"/>
          <w:szCs w:val="24"/>
          <w:highlight w:val="none"/>
        </w:rPr>
      </w:pPr>
      <w:r>
        <w:rPr>
          <w:rFonts w:ascii="宋体" w:hAnsi="宋体"/>
          <w:color w:val="auto"/>
          <w:kern w:val="2"/>
          <w:sz w:val="24"/>
          <w:szCs w:val="24"/>
          <w:highlight w:val="none"/>
        </w:rPr>
        <w:t>1.1资格审查文件正本和副本的封面均需标明投标人全称，须清楚地注明“正本”和“副本”，并由投标人的法定代表人签字或盖章并盖单位章。</w:t>
      </w:r>
    </w:p>
    <w:p>
      <w:pPr>
        <w:tabs>
          <w:tab w:val="left" w:pos="540"/>
        </w:tabs>
        <w:spacing w:line="460" w:lineRule="exact"/>
        <w:ind w:firstLine="360" w:firstLineChars="150"/>
        <w:rPr>
          <w:rFonts w:hint="eastAsia" w:ascii="宋体" w:hAnsi="宋体"/>
          <w:color w:val="auto"/>
          <w:kern w:val="2"/>
          <w:sz w:val="24"/>
          <w:szCs w:val="24"/>
          <w:highlight w:val="none"/>
        </w:rPr>
      </w:pPr>
      <w:r>
        <w:rPr>
          <w:rFonts w:hint="eastAsia" w:ascii="宋体" w:hAnsi="宋体"/>
          <w:color w:val="auto"/>
          <w:kern w:val="2"/>
          <w:sz w:val="24"/>
          <w:szCs w:val="24"/>
          <w:highlight w:val="none"/>
        </w:rPr>
        <w:t>1.2资格审查文件的主要内容：</w:t>
      </w:r>
    </w:p>
    <w:p>
      <w:pPr>
        <w:tabs>
          <w:tab w:val="left" w:pos="540"/>
        </w:tabs>
        <w:spacing w:line="460" w:lineRule="exact"/>
        <w:ind w:firstLine="360" w:firstLineChars="15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①投标人基本情况表（联合体投标的，指联合体各方）；</w:t>
      </w:r>
    </w:p>
    <w:p>
      <w:pPr>
        <w:tabs>
          <w:tab w:val="left" w:pos="540"/>
        </w:tabs>
        <w:spacing w:line="460" w:lineRule="exact"/>
        <w:ind w:firstLine="360" w:firstLineChars="150"/>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eastAsia="zh-CN"/>
        </w:rPr>
        <w:t>②</w:t>
      </w:r>
      <w:r>
        <w:rPr>
          <w:rFonts w:hint="eastAsia" w:ascii="宋体" w:hAnsi="宋体" w:eastAsia="宋体" w:cs="Times New Roman"/>
          <w:color w:val="auto"/>
          <w:kern w:val="2"/>
          <w:sz w:val="24"/>
          <w:szCs w:val="24"/>
          <w:highlight w:val="none"/>
          <w:lang w:val="en-US" w:eastAsia="zh-CN"/>
        </w:rPr>
        <w:t>投标承诺书</w:t>
      </w:r>
    </w:p>
    <w:p>
      <w:pPr>
        <w:tabs>
          <w:tab w:val="left" w:pos="540"/>
        </w:tabs>
        <w:spacing w:line="460" w:lineRule="exact"/>
        <w:ind w:firstLine="360" w:firstLineChars="15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③</w:t>
      </w:r>
      <w:r>
        <w:rPr>
          <w:rFonts w:hint="eastAsia" w:ascii="宋体" w:hAnsi="宋体" w:eastAsia="宋体" w:cs="Times New Roman"/>
          <w:color w:val="auto"/>
          <w:kern w:val="2"/>
          <w:sz w:val="24"/>
          <w:szCs w:val="24"/>
          <w:highlight w:val="none"/>
          <w:lang w:val="en-US" w:eastAsia="zh-CN"/>
        </w:rPr>
        <w:t>法定代表人身份证明及</w:t>
      </w:r>
      <w:r>
        <w:rPr>
          <w:rFonts w:hint="eastAsia" w:ascii="宋体" w:hAnsi="宋体" w:eastAsia="宋体" w:cs="Times New Roman"/>
          <w:color w:val="auto"/>
          <w:kern w:val="2"/>
          <w:sz w:val="24"/>
          <w:szCs w:val="24"/>
          <w:highlight w:val="none"/>
        </w:rPr>
        <w:t>授权委托书</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lang w:val="en-US" w:eastAsia="zh-CN"/>
        </w:rPr>
        <w:t>如有</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w:t>
      </w:r>
    </w:p>
    <w:p>
      <w:pPr>
        <w:tabs>
          <w:tab w:val="left" w:pos="540"/>
        </w:tabs>
        <w:spacing w:line="460" w:lineRule="exact"/>
        <w:ind w:firstLine="360" w:firstLineChars="150"/>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lang w:eastAsia="zh-CN"/>
        </w:rPr>
        <w:t>④</w:t>
      </w:r>
      <w:r>
        <w:rPr>
          <w:rFonts w:hint="eastAsia" w:ascii="宋体" w:hAnsi="宋体" w:eastAsia="宋体" w:cs="Times New Roman"/>
          <w:color w:val="auto"/>
          <w:kern w:val="2"/>
          <w:sz w:val="24"/>
          <w:szCs w:val="24"/>
          <w:highlight w:val="none"/>
        </w:rPr>
        <w:t>项目负责人简历表</w:t>
      </w:r>
      <w:r>
        <w:rPr>
          <w:rFonts w:hint="eastAsia" w:ascii="宋体" w:hAnsi="宋体" w:eastAsia="宋体" w:cs="Times New Roman"/>
          <w:color w:val="auto"/>
          <w:kern w:val="2"/>
          <w:sz w:val="24"/>
          <w:szCs w:val="24"/>
          <w:highlight w:val="none"/>
          <w:lang w:val="en-US" w:eastAsia="zh-CN"/>
        </w:rPr>
        <w:t>及</w:t>
      </w:r>
      <w:r>
        <w:rPr>
          <w:rFonts w:ascii="宋体" w:hAnsi="宋体" w:eastAsia="宋体" w:cs="Times New Roman"/>
          <w:color w:val="auto"/>
          <w:kern w:val="2"/>
          <w:sz w:val="24"/>
          <w:szCs w:val="24"/>
          <w:highlight w:val="none"/>
        </w:rPr>
        <w:t>项目负责人</w:t>
      </w:r>
      <w:r>
        <w:rPr>
          <w:rFonts w:hint="eastAsia" w:ascii="宋体" w:hAnsi="宋体" w:eastAsia="宋体" w:cs="Times New Roman"/>
          <w:color w:val="auto"/>
          <w:kern w:val="2"/>
          <w:sz w:val="24"/>
          <w:szCs w:val="24"/>
          <w:highlight w:val="none"/>
        </w:rPr>
        <w:t>相关</w:t>
      </w:r>
      <w:r>
        <w:rPr>
          <w:rFonts w:ascii="宋体" w:hAnsi="宋体" w:eastAsia="宋体" w:cs="Times New Roman"/>
          <w:color w:val="auto"/>
          <w:kern w:val="2"/>
          <w:sz w:val="24"/>
          <w:szCs w:val="24"/>
          <w:highlight w:val="none"/>
        </w:rPr>
        <w:t>证书</w:t>
      </w:r>
      <w:r>
        <w:rPr>
          <w:rFonts w:hint="eastAsia" w:ascii="宋体" w:hAnsi="宋体" w:eastAsia="宋体" w:cs="Times New Roman"/>
          <w:color w:val="auto"/>
          <w:kern w:val="2"/>
          <w:sz w:val="24"/>
          <w:szCs w:val="24"/>
          <w:highlight w:val="none"/>
          <w:lang w:val="en-US" w:eastAsia="zh-CN"/>
        </w:rPr>
        <w:t>复制件</w:t>
      </w:r>
      <w:r>
        <w:rPr>
          <w:rFonts w:hint="eastAsia" w:ascii="宋体" w:hAnsi="宋体" w:eastAsia="宋体" w:cs="Times New Roman"/>
          <w:color w:val="auto"/>
          <w:kern w:val="2"/>
          <w:sz w:val="24"/>
          <w:szCs w:val="24"/>
          <w:highlight w:val="none"/>
        </w:rPr>
        <w:t>及个人养老保险缴纳证明</w:t>
      </w:r>
      <w:r>
        <w:rPr>
          <w:rFonts w:ascii="宋体" w:hAnsi="宋体" w:eastAsia="宋体" w:cs="Times New Roman"/>
          <w:color w:val="auto"/>
          <w:kern w:val="2"/>
          <w:sz w:val="24"/>
          <w:szCs w:val="24"/>
          <w:highlight w:val="none"/>
        </w:rPr>
        <w:t>；</w:t>
      </w:r>
    </w:p>
    <w:p>
      <w:pPr>
        <w:tabs>
          <w:tab w:val="left" w:pos="540"/>
        </w:tabs>
        <w:spacing w:line="460" w:lineRule="exact"/>
        <w:ind w:firstLine="360" w:firstLineChars="150"/>
        <w:rPr>
          <w:rFonts w:hint="eastAsia" w:ascii="宋体" w:hAnsi="宋体" w:eastAsia="宋体" w:cs="Times New Roman"/>
          <w:color w:val="auto"/>
          <w:kern w:val="2"/>
          <w:sz w:val="24"/>
          <w:szCs w:val="24"/>
          <w:highlight w:val="none"/>
          <w:lang w:eastAsia="zh-CN"/>
        </w:rPr>
      </w:pPr>
      <w:r>
        <w:rPr>
          <w:rFonts w:hint="eastAsia" w:ascii="宋体" w:hAnsi="宋体" w:eastAsia="宋体" w:cs="Times New Roman"/>
          <w:color w:val="auto"/>
          <w:kern w:val="2"/>
          <w:sz w:val="24"/>
          <w:szCs w:val="24"/>
          <w:highlight w:val="none"/>
        </w:rPr>
        <w:t>⑤</w:t>
      </w:r>
      <w:r>
        <w:rPr>
          <w:rFonts w:hint="eastAsia" w:ascii="宋体" w:hAnsi="宋体" w:cs="Times New Roman"/>
          <w:color w:val="auto"/>
          <w:kern w:val="2"/>
          <w:sz w:val="24"/>
          <w:szCs w:val="24"/>
          <w:highlight w:val="none"/>
          <w:lang w:val="en-US" w:eastAsia="zh-CN"/>
        </w:rPr>
        <w:t>项目负责人</w:t>
      </w:r>
      <w:r>
        <w:rPr>
          <w:rFonts w:hint="eastAsia" w:ascii="宋体" w:hAnsi="宋体" w:eastAsia="宋体" w:cs="Times New Roman"/>
          <w:color w:val="auto"/>
          <w:kern w:val="2"/>
          <w:sz w:val="24"/>
          <w:szCs w:val="24"/>
          <w:highlight w:val="none"/>
          <w:lang w:val="en-US" w:eastAsia="zh-CN"/>
        </w:rPr>
        <w:t>的类似项目业绩（</w:t>
      </w:r>
      <w:r>
        <w:rPr>
          <w:rFonts w:hint="eastAsia" w:ascii="宋体" w:hAnsi="宋体" w:eastAsia="宋体" w:cs="Times New Roman"/>
          <w:color w:val="auto"/>
          <w:kern w:val="2"/>
          <w:sz w:val="24"/>
          <w:szCs w:val="24"/>
          <w:highlight w:val="none"/>
        </w:rPr>
        <w:t>有效证明材料</w:t>
      </w:r>
      <w:r>
        <w:rPr>
          <w:rFonts w:hint="eastAsia" w:ascii="宋体" w:hAnsi="宋体" w:eastAsia="宋体" w:cs="Times New Roman"/>
          <w:color w:val="auto"/>
          <w:kern w:val="2"/>
          <w:sz w:val="24"/>
          <w:szCs w:val="24"/>
          <w:highlight w:val="none"/>
          <w:lang w:val="en-US" w:eastAsia="zh-CN"/>
        </w:rPr>
        <w:t>同招标公告中资格审查要求业绩证明</w:t>
      </w:r>
      <w:r>
        <w:rPr>
          <w:rFonts w:hint="eastAsia" w:ascii="宋体" w:hAnsi="宋体" w:cs="Times New Roman"/>
          <w:color w:val="auto"/>
          <w:kern w:val="2"/>
          <w:sz w:val="24"/>
          <w:szCs w:val="24"/>
          <w:highlight w:val="none"/>
          <w:lang w:val="en-US" w:eastAsia="zh-CN"/>
        </w:rPr>
        <w:t>材料</w:t>
      </w:r>
      <w:r>
        <w:rPr>
          <w:rFonts w:hint="eastAsia" w:ascii="宋体" w:hAnsi="宋体" w:eastAsia="宋体" w:cs="Times New Roman"/>
          <w:color w:val="auto"/>
          <w:kern w:val="2"/>
          <w:sz w:val="24"/>
          <w:szCs w:val="24"/>
          <w:highlight w:val="none"/>
        </w:rPr>
        <w:t>】</w:t>
      </w:r>
      <w:r>
        <w:rPr>
          <w:rFonts w:hint="eastAsia" w:ascii="宋体" w:hAnsi="宋体" w:eastAsia="宋体" w:cs="Times New Roman"/>
          <w:color w:val="auto"/>
          <w:kern w:val="2"/>
          <w:sz w:val="24"/>
          <w:szCs w:val="24"/>
          <w:highlight w:val="none"/>
          <w:lang w:eastAsia="zh-CN"/>
        </w:rPr>
        <w:t>。</w:t>
      </w:r>
    </w:p>
    <w:p>
      <w:pPr>
        <w:tabs>
          <w:tab w:val="left" w:pos="540"/>
        </w:tabs>
        <w:spacing w:line="460" w:lineRule="exact"/>
        <w:ind w:firstLine="360" w:firstLineChars="15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⑥拟派驻本项目人员一览表；</w:t>
      </w:r>
    </w:p>
    <w:p>
      <w:pPr>
        <w:tabs>
          <w:tab w:val="left" w:pos="540"/>
        </w:tabs>
        <w:spacing w:line="460" w:lineRule="exact"/>
        <w:ind w:firstLine="360" w:firstLineChars="150"/>
        <w:rPr>
          <w:rFonts w:hint="eastAsia" w:ascii="宋体" w:hAnsi="宋体" w:cs="Arial"/>
          <w:bCs/>
          <w:color w:val="auto"/>
          <w:sz w:val="24"/>
          <w:highlight w:val="none"/>
          <w:lang w:val="en-US" w:eastAsia="zh-CN"/>
        </w:rPr>
      </w:pPr>
      <w:r>
        <w:rPr>
          <w:rFonts w:hint="eastAsia" w:ascii="宋体" w:hAnsi="宋体"/>
          <w:color w:val="auto"/>
          <w:sz w:val="24"/>
          <w:szCs w:val="24"/>
          <w:highlight w:val="none"/>
        </w:rPr>
        <w:t>⑦</w:t>
      </w:r>
      <w:r>
        <w:rPr>
          <w:rFonts w:ascii="宋体" w:hAnsi="宋体"/>
          <w:color w:val="auto"/>
          <w:sz w:val="24"/>
          <w:szCs w:val="24"/>
          <w:highlight w:val="none"/>
        </w:rPr>
        <w:t>其他基本配备人员相关证明材料</w:t>
      </w:r>
      <w:r>
        <w:rPr>
          <w:rFonts w:hint="eastAsia" w:ascii="宋体" w:hAnsi="宋体"/>
          <w:color w:val="auto"/>
          <w:sz w:val="24"/>
          <w:szCs w:val="24"/>
          <w:highlight w:val="none"/>
          <w:lang w:eastAsia="zh-CN"/>
        </w:rPr>
        <w:t>（</w:t>
      </w:r>
      <w:r>
        <w:rPr>
          <w:rFonts w:hint="eastAsia" w:ascii="宋体" w:hAnsi="宋体" w:eastAsia="宋体" w:cs="Times New Roman"/>
          <w:color w:val="auto"/>
          <w:kern w:val="2"/>
          <w:sz w:val="24"/>
          <w:szCs w:val="24"/>
          <w:highlight w:val="none"/>
        </w:rPr>
        <w:t>如注册证书、职称证书、聘用合同、个人养老保险缴纳证明等）</w:t>
      </w:r>
      <w:r>
        <w:rPr>
          <w:rFonts w:hint="eastAsia" w:ascii="宋体" w:hAnsi="宋体"/>
          <w:color w:val="auto"/>
          <w:sz w:val="24"/>
          <w:szCs w:val="24"/>
          <w:highlight w:val="none"/>
          <w:lang w:eastAsia="zh-CN"/>
        </w:rPr>
        <w:t>，</w:t>
      </w:r>
      <w:r>
        <w:rPr>
          <w:rFonts w:ascii="宋体" w:hAnsi="宋体"/>
          <w:color w:val="auto"/>
          <w:sz w:val="24"/>
          <w:szCs w:val="24"/>
          <w:highlight w:val="none"/>
        </w:rPr>
        <w:t>其他基本配备人员</w:t>
      </w:r>
      <w:r>
        <w:rPr>
          <w:rFonts w:hint="eastAsia" w:ascii="Times New Roman" w:hAnsi="宋体" w:eastAsia="宋体" w:cs="宋体"/>
          <w:color w:val="auto"/>
          <w:sz w:val="24"/>
          <w:szCs w:val="24"/>
          <w:highlight w:val="none"/>
        </w:rPr>
        <w:t>须为投标企业在职职工（在职职工不包括离、退休返聘人员），</w:t>
      </w:r>
      <w:r>
        <w:rPr>
          <w:rFonts w:hint="eastAsia" w:ascii="Times New Roman" w:hAnsi="宋体" w:eastAsia="宋体" w:cs="宋体"/>
          <w:color w:val="auto"/>
          <w:sz w:val="24"/>
          <w:szCs w:val="24"/>
          <w:highlight w:val="none"/>
          <w:lang w:val="en-US" w:eastAsia="zh-CN"/>
        </w:rPr>
        <w:t>并</w:t>
      </w:r>
      <w:r>
        <w:rPr>
          <w:rFonts w:hint="eastAsia" w:ascii="Times New Roman" w:hAnsi="宋体" w:eastAsia="宋体" w:cs="宋体"/>
          <w:color w:val="auto"/>
          <w:sz w:val="24"/>
          <w:szCs w:val="24"/>
          <w:highlight w:val="none"/>
        </w:rPr>
        <w:t>提供缴费期限包含2023年0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月投标人所属社保机构出具的个人养老保险缴纳清单或证明，以到账为准（除分公司外，缴纳单位和投标单位名称必须一致，并加盖社保缴费专用章或电子专用章）；若为事业编制的，以提供缴费期限包含2023年0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月由人事代理中心出具的个人养老保险缴纳清单或证明（需加盖人事代理中心证明专用章【或电子专用章】）。</w:t>
      </w:r>
      <w:r>
        <w:rPr>
          <w:rFonts w:hint="eastAsia" w:ascii="宋体" w:hAnsi="宋体" w:eastAsia="宋体" w:cs="宋体"/>
          <w:color w:val="auto"/>
          <w:sz w:val="24"/>
          <w:szCs w:val="24"/>
          <w:highlight w:val="none"/>
          <w:lang w:val="en-US" w:eastAsia="zh-CN"/>
        </w:rPr>
        <w:t>项目管理人员</w:t>
      </w:r>
      <w:r>
        <w:rPr>
          <w:rFonts w:hint="eastAsia" w:ascii="宋体" w:hAnsi="宋体" w:cs="宋体"/>
          <w:color w:val="auto"/>
          <w:sz w:val="24"/>
          <w:szCs w:val="24"/>
          <w:highlight w:val="none"/>
          <w:lang w:val="en-US" w:eastAsia="zh-CN"/>
        </w:rPr>
        <w:t>配备</w:t>
      </w:r>
      <w:r>
        <w:rPr>
          <w:rFonts w:hint="eastAsia" w:ascii="宋体" w:hAnsi="宋体" w:eastAsia="宋体" w:cs="宋体"/>
          <w:color w:val="auto"/>
          <w:sz w:val="24"/>
          <w:szCs w:val="24"/>
          <w:highlight w:val="none"/>
          <w:lang w:val="en-US" w:eastAsia="zh-CN"/>
        </w:rPr>
        <w:t>其它协调人员</w:t>
      </w:r>
      <w:r>
        <w:rPr>
          <w:rFonts w:hint="eastAsia" w:ascii="宋体" w:hAnsi="宋体" w:cs="Arial"/>
          <w:bCs/>
          <w:color w:val="auto"/>
          <w:sz w:val="24"/>
          <w:highlight w:val="none"/>
          <w:lang w:val="en-US" w:eastAsia="zh-CN"/>
        </w:rPr>
        <w:t>无须提供社保。</w:t>
      </w:r>
    </w:p>
    <w:p>
      <w:pPr>
        <w:tabs>
          <w:tab w:val="left" w:pos="540"/>
        </w:tabs>
        <w:spacing w:line="46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⑧</w:t>
      </w:r>
      <w:r>
        <w:rPr>
          <w:rFonts w:ascii="宋体" w:hAnsi="宋体"/>
          <w:color w:val="auto"/>
          <w:sz w:val="24"/>
          <w:szCs w:val="24"/>
          <w:highlight w:val="none"/>
        </w:rPr>
        <w:t>投标保证金缴纳证明；</w:t>
      </w:r>
    </w:p>
    <w:p>
      <w:pPr>
        <w:tabs>
          <w:tab w:val="left" w:pos="540"/>
        </w:tabs>
        <w:spacing w:line="460" w:lineRule="exact"/>
        <w:ind w:firstLine="360" w:firstLineChars="150"/>
        <w:rPr>
          <w:rFonts w:ascii="宋体" w:hAnsi="宋体" w:cs="Arial"/>
          <w:bCs/>
          <w:color w:val="auto"/>
          <w:sz w:val="24"/>
          <w:highlight w:val="none"/>
        </w:rPr>
      </w:pPr>
      <w:r>
        <w:rPr>
          <w:rFonts w:hint="eastAsia" w:ascii="宋体" w:hAnsi="宋体"/>
          <w:color w:val="auto"/>
          <w:sz w:val="24"/>
          <w:szCs w:val="24"/>
          <w:highlight w:val="none"/>
        </w:rPr>
        <w:t>⑨投标人（</w:t>
      </w:r>
      <w:r>
        <w:rPr>
          <w:rFonts w:hint="eastAsia" w:ascii="宋体" w:hAnsi="宋体" w:cs="Arial"/>
          <w:bCs/>
          <w:color w:val="auto"/>
          <w:sz w:val="24"/>
          <w:highlight w:val="none"/>
        </w:rPr>
        <w:t>含联合体成员</w:t>
      </w:r>
      <w:r>
        <w:rPr>
          <w:rFonts w:hint="eastAsia" w:ascii="宋体" w:hAnsi="宋体"/>
          <w:color w:val="auto"/>
          <w:sz w:val="24"/>
          <w:szCs w:val="24"/>
          <w:highlight w:val="none"/>
        </w:rPr>
        <w:t>）及拟派负</w:t>
      </w:r>
      <w:r>
        <w:rPr>
          <w:rFonts w:hint="eastAsia" w:ascii="宋体" w:hAnsi="宋体" w:cs="Arial"/>
          <w:bCs/>
          <w:color w:val="auto"/>
          <w:sz w:val="24"/>
          <w:highlight w:val="none"/>
        </w:rPr>
        <w:t>责人自201</w:t>
      </w:r>
      <w:r>
        <w:rPr>
          <w:rFonts w:ascii="宋体" w:hAnsi="宋体" w:cs="Arial"/>
          <w:bCs/>
          <w:color w:val="auto"/>
          <w:sz w:val="24"/>
          <w:highlight w:val="none"/>
        </w:rPr>
        <w:t>8</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1</w:t>
      </w:r>
      <w:r>
        <w:rPr>
          <w:rFonts w:hint="eastAsia" w:ascii="宋体" w:hAnsi="宋体" w:cs="Arial"/>
          <w:bCs/>
          <w:color w:val="auto"/>
          <w:sz w:val="24"/>
          <w:highlight w:val="none"/>
        </w:rPr>
        <w:t>月1日以来无行贿犯罪记录承诺书；</w:t>
      </w:r>
    </w:p>
    <w:p>
      <w:pPr>
        <w:spacing w:line="360" w:lineRule="auto"/>
        <w:ind w:firstLine="480" w:firstLineChars="200"/>
        <w:rPr>
          <w:rFonts w:ascii="宋体" w:hAnsi="宋体"/>
          <w:color w:val="auto"/>
          <w:sz w:val="24"/>
          <w:szCs w:val="24"/>
          <w:highlight w:val="none"/>
        </w:rPr>
      </w:pPr>
      <w:r>
        <w:rPr>
          <w:rFonts w:hint="eastAsia" w:ascii="宋体" w:hAnsi="宋体" w:cs="Arial"/>
          <w:bCs/>
          <w:color w:val="auto"/>
          <w:sz w:val="24"/>
          <w:highlight w:val="none"/>
        </w:rPr>
        <w:t>⑩投标人（含联合体成员）及拟派</w:t>
      </w:r>
      <w:r>
        <w:rPr>
          <w:rFonts w:hint="eastAsia" w:ascii="宋体" w:hAnsi="宋体" w:cs="Arial"/>
          <w:bCs/>
          <w:color w:val="auto"/>
          <w:sz w:val="24"/>
          <w:highlight w:val="none"/>
          <w:lang w:val="en-US" w:eastAsia="zh-CN"/>
        </w:rPr>
        <w:t>项目</w:t>
      </w:r>
      <w:r>
        <w:rPr>
          <w:rFonts w:hint="eastAsia" w:ascii="宋体" w:hAnsi="宋体" w:cs="Arial"/>
          <w:bCs/>
          <w:color w:val="auto"/>
          <w:sz w:val="24"/>
          <w:highlight w:val="none"/>
        </w:rPr>
        <w:t>负责人未被限</w:t>
      </w:r>
      <w:r>
        <w:rPr>
          <w:rFonts w:hint="eastAsia" w:ascii="宋体" w:hAnsi="宋体"/>
          <w:color w:val="auto"/>
          <w:sz w:val="24"/>
          <w:szCs w:val="24"/>
          <w:highlight w:val="none"/>
        </w:rPr>
        <w:t>制投标承诺书；</w:t>
      </w:r>
    </w:p>
    <w:p>
      <w:pPr>
        <w:spacing w:line="360" w:lineRule="auto"/>
        <w:ind w:firstLine="480" w:firstLineChars="200"/>
        <w:rPr>
          <w:color w:val="auto"/>
          <w:highlight w:val="none"/>
        </w:rPr>
      </w:pPr>
      <w:r>
        <w:rPr>
          <w:rFonts w:hint="eastAsia" w:ascii="宋体" w:hAnsi="宋体"/>
          <w:color w:val="auto"/>
          <w:kern w:val="2"/>
          <w:sz w:val="24"/>
          <w:szCs w:val="24"/>
          <w:highlight w:val="none"/>
        </w:rPr>
        <w:t>⑪联合体协议书（联合体投标的提供，格式详见附件）；</w:t>
      </w:r>
    </w:p>
    <w:p>
      <w:pPr>
        <w:spacing w:line="360" w:lineRule="auto"/>
        <w:ind w:firstLine="480" w:firstLineChars="200"/>
        <w:rPr>
          <w:color w:val="auto"/>
          <w:sz w:val="24"/>
          <w:szCs w:val="24"/>
          <w:highlight w:val="none"/>
        </w:rPr>
      </w:pPr>
      <w:r>
        <w:rPr>
          <w:rFonts w:hint="eastAsia"/>
          <w:color w:val="auto"/>
          <w:sz w:val="24"/>
          <w:szCs w:val="24"/>
          <w:highlight w:val="none"/>
        </w:rPr>
        <w:t>⑫</w:t>
      </w:r>
      <w:r>
        <w:rPr>
          <w:color w:val="auto"/>
          <w:sz w:val="24"/>
          <w:szCs w:val="24"/>
          <w:highlight w:val="none"/>
        </w:rPr>
        <w:t>其他需补充的资料。</w:t>
      </w:r>
    </w:p>
    <w:p>
      <w:pPr>
        <w:spacing w:line="360" w:lineRule="auto"/>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注：投标人营业执照、资质证书、基本账户开户证明、投标保证金缴纳证明等目录中其他材料的</w:t>
      </w:r>
      <w:r>
        <w:rPr>
          <w:rFonts w:hint="eastAsia" w:ascii="宋体" w:hAnsi="宋体" w:eastAsia="宋体" w:cs="Times New Roman"/>
          <w:color w:val="auto"/>
          <w:kern w:val="2"/>
          <w:sz w:val="24"/>
          <w:szCs w:val="24"/>
          <w:highlight w:val="none"/>
          <w:lang w:val="en-US" w:eastAsia="zh-CN"/>
        </w:rPr>
        <w:t>复制件</w:t>
      </w:r>
      <w:r>
        <w:rPr>
          <w:rFonts w:hint="eastAsia" w:ascii="宋体" w:hAnsi="宋体" w:eastAsia="宋体" w:cs="Times New Roman"/>
          <w:color w:val="auto"/>
          <w:kern w:val="2"/>
          <w:sz w:val="24"/>
          <w:szCs w:val="24"/>
          <w:highlight w:val="none"/>
        </w:rPr>
        <w:t>均须加盖投标人公章。</w:t>
      </w:r>
    </w:p>
    <w:p>
      <w:pPr>
        <w:tabs>
          <w:tab w:val="left" w:pos="540"/>
        </w:tabs>
        <w:spacing w:line="460" w:lineRule="exact"/>
        <w:ind w:firstLine="361" w:firstLineChars="150"/>
        <w:rPr>
          <w:rFonts w:ascii="宋体" w:hAnsi="宋体"/>
          <w:b/>
          <w:bCs/>
          <w:color w:val="auto"/>
          <w:kern w:val="16"/>
          <w:sz w:val="24"/>
          <w:szCs w:val="22"/>
          <w:highlight w:val="none"/>
        </w:rPr>
      </w:pPr>
      <w:r>
        <w:rPr>
          <w:rFonts w:hint="eastAsia" w:ascii="宋体" w:hAnsi="宋体"/>
          <w:b/>
          <w:bCs/>
          <w:color w:val="auto"/>
          <w:kern w:val="16"/>
          <w:sz w:val="24"/>
          <w:szCs w:val="22"/>
          <w:highlight w:val="none"/>
        </w:rPr>
        <w:t>二、技术标</w:t>
      </w:r>
    </w:p>
    <w:p>
      <w:pPr>
        <w:tabs>
          <w:tab w:val="left" w:pos="54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2.1技术标正本和副本的封面均需标明投标人全称，须清楚地注明“正本”和“副本”，并由投标人的法定代表人签字或盖章并盖单位章。</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2.2技术标主要内容：详见技术标评分标准。</w:t>
      </w:r>
    </w:p>
    <w:p>
      <w:pPr>
        <w:tabs>
          <w:tab w:val="left" w:pos="540"/>
        </w:tabs>
        <w:spacing w:line="460" w:lineRule="exact"/>
        <w:ind w:firstLine="361" w:firstLineChars="150"/>
        <w:rPr>
          <w:rFonts w:ascii="宋体" w:hAnsi="宋体"/>
          <w:b/>
          <w:bCs/>
          <w:color w:val="auto"/>
          <w:kern w:val="16"/>
          <w:sz w:val="24"/>
          <w:highlight w:val="none"/>
        </w:rPr>
      </w:pPr>
      <w:r>
        <w:rPr>
          <w:rFonts w:hint="eastAsia" w:ascii="宋体" w:hAnsi="宋体"/>
          <w:b/>
          <w:bCs/>
          <w:color w:val="auto"/>
          <w:kern w:val="16"/>
          <w:sz w:val="24"/>
          <w:highlight w:val="none"/>
          <w:lang w:val="en-US" w:eastAsia="zh-CN"/>
        </w:rPr>
        <w:t>三</w:t>
      </w:r>
      <w:r>
        <w:rPr>
          <w:rFonts w:hint="eastAsia" w:ascii="宋体" w:hAnsi="宋体"/>
          <w:b/>
          <w:bCs/>
          <w:color w:val="auto"/>
          <w:kern w:val="16"/>
          <w:sz w:val="24"/>
          <w:highlight w:val="none"/>
        </w:rPr>
        <w:t>、商务文件</w:t>
      </w:r>
    </w:p>
    <w:p>
      <w:pPr>
        <w:tabs>
          <w:tab w:val="left" w:pos="540"/>
        </w:tabs>
        <w:spacing w:line="460" w:lineRule="exact"/>
        <w:ind w:firstLine="360" w:firstLineChars="150"/>
        <w:rPr>
          <w:rFonts w:ascii="宋体" w:hAnsi="宋体"/>
          <w:color w:val="auto"/>
          <w:kern w:val="2"/>
          <w:sz w:val="24"/>
          <w:szCs w:val="24"/>
          <w:highlight w:val="none"/>
        </w:rPr>
      </w:pPr>
      <w:r>
        <w:rPr>
          <w:rFonts w:hint="eastAsia" w:ascii="宋体" w:hAnsi="宋体"/>
          <w:color w:val="auto"/>
          <w:kern w:val="2"/>
          <w:sz w:val="24"/>
          <w:szCs w:val="24"/>
          <w:highlight w:val="none"/>
          <w:lang w:val="en-US" w:eastAsia="zh-CN"/>
        </w:rPr>
        <w:t>3</w:t>
      </w:r>
      <w:r>
        <w:rPr>
          <w:rFonts w:ascii="宋体" w:hAnsi="宋体"/>
          <w:color w:val="auto"/>
          <w:kern w:val="2"/>
          <w:sz w:val="24"/>
          <w:szCs w:val="24"/>
          <w:highlight w:val="none"/>
        </w:rPr>
        <w:t>.1商务文件正本和副本的封面均需标明投标人全称，须清楚地注明“正本”和“副本”，并由投标人的法定代表人签字或盖章并盖单位章。</w:t>
      </w:r>
    </w:p>
    <w:p>
      <w:pPr>
        <w:tabs>
          <w:tab w:val="left" w:pos="540"/>
        </w:tabs>
        <w:spacing w:line="460" w:lineRule="exact"/>
        <w:ind w:firstLine="360" w:firstLineChars="150"/>
        <w:rPr>
          <w:rFonts w:ascii="宋体" w:hAnsi="宋体"/>
          <w:color w:val="auto"/>
          <w:kern w:val="2"/>
          <w:sz w:val="24"/>
          <w:szCs w:val="24"/>
          <w:highlight w:val="none"/>
        </w:rPr>
      </w:pPr>
      <w:bookmarkStart w:id="1030" w:name="_Toc17136"/>
      <w:bookmarkStart w:id="1031" w:name="_Toc12161"/>
      <w:bookmarkStart w:id="1032" w:name="_Toc11653"/>
      <w:bookmarkStart w:id="1033" w:name="_Toc24782"/>
      <w:bookmarkStart w:id="1034" w:name="_Toc6923_WPSOffice_Level2"/>
      <w:bookmarkStart w:id="1035" w:name="_Toc20593"/>
      <w:bookmarkStart w:id="1036" w:name="_Toc521684399"/>
      <w:bookmarkStart w:id="1037" w:name="_Toc521695772"/>
      <w:bookmarkStart w:id="1038" w:name="_Toc521686236"/>
      <w:bookmarkStart w:id="1039" w:name="_Toc25169"/>
      <w:r>
        <w:rPr>
          <w:rFonts w:ascii="宋体" w:hAnsi="宋体"/>
          <w:color w:val="auto"/>
          <w:kern w:val="2"/>
          <w:sz w:val="24"/>
          <w:szCs w:val="24"/>
          <w:highlight w:val="none"/>
        </w:rPr>
        <w:t>1.2商务文件的主要内容：</w:t>
      </w:r>
      <w:bookmarkEnd w:id="1030"/>
    </w:p>
    <w:p>
      <w:pPr>
        <w:tabs>
          <w:tab w:val="left" w:pos="540"/>
        </w:tabs>
        <w:spacing w:line="460" w:lineRule="exact"/>
        <w:ind w:firstLine="360" w:firstLineChars="150"/>
        <w:rPr>
          <w:rFonts w:hint="eastAsia" w:ascii="宋体" w:hAnsi="宋体"/>
          <w:color w:val="auto"/>
          <w:kern w:val="2"/>
          <w:sz w:val="24"/>
          <w:szCs w:val="24"/>
          <w:highlight w:val="none"/>
        </w:rPr>
      </w:pPr>
      <w:r>
        <w:rPr>
          <w:rFonts w:hint="eastAsia" w:ascii="宋体" w:hAnsi="宋体"/>
          <w:color w:val="auto"/>
          <w:kern w:val="2"/>
          <w:sz w:val="24"/>
          <w:szCs w:val="24"/>
          <w:highlight w:val="none"/>
        </w:rPr>
        <w:t>（</w:t>
      </w:r>
      <w:r>
        <w:rPr>
          <w:rFonts w:hint="eastAsia" w:ascii="宋体" w:hAnsi="宋体"/>
          <w:color w:val="auto"/>
          <w:kern w:val="2"/>
          <w:sz w:val="24"/>
          <w:szCs w:val="24"/>
          <w:highlight w:val="none"/>
          <w:lang w:val="en-US" w:eastAsia="zh-CN"/>
        </w:rPr>
        <w:t>1</w:t>
      </w:r>
      <w:r>
        <w:rPr>
          <w:rFonts w:ascii="宋体" w:hAnsi="宋体"/>
          <w:color w:val="auto"/>
          <w:kern w:val="2"/>
          <w:sz w:val="24"/>
          <w:szCs w:val="24"/>
          <w:highlight w:val="none"/>
        </w:rPr>
        <w:t>）投标函</w:t>
      </w:r>
      <w:r>
        <w:rPr>
          <w:rFonts w:hint="eastAsia" w:ascii="宋体" w:hAnsi="宋体"/>
          <w:color w:val="auto"/>
          <w:kern w:val="2"/>
          <w:sz w:val="24"/>
          <w:szCs w:val="24"/>
          <w:highlight w:val="none"/>
        </w:rPr>
        <w:t>；</w:t>
      </w:r>
    </w:p>
    <w:p>
      <w:pPr>
        <w:rPr>
          <w:rFonts w:hint="eastAsia" w:ascii="宋体" w:hAnsi="宋体"/>
          <w:color w:val="auto"/>
          <w:kern w:val="2"/>
          <w:sz w:val="24"/>
          <w:szCs w:val="24"/>
          <w:highlight w:val="none"/>
        </w:rPr>
      </w:pPr>
      <w:r>
        <w:rPr>
          <w:rFonts w:hint="eastAsia" w:ascii="宋体" w:hAnsi="宋体"/>
          <w:color w:val="auto"/>
          <w:kern w:val="2"/>
          <w:sz w:val="24"/>
          <w:szCs w:val="24"/>
          <w:highlight w:val="none"/>
        </w:rPr>
        <w:br w:type="page"/>
      </w:r>
    </w:p>
    <w:p>
      <w:pPr>
        <w:pStyle w:val="32"/>
        <w:rPr>
          <w:color w:val="auto"/>
          <w:highlight w:val="none"/>
        </w:rPr>
      </w:pPr>
    </w:p>
    <w:p>
      <w:pPr>
        <w:pStyle w:val="32"/>
        <w:ind w:firstLine="200"/>
        <w:rPr>
          <w:color w:val="auto"/>
          <w:highlight w:val="none"/>
        </w:rPr>
      </w:pPr>
    </w:p>
    <w:p>
      <w:pPr>
        <w:numPr>
          <w:ilvl w:val="1"/>
          <w:numId w:val="0"/>
        </w:numPr>
        <w:tabs>
          <w:tab w:val="left" w:pos="720"/>
          <w:tab w:val="left" w:pos="3600"/>
        </w:tabs>
        <w:spacing w:line="360" w:lineRule="auto"/>
        <w:jc w:val="center"/>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投标文件</w:t>
      </w:r>
    </w:p>
    <w:p>
      <w:pPr>
        <w:rPr>
          <w:color w:val="auto"/>
          <w:highlight w:val="none"/>
        </w:rPr>
      </w:pPr>
    </w:p>
    <w:p>
      <w:pPr>
        <w:rPr>
          <w:color w:val="auto"/>
          <w:highlight w:val="none"/>
        </w:rPr>
      </w:pPr>
    </w:p>
    <w:p>
      <w:pPr>
        <w:rPr>
          <w:color w:val="auto"/>
          <w:highlight w:val="none"/>
        </w:rPr>
      </w:pPr>
    </w:p>
    <w:p>
      <w:pPr>
        <w:spacing w:line="360" w:lineRule="auto"/>
        <w:jc w:val="center"/>
        <w:rPr>
          <w:rFonts w:ascii="宋体" w:hAnsi="宋体"/>
          <w:color w:val="auto"/>
          <w:sz w:val="32"/>
          <w:szCs w:val="32"/>
          <w:highlight w:val="none"/>
        </w:rPr>
      </w:pPr>
      <w:r>
        <w:rPr>
          <w:rFonts w:hint="eastAsia" w:ascii="宋体" w:hAnsi="宋体"/>
          <w:color w:val="auto"/>
          <w:sz w:val="32"/>
          <w:szCs w:val="32"/>
          <w:highlight w:val="none"/>
        </w:rPr>
        <w:t>资格审查文件</w:t>
      </w:r>
    </w:p>
    <w:p>
      <w:pPr>
        <w:spacing w:line="360" w:lineRule="auto"/>
        <w:jc w:val="center"/>
        <w:rPr>
          <w:rFonts w:ascii="宋体" w:hAnsi="宋体"/>
          <w:color w:val="auto"/>
          <w:szCs w:val="21"/>
          <w:highlight w:val="none"/>
        </w:rPr>
      </w:pPr>
      <w:r>
        <w:rPr>
          <w:rFonts w:hint="eastAsia" w:ascii="宋体" w:hAnsi="宋体"/>
          <w:color w:val="auto"/>
          <w:sz w:val="32"/>
          <w:szCs w:val="32"/>
          <w:highlight w:val="none"/>
        </w:rPr>
        <w:t>（正本、副本）封面</w:t>
      </w:r>
    </w:p>
    <w:p>
      <w:pPr>
        <w:spacing w:line="360" w:lineRule="auto"/>
        <w:rPr>
          <w:rFonts w:ascii="宋体" w:hAnsi="宋体"/>
          <w:color w:val="auto"/>
          <w:sz w:val="24"/>
          <w:highlight w:val="none"/>
        </w:rPr>
      </w:pPr>
    </w:p>
    <w:p>
      <w:pPr>
        <w:rPr>
          <w:color w:val="auto"/>
          <w:highlight w:val="none"/>
        </w:rPr>
      </w:pPr>
    </w:p>
    <w:p>
      <w:pPr>
        <w:spacing w:line="360" w:lineRule="auto"/>
        <w:ind w:firstLine="960" w:firstLineChars="400"/>
        <w:rPr>
          <w:rFonts w:ascii="宋体" w:hAnsi="宋体"/>
          <w:color w:val="auto"/>
          <w:sz w:val="24"/>
          <w:highlight w:val="none"/>
          <w:u w:val="single"/>
        </w:rPr>
      </w:pPr>
      <w:r>
        <w:rPr>
          <w:rFonts w:hint="eastAsia" w:ascii="宋体" w:hAnsi="宋体"/>
          <w:color w:val="auto"/>
          <w:sz w:val="24"/>
          <w:highlight w:val="none"/>
        </w:rPr>
        <w:t>招标人：</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rPr>
      </w:pPr>
    </w:p>
    <w:p>
      <w:pPr>
        <w:rPr>
          <w:rFonts w:ascii="宋体" w:hAnsi="宋体"/>
          <w:color w:val="auto"/>
          <w:highlight w:val="none"/>
        </w:rPr>
      </w:pPr>
    </w:p>
    <w:p>
      <w:pPr>
        <w:spacing w:line="360" w:lineRule="auto"/>
        <w:ind w:firstLine="960" w:firstLineChars="400"/>
        <w:rPr>
          <w:rFonts w:ascii="宋体" w:hAnsi="宋体"/>
          <w:color w:val="auto"/>
          <w:sz w:val="24"/>
          <w:szCs w:val="24"/>
          <w:highlight w:val="none"/>
          <w:u w:val="singl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p>
    <w:p>
      <w:pPr>
        <w:rPr>
          <w:rFonts w:ascii="宋体" w:hAnsi="宋体"/>
          <w:color w:val="auto"/>
          <w:highlight w:val="none"/>
        </w:rPr>
      </w:pPr>
    </w:p>
    <w:p>
      <w:pPr>
        <w:rPr>
          <w:rFonts w:ascii="宋体" w:hAnsi="宋体"/>
          <w:color w:val="auto"/>
          <w:highlight w:val="none"/>
        </w:rPr>
      </w:pPr>
    </w:p>
    <w:p>
      <w:pPr>
        <w:spacing w:line="360" w:lineRule="auto"/>
        <w:ind w:firstLine="960" w:firstLineChars="400"/>
        <w:rPr>
          <w:rFonts w:ascii="宋体" w:hAnsi="宋体"/>
          <w:color w:val="auto"/>
          <w:sz w:val="24"/>
          <w:highlight w:val="none"/>
          <w:u w:val="singl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szCs w:val="24"/>
          <w:highlight w:val="none"/>
          <w:u w:val="single"/>
        </w:rPr>
        <w:t>（盖</w:t>
      </w:r>
      <w:r>
        <w:rPr>
          <w:rFonts w:hint="eastAsia" w:ascii="宋体" w:hAnsi="宋体"/>
          <w:color w:val="auto"/>
          <w:sz w:val="24"/>
          <w:szCs w:val="24"/>
          <w:highlight w:val="none"/>
          <w:u w:val="single"/>
          <w:lang w:val="en-US" w:eastAsia="zh-CN"/>
        </w:rPr>
        <w:t>投标人</w:t>
      </w:r>
      <w:r>
        <w:rPr>
          <w:rFonts w:hint="eastAsia" w:ascii="宋体" w:hAnsi="宋体"/>
          <w:color w:val="auto"/>
          <w:sz w:val="24"/>
          <w:szCs w:val="24"/>
          <w:highlight w:val="none"/>
          <w:u w:val="single"/>
        </w:rPr>
        <w:t>单位公章）</w:t>
      </w:r>
    </w:p>
    <w:p>
      <w:pPr>
        <w:spacing w:line="360" w:lineRule="auto"/>
        <w:rPr>
          <w:rFonts w:ascii="宋体" w:hAnsi="宋体"/>
          <w:color w:val="auto"/>
          <w:sz w:val="24"/>
          <w:highlight w:val="none"/>
          <w:u w:val="single"/>
        </w:rPr>
      </w:pPr>
    </w:p>
    <w:p>
      <w:pPr>
        <w:spacing w:line="360" w:lineRule="auto"/>
        <w:rPr>
          <w:rFonts w:ascii="宋体" w:hAnsi="宋体"/>
          <w:color w:val="auto"/>
          <w:sz w:val="24"/>
          <w:highlight w:val="none"/>
          <w:u w:val="single"/>
        </w:rPr>
      </w:pPr>
    </w:p>
    <w:p>
      <w:pPr>
        <w:spacing w:line="360" w:lineRule="auto"/>
        <w:ind w:firstLine="960" w:firstLineChars="400"/>
        <w:rPr>
          <w:rFonts w:ascii="宋体" w:hAnsi="宋体"/>
          <w:color w:val="auto"/>
          <w:sz w:val="24"/>
          <w:highlight w:val="none"/>
          <w:u w:val="singl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（签字或盖章）</w:t>
      </w:r>
    </w:p>
    <w:p>
      <w:pPr>
        <w:spacing w:line="360" w:lineRule="auto"/>
        <w:rPr>
          <w:rFonts w:ascii="宋体" w:hAnsi="宋体"/>
          <w:color w:val="auto"/>
          <w:sz w:val="24"/>
          <w:highlight w:val="none"/>
          <w:u w:val="single"/>
        </w:rPr>
      </w:pPr>
    </w:p>
    <w:p>
      <w:pPr>
        <w:rPr>
          <w:color w:val="auto"/>
          <w:highlight w:val="none"/>
        </w:rPr>
      </w:pPr>
    </w:p>
    <w:p>
      <w:pPr>
        <w:spacing w:line="360" w:lineRule="auto"/>
        <w:ind w:firstLine="960" w:firstLineChars="400"/>
        <w:rPr>
          <w:rFonts w:hint="eastAsia" w:ascii="宋体" w:hAnsi="宋体"/>
          <w:color w:val="auto"/>
          <w:sz w:val="24"/>
          <w:highlight w:val="none"/>
        </w:rPr>
      </w:pPr>
      <w:r>
        <w:rPr>
          <w:rFonts w:hint="eastAsia" w:ascii="宋体" w:hAnsi="宋体"/>
          <w:color w:val="auto"/>
          <w:sz w:val="24"/>
          <w:highlight w:val="none"/>
        </w:rPr>
        <w:t>日期：  年  月   日</w:t>
      </w:r>
    </w:p>
    <w:p>
      <w:pPr>
        <w:pStyle w:val="25"/>
        <w:rPr>
          <w:rFonts w:hint="eastAsia" w:ascii="宋体" w:hAnsi="宋体"/>
          <w:color w:val="auto"/>
          <w:sz w:val="24"/>
          <w:highlight w:val="none"/>
        </w:rPr>
      </w:pPr>
    </w:p>
    <w:p>
      <w:pPr>
        <w:rPr>
          <w:rFonts w:hint="eastAsia"/>
          <w:color w:val="auto"/>
          <w:highlight w:val="none"/>
        </w:rPr>
      </w:pPr>
    </w:p>
    <w:p>
      <w:pPr>
        <w:spacing w:line="360" w:lineRule="auto"/>
        <w:ind w:firstLine="602" w:firstLineChars="300"/>
        <w:rPr>
          <w:rFonts w:hint="eastAsia" w:ascii="宋体" w:hAnsi="宋体"/>
          <w:b/>
          <w:color w:val="auto"/>
          <w:szCs w:val="21"/>
          <w:highlight w:val="none"/>
          <w:lang w:bidi="ar"/>
        </w:rPr>
      </w:pPr>
      <w:r>
        <w:rPr>
          <w:rFonts w:hint="eastAsia" w:ascii="宋体" w:hAnsi="宋体"/>
          <w:b/>
          <w:color w:val="auto"/>
          <w:szCs w:val="21"/>
          <w:highlight w:val="none"/>
          <w:lang w:bidi="ar"/>
        </w:rPr>
        <w:t>注：若以联合体形式投标的，允许只盖联合体牵头单位的章。</w:t>
      </w:r>
    </w:p>
    <w:p>
      <w:pPr>
        <w:rPr>
          <w:rFonts w:hint="eastAsia" w:ascii="宋体" w:hAnsi="宋体"/>
          <w:b/>
          <w:color w:val="auto"/>
          <w:szCs w:val="21"/>
          <w:highlight w:val="none"/>
          <w:lang w:bidi="ar"/>
        </w:rPr>
      </w:pPr>
      <w:r>
        <w:rPr>
          <w:rFonts w:hint="eastAsia" w:ascii="宋体" w:hAnsi="宋体"/>
          <w:b/>
          <w:color w:val="auto"/>
          <w:szCs w:val="21"/>
          <w:highlight w:val="none"/>
          <w:lang w:bidi="ar"/>
        </w:rPr>
        <w:br w:type="page"/>
      </w:r>
    </w:p>
    <w:p>
      <w:pPr>
        <w:rPr>
          <w:color w:val="auto"/>
          <w:highlight w:val="none"/>
        </w:rPr>
      </w:pPr>
    </w:p>
    <w:p>
      <w:pPr>
        <w:jc w:val="center"/>
        <w:rPr>
          <w:b/>
          <w:bCs/>
          <w:color w:val="auto"/>
          <w:sz w:val="32"/>
          <w:szCs w:val="32"/>
          <w:highlight w:val="none"/>
        </w:rPr>
      </w:pPr>
      <w:r>
        <w:rPr>
          <w:rFonts w:hint="eastAsia"/>
          <w:b/>
          <w:bCs/>
          <w:color w:val="auto"/>
          <w:sz w:val="32"/>
          <w:szCs w:val="32"/>
          <w:highlight w:val="none"/>
        </w:rPr>
        <w:t>目录</w:t>
      </w:r>
    </w:p>
    <w:p>
      <w:pPr>
        <w:spacing w:line="540" w:lineRule="exact"/>
        <w:ind w:firstLine="480" w:firstLineChars="200"/>
        <w:rPr>
          <w:rFonts w:ascii="宋体" w:hAnsi="宋体"/>
          <w:color w:val="auto"/>
          <w:kern w:val="2"/>
          <w:sz w:val="24"/>
          <w:szCs w:val="24"/>
          <w:highlight w:val="none"/>
        </w:rPr>
      </w:pPr>
    </w:p>
    <w:p>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①投标人基本情况表（联合体投标的，指联合体各方）；</w:t>
      </w:r>
    </w:p>
    <w:p>
      <w:pPr>
        <w:spacing w:line="360" w:lineRule="auto"/>
        <w:ind w:firstLine="480" w:firstLineChars="200"/>
        <w:rPr>
          <w:rFonts w:hint="eastAsia" w:hAnsi="宋体" w:eastAsia="宋体"/>
          <w:color w:val="auto"/>
          <w:sz w:val="24"/>
          <w:szCs w:val="24"/>
          <w:highlight w:val="none"/>
          <w:lang w:val="en-US" w:eastAsia="zh-CN"/>
        </w:rPr>
      </w:pPr>
      <w:r>
        <w:rPr>
          <w:rFonts w:hint="eastAsia" w:ascii="宋体" w:hAnsi="宋体" w:eastAsia="宋体" w:cs="Times New Roman"/>
          <w:color w:val="auto"/>
          <w:sz w:val="24"/>
          <w:szCs w:val="24"/>
          <w:highlight w:val="none"/>
          <w:lang w:eastAsia="zh-CN"/>
        </w:rPr>
        <w:t>②</w:t>
      </w:r>
      <w:r>
        <w:rPr>
          <w:rFonts w:hint="eastAsia" w:hAnsi="宋体" w:eastAsia="宋体"/>
          <w:color w:val="auto"/>
          <w:sz w:val="24"/>
          <w:szCs w:val="24"/>
          <w:highlight w:val="none"/>
          <w:lang w:val="en-US" w:eastAsia="zh-CN"/>
        </w:rPr>
        <w:t>投标承诺书；</w:t>
      </w:r>
    </w:p>
    <w:p>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③</w:t>
      </w:r>
      <w:r>
        <w:rPr>
          <w:rFonts w:hint="eastAsia" w:ascii="宋体" w:hAnsi="宋体" w:eastAsia="宋体" w:cs="Times New Roman"/>
          <w:color w:val="auto"/>
          <w:sz w:val="24"/>
          <w:szCs w:val="24"/>
          <w:highlight w:val="none"/>
          <w:lang w:val="en-US" w:eastAsia="zh-CN"/>
        </w:rPr>
        <w:t>法定代表人身份证明及</w:t>
      </w:r>
      <w:r>
        <w:rPr>
          <w:rFonts w:hint="eastAsia" w:ascii="宋体" w:hAnsi="宋体" w:eastAsia="宋体" w:cs="Times New Roman"/>
          <w:color w:val="auto"/>
          <w:sz w:val="24"/>
          <w:szCs w:val="24"/>
          <w:highlight w:val="none"/>
        </w:rPr>
        <w:t>授权委托书</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如有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④</w:t>
      </w:r>
      <w:r>
        <w:rPr>
          <w:rFonts w:hint="eastAsia" w:ascii="宋体" w:hAnsi="宋体"/>
          <w:color w:val="auto"/>
          <w:sz w:val="24"/>
          <w:szCs w:val="24"/>
          <w:highlight w:val="none"/>
        </w:rPr>
        <w:t>项目负责人简历表</w:t>
      </w:r>
      <w:r>
        <w:rPr>
          <w:rFonts w:hint="eastAsia" w:ascii="宋体" w:hAnsi="宋体"/>
          <w:color w:val="auto"/>
          <w:sz w:val="24"/>
          <w:szCs w:val="24"/>
          <w:highlight w:val="none"/>
          <w:lang w:val="en-US" w:eastAsia="zh-CN"/>
        </w:rPr>
        <w:t>及</w:t>
      </w:r>
      <w:r>
        <w:rPr>
          <w:rFonts w:ascii="宋体" w:hAnsi="宋体"/>
          <w:color w:val="auto"/>
          <w:sz w:val="24"/>
          <w:szCs w:val="24"/>
          <w:highlight w:val="none"/>
        </w:rPr>
        <w:t>项目负责人</w:t>
      </w:r>
      <w:r>
        <w:rPr>
          <w:rFonts w:hint="eastAsia" w:ascii="宋体" w:hAnsi="宋体"/>
          <w:color w:val="auto"/>
          <w:sz w:val="24"/>
          <w:szCs w:val="24"/>
          <w:highlight w:val="none"/>
        </w:rPr>
        <w:t>相关</w:t>
      </w:r>
      <w:r>
        <w:rPr>
          <w:rFonts w:ascii="宋体" w:hAnsi="宋体"/>
          <w:color w:val="auto"/>
          <w:sz w:val="24"/>
          <w:szCs w:val="24"/>
          <w:highlight w:val="none"/>
        </w:rPr>
        <w:t>证书</w:t>
      </w:r>
      <w:r>
        <w:rPr>
          <w:rFonts w:hint="eastAsia" w:ascii="宋体" w:hAnsi="宋体"/>
          <w:color w:val="auto"/>
          <w:sz w:val="24"/>
          <w:szCs w:val="24"/>
          <w:highlight w:val="none"/>
          <w:lang w:val="en-US" w:eastAsia="zh-CN"/>
        </w:rPr>
        <w:t>复制件</w:t>
      </w:r>
      <w:r>
        <w:rPr>
          <w:rFonts w:hint="eastAsia" w:ascii="宋体" w:hAnsi="宋体"/>
          <w:color w:val="auto"/>
          <w:sz w:val="24"/>
          <w:szCs w:val="24"/>
          <w:highlight w:val="none"/>
        </w:rPr>
        <w:t>及个人养老保险缴纳证明</w:t>
      </w:r>
      <w:r>
        <w:rPr>
          <w:rFonts w:ascii="宋体" w:hAnsi="宋体"/>
          <w:color w:val="auto"/>
          <w:sz w:val="24"/>
          <w:szCs w:val="24"/>
          <w:highlight w:val="none"/>
        </w:rPr>
        <w:t>；</w:t>
      </w:r>
    </w:p>
    <w:p>
      <w:pPr>
        <w:pStyle w:val="14"/>
        <w:spacing w:line="360" w:lineRule="auto"/>
        <w:ind w:right="-328" w:rightChars="-164" w:firstLine="480" w:firstLineChars="200"/>
        <w:rPr>
          <w:rFonts w:hint="eastAsia" w:hAnsi="宋体" w:eastAsia="宋体"/>
          <w:color w:val="auto"/>
          <w:sz w:val="24"/>
          <w:szCs w:val="24"/>
          <w:highlight w:val="none"/>
          <w:lang w:eastAsia="zh-CN"/>
        </w:rPr>
      </w:pPr>
      <w:r>
        <w:rPr>
          <w:rFonts w:hint="eastAsia" w:hAnsi="宋体"/>
          <w:color w:val="auto"/>
          <w:sz w:val="24"/>
          <w:szCs w:val="24"/>
          <w:highlight w:val="none"/>
        </w:rPr>
        <w:t>⑤</w:t>
      </w:r>
      <w:r>
        <w:rPr>
          <w:rFonts w:hint="eastAsia" w:hAnsi="宋体" w:cs="宋体"/>
          <w:color w:val="auto"/>
          <w:sz w:val="24"/>
          <w:szCs w:val="24"/>
          <w:highlight w:val="none"/>
          <w:lang w:val="en-US" w:eastAsia="zh-CN"/>
        </w:rPr>
        <w:t>项目负责人的类似项目业绩（</w:t>
      </w:r>
      <w:r>
        <w:rPr>
          <w:rFonts w:hint="eastAsia" w:ascii="宋体" w:hAnsi="宋体"/>
          <w:color w:val="auto"/>
          <w:sz w:val="24"/>
          <w:szCs w:val="24"/>
          <w:highlight w:val="none"/>
        </w:rPr>
        <w:t>有效证明材料</w:t>
      </w:r>
      <w:r>
        <w:rPr>
          <w:rFonts w:hint="eastAsia" w:hAnsi="宋体"/>
          <w:color w:val="auto"/>
          <w:sz w:val="24"/>
          <w:szCs w:val="24"/>
          <w:highlight w:val="none"/>
          <w:lang w:val="en-US" w:eastAsia="zh-CN"/>
        </w:rPr>
        <w:t>同招标公告中资格审查要求业绩证明材料</w:t>
      </w:r>
      <w:r>
        <w:rPr>
          <w:rFonts w:hint="eastAsia" w:hAnsi="宋体" w:cs="宋体"/>
          <w:color w:val="auto"/>
          <w:sz w:val="24"/>
          <w:szCs w:val="24"/>
          <w:highlight w:val="none"/>
        </w:rPr>
        <w:t>】</w:t>
      </w:r>
      <w:r>
        <w:rPr>
          <w:rFonts w:hint="eastAsia" w:hAnsi="宋体" w:cs="宋体"/>
          <w:color w:val="auto"/>
          <w:sz w:val="24"/>
          <w:szCs w:val="24"/>
          <w:highlight w:val="none"/>
          <w:lang w:eastAsia="zh-CN"/>
        </w:rPr>
        <w:t>。</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⑥拟派驻本项目人员一览表；</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⑦</w:t>
      </w:r>
      <w:r>
        <w:rPr>
          <w:rFonts w:ascii="宋体" w:hAnsi="宋体"/>
          <w:color w:val="auto"/>
          <w:sz w:val="24"/>
          <w:szCs w:val="24"/>
          <w:highlight w:val="none"/>
        </w:rPr>
        <w:t>其他基本配备人员相关证明材料</w:t>
      </w:r>
      <w:r>
        <w:rPr>
          <w:rFonts w:hint="eastAsia" w:ascii="宋体" w:hAnsi="宋体"/>
          <w:color w:val="auto"/>
          <w:sz w:val="24"/>
          <w:szCs w:val="24"/>
          <w:highlight w:val="none"/>
          <w:lang w:eastAsia="zh-CN"/>
        </w:rPr>
        <w:t>（</w:t>
      </w:r>
      <w:r>
        <w:rPr>
          <w:rFonts w:hint="eastAsia" w:ascii="宋体" w:hAnsi="宋体" w:eastAsia="宋体" w:cs="Times New Roman"/>
          <w:color w:val="auto"/>
          <w:kern w:val="2"/>
          <w:sz w:val="24"/>
          <w:szCs w:val="24"/>
          <w:highlight w:val="none"/>
        </w:rPr>
        <w:t>如注册证书、职称证书、聘用合同、个人养老保险缴纳证明等）</w:t>
      </w:r>
      <w:r>
        <w:rPr>
          <w:rFonts w:hint="eastAsia" w:ascii="宋体" w:hAnsi="宋体"/>
          <w:color w:val="auto"/>
          <w:sz w:val="24"/>
          <w:szCs w:val="24"/>
          <w:highlight w:val="none"/>
          <w:lang w:eastAsia="zh-CN"/>
        </w:rPr>
        <w:t>，</w:t>
      </w:r>
      <w:r>
        <w:rPr>
          <w:rFonts w:ascii="宋体" w:hAnsi="宋体"/>
          <w:color w:val="auto"/>
          <w:sz w:val="24"/>
          <w:szCs w:val="24"/>
          <w:highlight w:val="none"/>
        </w:rPr>
        <w:t>其他基本配备人员</w:t>
      </w:r>
      <w:r>
        <w:rPr>
          <w:rFonts w:hint="eastAsia" w:ascii="Times New Roman" w:hAnsi="宋体" w:eastAsia="宋体" w:cs="宋体"/>
          <w:color w:val="auto"/>
          <w:sz w:val="24"/>
          <w:szCs w:val="24"/>
          <w:highlight w:val="none"/>
        </w:rPr>
        <w:t>须为投标企业在职职工（在职职工不包括离、退休返聘人员），</w:t>
      </w:r>
      <w:r>
        <w:rPr>
          <w:rFonts w:hint="eastAsia" w:ascii="Times New Roman" w:hAnsi="宋体" w:eastAsia="宋体" w:cs="宋体"/>
          <w:color w:val="auto"/>
          <w:sz w:val="24"/>
          <w:szCs w:val="24"/>
          <w:highlight w:val="none"/>
          <w:lang w:val="en-US" w:eastAsia="zh-CN"/>
        </w:rPr>
        <w:t>并</w:t>
      </w:r>
      <w:r>
        <w:rPr>
          <w:rFonts w:hint="eastAsia" w:ascii="Times New Roman" w:hAnsi="宋体" w:eastAsia="宋体" w:cs="宋体"/>
          <w:color w:val="auto"/>
          <w:sz w:val="24"/>
          <w:szCs w:val="24"/>
          <w:highlight w:val="none"/>
        </w:rPr>
        <w:t>提供缴费期限包含2023年0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月投标人所属社保机构出具的个人养老保险缴纳清单或证明，以到账为准（除分公司外，缴纳单位和投标单位名称必须一致，并加盖社保缴费专用章或电子专用章）；若为事业编制的，以提供缴费期限包含2023年0</w:t>
      </w:r>
      <w:r>
        <w:rPr>
          <w:rFonts w:hint="eastAsia" w:hAnsi="宋体" w:cs="宋体"/>
          <w:color w:val="auto"/>
          <w:sz w:val="24"/>
          <w:szCs w:val="24"/>
          <w:highlight w:val="none"/>
          <w:lang w:val="en-US" w:eastAsia="zh-CN"/>
        </w:rPr>
        <w:t>7</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8</w:t>
      </w:r>
      <w:r>
        <w:rPr>
          <w:rFonts w:hint="eastAsia" w:ascii="Times New Roman" w:hAnsi="宋体" w:eastAsia="宋体" w:cs="宋体"/>
          <w:color w:val="auto"/>
          <w:sz w:val="24"/>
          <w:szCs w:val="24"/>
          <w:highlight w:val="none"/>
        </w:rPr>
        <w:t>月、2023年0</w:t>
      </w:r>
      <w:r>
        <w:rPr>
          <w:rFonts w:hint="eastAsia" w:hAnsi="宋体" w:cs="宋体"/>
          <w:color w:val="auto"/>
          <w:sz w:val="24"/>
          <w:szCs w:val="24"/>
          <w:highlight w:val="none"/>
          <w:lang w:val="en-US" w:eastAsia="zh-CN"/>
        </w:rPr>
        <w:t>9</w:t>
      </w:r>
      <w:r>
        <w:rPr>
          <w:rFonts w:hint="eastAsia" w:ascii="Times New Roman" w:hAnsi="宋体" w:eastAsia="宋体" w:cs="宋体"/>
          <w:color w:val="auto"/>
          <w:sz w:val="24"/>
          <w:szCs w:val="24"/>
          <w:highlight w:val="none"/>
        </w:rPr>
        <w:t>月由人事代理中心出具的个人养老保险缴纳清单或证明（需加盖人事代理中心证明专用章【或电子专用章】）。</w:t>
      </w:r>
      <w:r>
        <w:rPr>
          <w:rFonts w:hint="eastAsia" w:ascii="宋体" w:hAnsi="宋体" w:eastAsia="宋体" w:cs="宋体"/>
          <w:color w:val="auto"/>
          <w:sz w:val="24"/>
          <w:szCs w:val="24"/>
          <w:highlight w:val="none"/>
          <w:lang w:val="en-US" w:eastAsia="zh-CN"/>
        </w:rPr>
        <w:t>项目管理人员配套其它协调人员无须提供社保。</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⑧</w:t>
      </w:r>
      <w:r>
        <w:rPr>
          <w:rFonts w:ascii="宋体" w:hAnsi="宋体"/>
          <w:color w:val="auto"/>
          <w:sz w:val="24"/>
          <w:szCs w:val="24"/>
          <w:highlight w:val="none"/>
        </w:rPr>
        <w:t>投标保证金缴纳证明；</w:t>
      </w:r>
    </w:p>
    <w:p>
      <w:pPr>
        <w:spacing w:line="360" w:lineRule="auto"/>
        <w:ind w:firstLine="480" w:firstLineChars="200"/>
        <w:rPr>
          <w:rFonts w:ascii="宋体" w:hAnsi="宋体" w:cs="Arial"/>
          <w:bCs/>
          <w:color w:val="auto"/>
          <w:sz w:val="24"/>
          <w:highlight w:val="none"/>
        </w:rPr>
      </w:pPr>
      <w:r>
        <w:rPr>
          <w:rFonts w:hint="eastAsia" w:ascii="宋体" w:hAnsi="宋体"/>
          <w:color w:val="auto"/>
          <w:sz w:val="24"/>
          <w:szCs w:val="24"/>
          <w:highlight w:val="none"/>
        </w:rPr>
        <w:t>⑨投标人（</w:t>
      </w:r>
      <w:r>
        <w:rPr>
          <w:rFonts w:hint="eastAsia" w:ascii="宋体" w:hAnsi="宋体" w:cs="Arial"/>
          <w:bCs/>
          <w:color w:val="auto"/>
          <w:sz w:val="24"/>
          <w:highlight w:val="none"/>
        </w:rPr>
        <w:t>含联合体成员</w:t>
      </w:r>
      <w:r>
        <w:rPr>
          <w:rFonts w:hint="eastAsia" w:ascii="宋体" w:hAnsi="宋体"/>
          <w:color w:val="auto"/>
          <w:sz w:val="24"/>
          <w:szCs w:val="24"/>
          <w:highlight w:val="none"/>
        </w:rPr>
        <w:t>）及拟派</w:t>
      </w: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负</w:t>
      </w:r>
      <w:r>
        <w:rPr>
          <w:rFonts w:hint="eastAsia" w:ascii="宋体" w:hAnsi="宋体" w:cs="Arial"/>
          <w:bCs/>
          <w:color w:val="auto"/>
          <w:sz w:val="24"/>
          <w:highlight w:val="none"/>
        </w:rPr>
        <w:t>责人</w:t>
      </w:r>
      <w:r>
        <w:rPr>
          <w:rFonts w:hint="eastAsia" w:ascii="宋体" w:hAnsi="宋体" w:cs="Arial"/>
          <w:bCs/>
          <w:color w:val="auto"/>
          <w:sz w:val="24"/>
          <w:highlight w:val="none"/>
          <w:lang w:val="en-US" w:eastAsia="zh-CN"/>
        </w:rPr>
        <w:t>及分项负责人</w:t>
      </w:r>
      <w:r>
        <w:rPr>
          <w:rFonts w:hint="eastAsia" w:ascii="宋体" w:hAnsi="宋体" w:cs="Arial"/>
          <w:bCs/>
          <w:color w:val="auto"/>
          <w:sz w:val="24"/>
          <w:highlight w:val="none"/>
        </w:rPr>
        <w:t>自201</w:t>
      </w:r>
      <w:r>
        <w:rPr>
          <w:rFonts w:ascii="宋体" w:hAnsi="宋体" w:cs="Arial"/>
          <w:bCs/>
          <w:color w:val="auto"/>
          <w:sz w:val="24"/>
          <w:highlight w:val="none"/>
        </w:rPr>
        <w:t>8</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1</w:t>
      </w:r>
      <w:r>
        <w:rPr>
          <w:rFonts w:hint="eastAsia" w:ascii="宋体" w:hAnsi="宋体" w:cs="Arial"/>
          <w:bCs/>
          <w:color w:val="auto"/>
          <w:sz w:val="24"/>
          <w:highlight w:val="none"/>
        </w:rPr>
        <w:t>月1日以来无行贿犯罪记录承诺书；</w:t>
      </w:r>
    </w:p>
    <w:p>
      <w:pPr>
        <w:spacing w:line="360" w:lineRule="auto"/>
        <w:ind w:firstLine="480" w:firstLineChars="200"/>
        <w:rPr>
          <w:rFonts w:ascii="宋体" w:hAnsi="宋体"/>
          <w:color w:val="auto"/>
          <w:sz w:val="24"/>
          <w:szCs w:val="24"/>
          <w:highlight w:val="none"/>
        </w:rPr>
      </w:pPr>
      <w:r>
        <w:rPr>
          <w:rFonts w:hint="eastAsia" w:ascii="宋体" w:hAnsi="宋体" w:cs="Arial"/>
          <w:bCs/>
          <w:color w:val="auto"/>
          <w:sz w:val="24"/>
          <w:highlight w:val="none"/>
        </w:rPr>
        <w:t>⑩投标人（含联合体成员）及拟派</w:t>
      </w:r>
      <w:r>
        <w:rPr>
          <w:rFonts w:hint="eastAsia" w:ascii="宋体" w:hAnsi="宋体" w:cs="Arial"/>
          <w:bCs/>
          <w:color w:val="auto"/>
          <w:sz w:val="24"/>
          <w:highlight w:val="none"/>
          <w:lang w:val="en-US" w:eastAsia="zh-CN"/>
        </w:rPr>
        <w:t>项目</w:t>
      </w:r>
      <w:r>
        <w:rPr>
          <w:rFonts w:hint="eastAsia" w:ascii="宋体" w:hAnsi="宋体" w:cs="Arial"/>
          <w:bCs/>
          <w:color w:val="auto"/>
          <w:sz w:val="24"/>
          <w:highlight w:val="none"/>
        </w:rPr>
        <w:t>负责人未被限</w:t>
      </w:r>
      <w:r>
        <w:rPr>
          <w:rFonts w:hint="eastAsia" w:ascii="宋体" w:hAnsi="宋体"/>
          <w:color w:val="auto"/>
          <w:sz w:val="24"/>
          <w:szCs w:val="24"/>
          <w:highlight w:val="none"/>
        </w:rPr>
        <w:t>制投标承诺书；</w:t>
      </w:r>
    </w:p>
    <w:p>
      <w:pPr>
        <w:spacing w:line="360" w:lineRule="auto"/>
        <w:ind w:firstLine="480" w:firstLineChars="200"/>
        <w:rPr>
          <w:color w:val="auto"/>
          <w:highlight w:val="none"/>
        </w:rPr>
      </w:pPr>
      <w:r>
        <w:rPr>
          <w:rFonts w:hint="eastAsia" w:ascii="宋体" w:hAnsi="宋体"/>
          <w:color w:val="auto"/>
          <w:kern w:val="2"/>
          <w:sz w:val="24"/>
          <w:szCs w:val="24"/>
          <w:highlight w:val="none"/>
        </w:rPr>
        <w:t>⑪联合体协议书（联合体投标的提供，格式详见附件）；</w:t>
      </w:r>
    </w:p>
    <w:p>
      <w:pPr>
        <w:spacing w:line="360" w:lineRule="auto"/>
        <w:ind w:firstLine="480" w:firstLineChars="200"/>
        <w:rPr>
          <w:color w:val="auto"/>
          <w:sz w:val="24"/>
          <w:szCs w:val="24"/>
          <w:highlight w:val="none"/>
        </w:rPr>
      </w:pPr>
      <w:r>
        <w:rPr>
          <w:rFonts w:hint="eastAsia"/>
          <w:color w:val="auto"/>
          <w:sz w:val="24"/>
          <w:szCs w:val="24"/>
          <w:highlight w:val="none"/>
        </w:rPr>
        <w:t>⑫</w:t>
      </w:r>
      <w:r>
        <w:rPr>
          <w:color w:val="auto"/>
          <w:sz w:val="24"/>
          <w:szCs w:val="24"/>
          <w:highlight w:val="none"/>
        </w:rPr>
        <w:t>其他需补充的资料。</w:t>
      </w:r>
    </w:p>
    <w:p>
      <w:pPr>
        <w:spacing w:line="360" w:lineRule="auto"/>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注：投标人营业执照、资质证书、基本账户开户证明、投标保证金缴纳证明等目录中其他材料的</w:t>
      </w:r>
      <w:r>
        <w:rPr>
          <w:rFonts w:hint="eastAsia" w:ascii="宋体" w:hAnsi="宋体" w:eastAsia="宋体" w:cs="Times New Roman"/>
          <w:color w:val="auto"/>
          <w:kern w:val="2"/>
          <w:sz w:val="24"/>
          <w:szCs w:val="24"/>
          <w:highlight w:val="none"/>
          <w:lang w:val="en-US" w:eastAsia="zh-CN"/>
        </w:rPr>
        <w:t>复制件</w:t>
      </w:r>
      <w:r>
        <w:rPr>
          <w:rFonts w:hint="eastAsia" w:ascii="宋体" w:hAnsi="宋体" w:eastAsia="宋体" w:cs="Times New Roman"/>
          <w:color w:val="auto"/>
          <w:kern w:val="2"/>
          <w:sz w:val="24"/>
          <w:szCs w:val="24"/>
          <w:highlight w:val="none"/>
        </w:rPr>
        <w:t>均须加盖投标人公章。</w:t>
      </w:r>
    </w:p>
    <w:p>
      <w:pPr>
        <w:pStyle w:val="25"/>
        <w:rPr>
          <w:color w:val="auto"/>
          <w:highlight w:val="none"/>
        </w:rPr>
      </w:pPr>
    </w:p>
    <w:p>
      <w:pPr>
        <w:pStyle w:val="21"/>
        <w:spacing w:line="400" w:lineRule="exact"/>
        <w:rPr>
          <w:rFonts w:hAnsi="仿宋_GB2312"/>
          <w:color w:val="auto"/>
          <w:sz w:val="24"/>
          <w:highlight w:val="none"/>
        </w:rPr>
      </w:pPr>
    </w:p>
    <w:p>
      <w:pPr>
        <w:pStyle w:val="21"/>
        <w:spacing w:line="400" w:lineRule="exact"/>
        <w:rPr>
          <w:rFonts w:hAnsi="仿宋_GB2312"/>
          <w:color w:val="auto"/>
          <w:sz w:val="24"/>
          <w:highlight w:val="none"/>
        </w:rPr>
      </w:pPr>
    </w:p>
    <w:p>
      <w:pPr>
        <w:pStyle w:val="21"/>
        <w:spacing w:line="400" w:lineRule="exact"/>
        <w:rPr>
          <w:rFonts w:hAnsi="仿宋_GB2312"/>
          <w:color w:val="auto"/>
          <w:sz w:val="24"/>
          <w:highlight w:val="none"/>
        </w:rPr>
      </w:pPr>
    </w:p>
    <w:p>
      <w:pPr>
        <w:pStyle w:val="21"/>
        <w:spacing w:line="400" w:lineRule="exact"/>
        <w:ind w:left="0" w:leftChars="0" w:firstLine="0" w:firstLineChars="0"/>
        <w:rPr>
          <w:rFonts w:hAnsi="仿宋_GB2312"/>
          <w:color w:val="auto"/>
          <w:sz w:val="24"/>
          <w:highlight w:val="none"/>
        </w:rPr>
      </w:pPr>
    </w:p>
    <w:p>
      <w:pPr>
        <w:pStyle w:val="21"/>
        <w:spacing w:line="400" w:lineRule="exact"/>
        <w:ind w:left="0" w:leftChars="0" w:firstLine="0" w:firstLineChars="0"/>
        <w:rPr>
          <w:rFonts w:hAnsi="仿宋_GB2312"/>
          <w:color w:val="auto"/>
          <w:sz w:val="24"/>
          <w:highlight w:val="none"/>
        </w:rPr>
      </w:pPr>
    </w:p>
    <w:p>
      <w:pPr>
        <w:pStyle w:val="21"/>
        <w:spacing w:line="400" w:lineRule="exact"/>
        <w:ind w:left="0" w:leftChars="0" w:firstLine="0" w:firstLineChars="0"/>
        <w:rPr>
          <w:rFonts w:hAnsi="仿宋_GB2312"/>
          <w:color w:val="auto"/>
          <w:sz w:val="24"/>
          <w:highlight w:val="none"/>
        </w:rPr>
      </w:pPr>
    </w:p>
    <w:p>
      <w:pPr>
        <w:spacing w:line="540" w:lineRule="exact"/>
        <w:rPr>
          <w:rFonts w:ascii="宋体" w:hAnsi="宋体"/>
          <w:color w:val="auto"/>
          <w:kern w:val="2"/>
          <w:sz w:val="24"/>
          <w:szCs w:val="24"/>
          <w:highlight w:val="none"/>
        </w:rPr>
      </w:pPr>
      <w:r>
        <w:rPr>
          <w:rFonts w:hint="eastAsia" w:ascii="宋体" w:hAnsi="宋体"/>
          <w:color w:val="auto"/>
          <w:kern w:val="2"/>
          <w:sz w:val="24"/>
          <w:szCs w:val="24"/>
          <w:highlight w:val="none"/>
        </w:rPr>
        <w:t>附表：</w:t>
      </w:r>
    </w:p>
    <w:p>
      <w:pPr>
        <w:jc w:val="center"/>
        <w:rPr>
          <w:b/>
          <w:bCs/>
          <w:color w:val="auto"/>
          <w:sz w:val="32"/>
          <w:szCs w:val="32"/>
          <w:highlight w:val="none"/>
        </w:rPr>
      </w:pPr>
      <w:r>
        <w:rPr>
          <w:rFonts w:hint="eastAsia"/>
          <w:b/>
          <w:bCs/>
          <w:color w:val="auto"/>
          <w:sz w:val="32"/>
          <w:szCs w:val="32"/>
          <w:highlight w:val="none"/>
        </w:rPr>
        <w:t>投标人基本情况表</w:t>
      </w:r>
    </w:p>
    <w:p>
      <w:pPr>
        <w:jc w:val="center"/>
        <w:rPr>
          <w:rFonts w:ascii="宋体" w:hAnsi="宋体"/>
          <w:b/>
          <w:bCs/>
          <w:color w:val="auto"/>
          <w:sz w:val="32"/>
          <w:szCs w:val="32"/>
          <w:highlight w:val="none"/>
        </w:rPr>
      </w:pPr>
    </w:p>
    <w:tbl>
      <w:tblPr>
        <w:tblStyle w:val="26"/>
        <w:tblW w:w="9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6"/>
        <w:gridCol w:w="1078"/>
        <w:gridCol w:w="1413"/>
        <w:gridCol w:w="729"/>
        <w:gridCol w:w="524"/>
        <w:gridCol w:w="1255"/>
        <w:gridCol w:w="1078"/>
        <w:gridCol w:w="17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w:t>
            </w:r>
          </w:p>
        </w:tc>
        <w:tc>
          <w:tcPr>
            <w:tcW w:w="7840" w:type="dxa"/>
            <w:gridSpan w:val="7"/>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注册地址</w:t>
            </w:r>
          </w:p>
        </w:tc>
        <w:tc>
          <w:tcPr>
            <w:tcW w:w="3744" w:type="dxa"/>
            <w:gridSpan w:val="4"/>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255"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邮政编码</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restart"/>
            <w:tcBorders>
              <w:top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联系方式</w:t>
            </w:r>
          </w:p>
        </w:tc>
        <w:tc>
          <w:tcPr>
            <w:tcW w:w="107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联系人</w:t>
            </w:r>
          </w:p>
        </w:tc>
        <w:tc>
          <w:tcPr>
            <w:tcW w:w="2666" w:type="dxa"/>
            <w:gridSpan w:val="3"/>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255"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电话</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continue"/>
            <w:tcBorders>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传真</w:t>
            </w:r>
          </w:p>
        </w:tc>
        <w:tc>
          <w:tcPr>
            <w:tcW w:w="2666" w:type="dxa"/>
            <w:gridSpan w:val="3"/>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255"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网址</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w:t>
            </w:r>
          </w:p>
        </w:tc>
        <w:tc>
          <w:tcPr>
            <w:tcW w:w="107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姓名</w:t>
            </w:r>
          </w:p>
        </w:tc>
        <w:tc>
          <w:tcPr>
            <w:tcW w:w="1413"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253"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技术职称</w:t>
            </w:r>
          </w:p>
        </w:tc>
        <w:tc>
          <w:tcPr>
            <w:tcW w:w="1255"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电话</w:t>
            </w:r>
          </w:p>
        </w:tc>
        <w:tc>
          <w:tcPr>
            <w:tcW w:w="1763" w:type="dxa"/>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技术负责人</w:t>
            </w:r>
          </w:p>
        </w:tc>
        <w:tc>
          <w:tcPr>
            <w:tcW w:w="107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姓名</w:t>
            </w:r>
          </w:p>
        </w:tc>
        <w:tc>
          <w:tcPr>
            <w:tcW w:w="1413"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253"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技术职称</w:t>
            </w:r>
          </w:p>
        </w:tc>
        <w:tc>
          <w:tcPr>
            <w:tcW w:w="1255"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电话</w:t>
            </w:r>
          </w:p>
        </w:tc>
        <w:tc>
          <w:tcPr>
            <w:tcW w:w="1763" w:type="dxa"/>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成立时间</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5349" w:type="dxa"/>
            <w:gridSpan w:val="5"/>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restart"/>
            <w:tcBorders>
              <w:top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企业有效资质及等级</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729" w:type="dxa"/>
            <w:vMerge w:val="restart"/>
            <w:tcBorders>
              <w:top w:val="single" w:color="auto" w:sz="4" w:space="0"/>
              <w:left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其</w:t>
            </w:r>
          </w:p>
          <w:p>
            <w:pPr>
              <w:pStyle w:val="15"/>
              <w:spacing w:line="360" w:lineRule="auto"/>
              <w:ind w:left="-100" w:leftChars="-50" w:right="-100" w:rightChars="-50"/>
              <w:jc w:val="center"/>
              <w:rPr>
                <w:rFonts w:ascii="宋体" w:hAnsi="宋体" w:eastAsia="宋体"/>
                <w:color w:val="auto"/>
                <w:sz w:val="24"/>
                <w:szCs w:val="24"/>
                <w:highlight w:val="none"/>
              </w:rPr>
            </w:pPr>
          </w:p>
          <w:p>
            <w:pPr>
              <w:pStyle w:val="15"/>
              <w:spacing w:line="360" w:lineRule="auto"/>
              <w:ind w:left="-100" w:leftChars="-50" w:right="-100" w:rightChars="-50"/>
              <w:jc w:val="center"/>
              <w:rPr>
                <w:rFonts w:ascii="宋体" w:hAnsi="宋体" w:eastAsia="宋体"/>
                <w:color w:val="auto"/>
                <w:sz w:val="24"/>
                <w:szCs w:val="24"/>
                <w:highlight w:val="none"/>
              </w:rPr>
            </w:pPr>
          </w:p>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w:t>
            </w: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高级职称</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continue"/>
            <w:tcBorders>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中级职称</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continue"/>
            <w:tcBorders>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初级职称</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营业执照号</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其他</w:t>
            </w: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注册资金</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c>
          <w:tcPr>
            <w:tcW w:w="2841" w:type="dxa"/>
            <w:gridSpan w:val="2"/>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经营范围</w:t>
            </w:r>
          </w:p>
        </w:tc>
        <w:tc>
          <w:tcPr>
            <w:tcW w:w="7840" w:type="dxa"/>
            <w:gridSpan w:val="7"/>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备注</w:t>
            </w:r>
          </w:p>
        </w:tc>
        <w:tc>
          <w:tcPr>
            <w:tcW w:w="7840" w:type="dxa"/>
            <w:gridSpan w:val="7"/>
            <w:tcBorders>
              <w:top w:val="single" w:color="auto" w:sz="4" w:space="0"/>
              <w:left w:val="single" w:color="auto" w:sz="4" w:space="0"/>
              <w:bottom w:val="single" w:color="auto" w:sz="4" w:space="0"/>
            </w:tcBorders>
            <w:vAlign w:val="center"/>
          </w:tcPr>
          <w:p>
            <w:pPr>
              <w:pStyle w:val="15"/>
              <w:spacing w:line="360" w:lineRule="auto"/>
              <w:ind w:left="-100" w:leftChars="-50" w:right="-100" w:rightChars="-50"/>
              <w:jc w:val="center"/>
              <w:rPr>
                <w:rFonts w:ascii="宋体" w:hAnsi="宋体" w:eastAsia="宋体"/>
                <w:color w:val="auto"/>
                <w:sz w:val="24"/>
                <w:szCs w:val="24"/>
                <w:highlight w:val="none"/>
              </w:rPr>
            </w:pPr>
          </w:p>
        </w:tc>
      </w:tr>
    </w:tbl>
    <w:p>
      <w:pPr>
        <w:spacing w:line="400" w:lineRule="exact"/>
        <w:ind w:firstLine="315" w:firstLineChars="150"/>
        <w:rPr>
          <w:rFonts w:ascii="宋体" w:hAnsi="宋体"/>
          <w:color w:val="auto"/>
          <w:sz w:val="21"/>
          <w:szCs w:val="21"/>
          <w:highlight w:val="none"/>
        </w:rPr>
      </w:pPr>
    </w:p>
    <w:p>
      <w:pPr>
        <w:spacing w:line="400" w:lineRule="exact"/>
        <w:rPr>
          <w:rFonts w:ascii="宋体" w:hAnsi="宋体"/>
          <w:color w:val="auto"/>
          <w:sz w:val="21"/>
          <w:szCs w:val="21"/>
          <w:highlight w:val="none"/>
        </w:rPr>
      </w:pPr>
      <w:r>
        <w:rPr>
          <w:rFonts w:hint="eastAsia" w:ascii="宋体" w:hAnsi="宋体"/>
          <w:color w:val="auto"/>
          <w:sz w:val="21"/>
          <w:szCs w:val="21"/>
          <w:highlight w:val="none"/>
        </w:rPr>
        <w:t>备注：</w:t>
      </w:r>
    </w:p>
    <w:p>
      <w:pPr>
        <w:spacing w:line="400" w:lineRule="exact"/>
        <w:ind w:firstLine="315" w:firstLineChars="15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.在本表后附投标人营业执照、资质证书、基本账户开户证明</w:t>
      </w:r>
      <w:r>
        <w:rPr>
          <w:rFonts w:hint="eastAsia" w:ascii="宋体" w:hAnsi="宋体"/>
          <w:color w:val="auto"/>
          <w:sz w:val="21"/>
          <w:szCs w:val="21"/>
          <w:highlight w:val="none"/>
          <w:lang w:val="en-US" w:eastAsia="zh-CN"/>
        </w:rPr>
        <w:t>（或银行出具的基本账户存款证明或基本存款账户信息）</w:t>
      </w:r>
      <w:r>
        <w:rPr>
          <w:rFonts w:hint="eastAsia" w:ascii="宋体" w:hAnsi="宋体"/>
          <w:color w:val="auto"/>
          <w:sz w:val="21"/>
          <w:szCs w:val="21"/>
          <w:highlight w:val="none"/>
        </w:rPr>
        <w:t>、投标保证金缴纳证明等目录中其他材料（</w:t>
      </w:r>
      <w:r>
        <w:rPr>
          <w:rFonts w:hint="eastAsia" w:ascii="宋体" w:hAnsi="宋体"/>
          <w:color w:val="auto"/>
          <w:sz w:val="21"/>
          <w:szCs w:val="21"/>
          <w:highlight w:val="none"/>
          <w:lang w:val="en-US" w:eastAsia="zh-CN"/>
        </w:rPr>
        <w:t>复制件</w:t>
      </w:r>
      <w:r>
        <w:rPr>
          <w:rFonts w:hint="eastAsia" w:ascii="宋体" w:hAnsi="宋体"/>
          <w:color w:val="auto"/>
          <w:sz w:val="21"/>
          <w:szCs w:val="21"/>
          <w:highlight w:val="none"/>
        </w:rPr>
        <w:t>须加盖投标人公章）。</w:t>
      </w:r>
    </w:p>
    <w:p>
      <w:pPr>
        <w:spacing w:line="400" w:lineRule="exact"/>
        <w:ind w:firstLine="315" w:firstLineChars="150"/>
        <w:rPr>
          <w:rFonts w:hint="eastAsia"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.投标人法人机构发生合法变更、重组或法人名称变更时，应提供相关部门的合法批件或其他相关证明材料来证明其继承性。</w:t>
      </w:r>
    </w:p>
    <w:p>
      <w:pPr>
        <w:pStyle w:val="25"/>
        <w:rPr>
          <w:rFonts w:hint="default" w:eastAsia="宋体"/>
          <w:color w:val="auto"/>
          <w:highlight w:val="none"/>
          <w:lang w:val="en-US" w:eastAsia="zh-CN"/>
        </w:rPr>
      </w:pPr>
      <w:r>
        <w:rPr>
          <w:rFonts w:hint="eastAsia" w:ascii="宋体" w:hAnsi="宋体"/>
          <w:color w:val="auto"/>
          <w:sz w:val="21"/>
          <w:szCs w:val="21"/>
          <w:highlight w:val="none"/>
          <w:lang w:val="en-US" w:eastAsia="zh-CN"/>
        </w:rPr>
        <w:t>3.联合体投标的，联合体各方需单独填写。</w:t>
      </w:r>
    </w:p>
    <w:p>
      <w:pPr>
        <w:tabs>
          <w:tab w:val="left" w:pos="7480"/>
        </w:tabs>
        <w:spacing w:line="360" w:lineRule="auto"/>
        <w:ind w:left="413"/>
        <w:rPr>
          <w:rFonts w:ascii="宋体" w:hAnsi="宋体"/>
          <w:b/>
          <w:bCs/>
          <w:color w:val="auto"/>
          <w:highlight w:val="none"/>
        </w:rPr>
      </w:pPr>
    </w:p>
    <w:p>
      <w:pPr>
        <w:tabs>
          <w:tab w:val="left" w:pos="7480"/>
        </w:tabs>
        <w:spacing w:line="360" w:lineRule="auto"/>
        <w:rPr>
          <w:rFonts w:ascii="宋体" w:hAnsi="宋体"/>
          <w:color w:val="auto"/>
          <w:sz w:val="24"/>
          <w:highlight w:val="none"/>
          <w:u w:val="none"/>
        </w:rPr>
      </w:pPr>
      <w:r>
        <w:rPr>
          <w:rFonts w:hint="eastAsia" w:ascii="宋体" w:hAnsi="宋体"/>
          <w:color w:val="auto"/>
          <w:sz w:val="24"/>
          <w:highlight w:val="none"/>
        </w:rPr>
        <w:t>投标人：</w:t>
      </w:r>
      <w:r>
        <w:rPr>
          <w:rFonts w:ascii="宋体" w:hAnsi="宋体"/>
          <w:color w:val="auto"/>
          <w:sz w:val="24"/>
          <w:highlight w:val="none"/>
          <w:u w:val="single"/>
        </w:rPr>
        <w:t xml:space="preserve">         </w:t>
      </w:r>
      <w:r>
        <w:rPr>
          <w:rFonts w:ascii="宋体" w:hAnsi="宋体"/>
          <w:color w:val="auto"/>
          <w:sz w:val="24"/>
          <w:highlight w:val="none"/>
          <w:u w:val="none"/>
        </w:rPr>
        <w:t>（盖</w:t>
      </w:r>
      <w:r>
        <w:rPr>
          <w:rFonts w:hint="eastAsia" w:ascii="宋体" w:hAnsi="宋体"/>
          <w:color w:val="auto"/>
          <w:sz w:val="24"/>
          <w:highlight w:val="none"/>
          <w:u w:val="none"/>
          <w:lang w:val="en-US" w:eastAsia="zh-CN"/>
        </w:rPr>
        <w:t>单位公</w:t>
      </w:r>
      <w:r>
        <w:rPr>
          <w:rFonts w:ascii="宋体" w:hAnsi="宋体"/>
          <w:color w:val="auto"/>
          <w:sz w:val="24"/>
          <w:highlight w:val="none"/>
          <w:u w:val="none"/>
        </w:rPr>
        <w:t xml:space="preserve">章）         </w:t>
      </w:r>
    </w:p>
    <w:p>
      <w:pPr>
        <w:tabs>
          <w:tab w:val="left" w:pos="7480"/>
        </w:tabs>
        <w:spacing w:line="360" w:lineRule="auto"/>
        <w:rPr>
          <w:rFonts w:ascii="宋体" w:hAnsi="宋体"/>
          <w:color w:val="auto"/>
          <w:sz w:val="24"/>
          <w:highlight w:val="none"/>
        </w:rPr>
      </w:pPr>
      <w:r>
        <w:rPr>
          <w:rFonts w:hint="eastAsia" w:ascii="宋体" w:hAnsi="宋体"/>
          <w:color w:val="auto"/>
          <w:sz w:val="24"/>
          <w:highlight w:val="none"/>
        </w:rPr>
        <w:t>法定代表人：</w:t>
      </w:r>
      <w:r>
        <w:rPr>
          <w:rFonts w:ascii="宋体" w:hAnsi="宋体"/>
          <w:color w:val="auto"/>
          <w:sz w:val="24"/>
          <w:highlight w:val="none"/>
          <w:u w:val="single"/>
        </w:rPr>
        <w:t xml:space="preserve">       （</w:t>
      </w:r>
      <w:r>
        <w:rPr>
          <w:rFonts w:ascii="宋体" w:hAnsi="宋体"/>
          <w:color w:val="auto"/>
          <w:sz w:val="24"/>
          <w:highlight w:val="none"/>
          <w:u w:val="none"/>
        </w:rPr>
        <w:t xml:space="preserve">签字或盖章）  </w:t>
      </w:r>
    </w:p>
    <w:p>
      <w:pPr>
        <w:tabs>
          <w:tab w:val="left" w:pos="7480"/>
        </w:tabs>
        <w:spacing w:line="360" w:lineRule="auto"/>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p>
    <w:p>
      <w:pPr>
        <w:rPr>
          <w:rFonts w:hint="eastAsia" w:ascii="宋体" w:hAnsi="宋体"/>
          <w:color w:val="auto"/>
          <w:sz w:val="24"/>
          <w:highlight w:val="none"/>
        </w:rPr>
      </w:pPr>
      <w:r>
        <w:rPr>
          <w:rFonts w:hint="eastAsia" w:ascii="宋体" w:hAnsi="宋体"/>
          <w:color w:val="auto"/>
          <w:sz w:val="24"/>
          <w:highlight w:val="none"/>
        </w:rPr>
        <w:br w:type="page"/>
      </w:r>
    </w:p>
    <w:p>
      <w:pPr>
        <w:widowControl/>
        <w:jc w:val="center"/>
        <w:rPr>
          <w:color w:val="auto"/>
          <w:sz w:val="36"/>
          <w:szCs w:val="36"/>
          <w:highlight w:val="none"/>
        </w:rPr>
      </w:pPr>
      <w:r>
        <w:rPr>
          <w:rFonts w:hint="eastAsia" w:ascii="宋体" w:hAnsi="宋体"/>
          <w:b/>
          <w:bCs/>
          <w:color w:val="auto"/>
          <w:sz w:val="36"/>
          <w:szCs w:val="36"/>
          <w:highlight w:val="none"/>
        </w:rPr>
        <w:t>投标承诺书</w:t>
      </w:r>
    </w:p>
    <w:p>
      <w:pPr>
        <w:pStyle w:val="14"/>
        <w:spacing w:line="440" w:lineRule="exact"/>
        <w:jc w:val="left"/>
        <w:rPr>
          <w:rFonts w:hAnsi="宋体"/>
          <w:color w:val="auto"/>
          <w:sz w:val="24"/>
          <w:szCs w:val="24"/>
          <w:highlight w:val="none"/>
        </w:rPr>
      </w:pPr>
      <w:r>
        <w:rPr>
          <w:rFonts w:hint="eastAsia" w:hAnsi="宋体"/>
          <w:color w:val="auto"/>
          <w:sz w:val="24"/>
          <w:szCs w:val="24"/>
          <w:highlight w:val="none"/>
          <w:u w:val="single"/>
        </w:rPr>
        <w:t>（招标人名称）</w:t>
      </w:r>
      <w:r>
        <w:rPr>
          <w:rFonts w:hint="eastAsia" w:hAnsi="宋体"/>
          <w:color w:val="auto"/>
          <w:sz w:val="24"/>
          <w:szCs w:val="24"/>
          <w:highlight w:val="none"/>
        </w:rPr>
        <w:t>：</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int="eastAsia"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rPr>
        <w:t>1.承诺投标文件无虚假、伪造的内容。若投标文件中存在虚假、伪造的内容，同意作无效投标处理，投标保证金并不予退还；若中标之后被查实弄虚作假，同意取消中标资格，投标保证金、履约保证金并不予退还；</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rPr>
        <w:t>2.承诺无串通投标行为，若存在与其他投标人的投标文件存在投标文件两处及以上错误一致、内容多处雷同的情况，同意作无效投标处理，并接受有关行政监督部门的调查和处罚；</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rPr>
        <w:t>3.承诺无恶意报价行为，若被认定存在严重哄抬标价或影响合同履行的异常低价竞标行为，同意作无效投标处理，并接受有关行政监督部门的调查和处罚；</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rPr>
        <w:t>4.承诺按照投标文件派驻管理人员及投入机械设备，若存在不到位的情况，同意接受合同约定的处罚。若严重影响合同履约的，同意接受招标人解除合同的要求。</w:t>
      </w:r>
    </w:p>
    <w:p>
      <w:pPr>
        <w:pStyle w:val="14"/>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5.承诺本项目拟派项目负责人在投标截止日无在其他任何在建合同工程上担任项目负责人</w:t>
      </w:r>
      <w:r>
        <w:rPr>
          <w:rFonts w:hint="eastAsia" w:ascii="宋体" w:hAnsi="宋体" w:eastAsia="宋体" w:cs="Times New Roman"/>
          <w:color w:val="auto"/>
          <w:sz w:val="24"/>
          <w:szCs w:val="24"/>
          <w:highlight w:val="none"/>
          <w:lang w:val="en-US" w:eastAsia="zh-CN"/>
        </w:rPr>
        <w:t>【指全过程工程咨询服务项目负责人或项目总监理工程师或施工项目经理或设计施工总承包项目的项目经理或施工负责人】</w:t>
      </w:r>
      <w:r>
        <w:rPr>
          <w:rFonts w:hint="eastAsia" w:hAnsi="宋体"/>
          <w:color w:val="auto"/>
          <w:sz w:val="24"/>
          <w:szCs w:val="24"/>
          <w:highlight w:val="none"/>
        </w:rPr>
        <w:t>的情形。在建合同工程的开始时间为合同工程中标通知书发出日期（不通过招标方式的，开始时间为合同签订日期），结束时间为该合同通过合同验收或合同解除日期。</w:t>
      </w:r>
    </w:p>
    <w:p>
      <w:pPr>
        <w:pStyle w:val="14"/>
        <w:spacing w:line="440" w:lineRule="exact"/>
        <w:ind w:firstLine="480" w:firstLineChars="200"/>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6.承诺本项目</w:t>
      </w:r>
      <w:r>
        <w:rPr>
          <w:rFonts w:hint="eastAsia" w:hAnsi="宋体"/>
          <w:color w:val="auto"/>
          <w:sz w:val="24"/>
          <w:szCs w:val="24"/>
          <w:highlight w:val="none"/>
        </w:rPr>
        <w:t>拟派</w:t>
      </w:r>
      <w:r>
        <w:rPr>
          <w:rFonts w:hint="eastAsia" w:hAnsi="宋体"/>
          <w:color w:val="auto"/>
          <w:sz w:val="24"/>
          <w:szCs w:val="24"/>
          <w:highlight w:val="none"/>
          <w:lang w:val="en-US" w:eastAsia="zh-CN"/>
        </w:rPr>
        <w:t>监理负责人（总监）</w:t>
      </w:r>
      <w:r>
        <w:rPr>
          <w:rFonts w:hint="eastAsia" w:hAnsi="宋体"/>
          <w:color w:val="auto"/>
          <w:sz w:val="24"/>
          <w:szCs w:val="24"/>
          <w:highlight w:val="none"/>
        </w:rPr>
        <w:t>在投标截止日无</w:t>
      </w:r>
      <w:r>
        <w:rPr>
          <w:rFonts w:hint="eastAsia" w:hAnsi="宋体"/>
          <w:color w:val="auto"/>
          <w:sz w:val="24"/>
          <w:szCs w:val="24"/>
          <w:highlight w:val="none"/>
          <w:lang w:val="en-US" w:eastAsia="zh-CN"/>
        </w:rPr>
        <w:t>在监项目</w:t>
      </w:r>
      <w:r>
        <w:rPr>
          <w:rFonts w:hint="eastAsia" w:hAnsi="宋体"/>
          <w:color w:val="auto"/>
          <w:sz w:val="24"/>
          <w:szCs w:val="24"/>
          <w:highlight w:val="none"/>
        </w:rPr>
        <w:t>的情形</w:t>
      </w:r>
      <w:r>
        <w:rPr>
          <w:rFonts w:hint="eastAsia" w:hAnsi="宋体"/>
          <w:color w:val="auto"/>
          <w:sz w:val="24"/>
          <w:szCs w:val="24"/>
          <w:highlight w:val="none"/>
          <w:lang w:eastAsia="zh-CN"/>
        </w:rPr>
        <w:t>；</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lang w:val="en-US" w:eastAsia="zh-CN"/>
        </w:rPr>
        <w:t>7</w:t>
      </w:r>
      <w:r>
        <w:rPr>
          <w:rFonts w:hint="eastAsia" w:hAnsi="宋体"/>
          <w:color w:val="auto"/>
          <w:sz w:val="24"/>
          <w:szCs w:val="24"/>
          <w:highlight w:val="none"/>
        </w:rPr>
        <w:t>.承诺本招标文件要求的人员和单位没有被人民法院列入限制失信被执行人名单和至投标截止时间三年内没有行贿犯罪记录。</w:t>
      </w:r>
    </w:p>
    <w:p>
      <w:pPr>
        <w:pStyle w:val="14"/>
        <w:spacing w:line="440" w:lineRule="exact"/>
        <w:ind w:firstLine="480" w:firstLineChars="200"/>
        <w:rPr>
          <w:rFonts w:hAnsi="宋体"/>
          <w:color w:val="auto"/>
          <w:sz w:val="24"/>
          <w:szCs w:val="24"/>
          <w:highlight w:val="none"/>
        </w:rPr>
      </w:pPr>
      <w:r>
        <w:rPr>
          <w:rFonts w:hint="eastAsia" w:hAnsi="宋体"/>
          <w:color w:val="auto"/>
          <w:sz w:val="24"/>
          <w:szCs w:val="24"/>
          <w:highlight w:val="none"/>
          <w:lang w:val="en-US" w:eastAsia="zh-CN"/>
        </w:rPr>
        <w:t>8</w:t>
      </w:r>
      <w:r>
        <w:rPr>
          <w:rFonts w:hint="eastAsia" w:hAnsi="宋体"/>
          <w:color w:val="auto"/>
          <w:sz w:val="24"/>
          <w:szCs w:val="24"/>
          <w:highlight w:val="none"/>
        </w:rPr>
        <w:t>.承诺未被有关行政主管部门列入严重失信黑名单或限制参加投标。</w:t>
      </w:r>
    </w:p>
    <w:p>
      <w:pPr>
        <w:pStyle w:val="14"/>
        <w:spacing w:line="440" w:lineRule="exact"/>
        <w:ind w:firstLine="480" w:firstLineChars="200"/>
        <w:jc w:val="left"/>
        <w:rPr>
          <w:rFonts w:hint="eastAsia" w:hAnsi="宋体"/>
          <w:color w:val="auto"/>
          <w:sz w:val="24"/>
          <w:szCs w:val="24"/>
          <w:highlight w:val="none"/>
        </w:rPr>
      </w:pPr>
      <w:r>
        <w:rPr>
          <w:rFonts w:hint="eastAsia" w:hAnsi="宋体"/>
          <w:color w:val="auto"/>
          <w:sz w:val="24"/>
          <w:szCs w:val="24"/>
          <w:highlight w:val="none"/>
          <w:lang w:val="en-US" w:eastAsia="zh-CN"/>
        </w:rPr>
        <w:t>9</w:t>
      </w:r>
      <w:r>
        <w:rPr>
          <w:rFonts w:hint="eastAsia" w:hAnsi="宋体"/>
          <w:color w:val="auto"/>
          <w:sz w:val="24"/>
          <w:szCs w:val="24"/>
          <w:highlight w:val="none"/>
        </w:rPr>
        <w:t>.其他：</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lang w:val="en-US" w:eastAsia="zh-CN"/>
        </w:rPr>
        <w:t xml:space="preserve"> </w:t>
      </w:r>
      <w:r>
        <w:rPr>
          <w:rFonts w:hint="eastAsia" w:hAnsi="宋体"/>
          <w:color w:val="auto"/>
          <w:sz w:val="24"/>
          <w:szCs w:val="24"/>
          <w:highlight w:val="none"/>
          <w:u w:val="single"/>
        </w:rPr>
        <w:t>。</w:t>
      </w:r>
    </w:p>
    <w:p>
      <w:pPr>
        <w:pStyle w:val="14"/>
        <w:spacing w:line="440" w:lineRule="exact"/>
        <w:ind w:firstLine="480" w:firstLineChars="200"/>
        <w:rPr>
          <w:rFonts w:hAnsi="宋体"/>
          <w:color w:val="auto"/>
          <w:highlight w:val="none"/>
        </w:rPr>
      </w:pPr>
      <w:r>
        <w:rPr>
          <w:rFonts w:hint="eastAsia" w:hAnsi="宋体"/>
          <w:color w:val="auto"/>
          <w:sz w:val="24"/>
          <w:szCs w:val="24"/>
          <w:highlight w:val="none"/>
          <w:lang w:val="en-US" w:eastAsia="zh-CN"/>
        </w:rPr>
        <w:t>10</w:t>
      </w:r>
      <w:r>
        <w:rPr>
          <w:rFonts w:hint="eastAsia" w:hAnsi="宋体"/>
          <w:color w:val="auto"/>
          <w:sz w:val="24"/>
          <w:szCs w:val="24"/>
          <w:highlight w:val="none"/>
        </w:rPr>
        <w:t>.以上承诺如有虚假，愿意接受投标保证金不予退还的处罚。给招标人造成损失的，愿意依法承担赔偿责任。如已中标，同意招标人取消我单位中标资格的处理。</w:t>
      </w:r>
    </w:p>
    <w:p>
      <w:pPr>
        <w:pStyle w:val="14"/>
        <w:spacing w:line="440" w:lineRule="exact"/>
        <w:ind w:firstLine="3840" w:firstLineChars="1600"/>
        <w:rPr>
          <w:rFonts w:hint="eastAsia" w:hAnsi="宋体" w:cs="Courier New"/>
          <w:color w:val="auto"/>
          <w:sz w:val="24"/>
          <w:szCs w:val="24"/>
          <w:highlight w:val="none"/>
        </w:rPr>
      </w:pPr>
    </w:p>
    <w:p>
      <w:pPr>
        <w:pStyle w:val="14"/>
        <w:spacing w:line="440" w:lineRule="exact"/>
        <w:ind w:firstLine="3840" w:firstLineChars="1600"/>
        <w:rPr>
          <w:rFonts w:hAnsi="宋体" w:cs="Courier New"/>
          <w:color w:val="auto"/>
          <w:sz w:val="24"/>
          <w:szCs w:val="24"/>
          <w:highlight w:val="none"/>
          <w:u w:val="single"/>
        </w:rPr>
      </w:pPr>
      <w:r>
        <w:rPr>
          <w:rFonts w:hint="eastAsia" w:hAnsi="宋体" w:cs="Courier New"/>
          <w:color w:val="auto"/>
          <w:sz w:val="24"/>
          <w:szCs w:val="24"/>
          <w:highlight w:val="none"/>
        </w:rPr>
        <w:t>法定代表人（签字或盖章）：</w:t>
      </w:r>
      <w:r>
        <w:rPr>
          <w:rFonts w:hint="eastAsia" w:hAnsi="宋体" w:cs="Courier New"/>
          <w:color w:val="auto"/>
          <w:sz w:val="24"/>
          <w:szCs w:val="24"/>
          <w:highlight w:val="none"/>
          <w:u w:val="single"/>
        </w:rPr>
        <w:t xml:space="preserve">          </w:t>
      </w:r>
    </w:p>
    <w:p>
      <w:pPr>
        <w:pStyle w:val="14"/>
        <w:spacing w:line="440" w:lineRule="exact"/>
        <w:ind w:firstLine="3840" w:firstLineChars="16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投标人（</w:t>
      </w:r>
      <w:r>
        <w:rPr>
          <w:rFonts w:hint="eastAsia" w:hAnsi="宋体" w:cs="Courier New"/>
          <w:color w:val="auto"/>
          <w:sz w:val="24"/>
          <w:szCs w:val="24"/>
          <w:highlight w:val="none"/>
          <w:lang w:val="en-US" w:eastAsia="zh-CN"/>
        </w:rPr>
        <w:t>盖</w:t>
      </w:r>
      <w:r>
        <w:rPr>
          <w:rFonts w:hint="eastAsia" w:ascii="宋体" w:hAnsi="宋体" w:eastAsia="宋体" w:cs="Courier New"/>
          <w:color w:val="auto"/>
          <w:sz w:val="24"/>
          <w:szCs w:val="24"/>
          <w:highlight w:val="none"/>
        </w:rPr>
        <w:t>单位</w:t>
      </w:r>
      <w:r>
        <w:rPr>
          <w:rFonts w:hint="eastAsia" w:hAnsi="宋体" w:cs="Courier New"/>
          <w:color w:val="auto"/>
          <w:sz w:val="24"/>
          <w:szCs w:val="24"/>
          <w:highlight w:val="none"/>
          <w:lang w:val="en-US" w:eastAsia="zh-CN"/>
        </w:rPr>
        <w:t>公</w:t>
      </w:r>
      <w:r>
        <w:rPr>
          <w:rFonts w:hint="eastAsia" w:ascii="宋体" w:hAnsi="宋体" w:eastAsia="宋体" w:cs="Courier New"/>
          <w:color w:val="auto"/>
          <w:sz w:val="24"/>
          <w:szCs w:val="24"/>
          <w:highlight w:val="none"/>
        </w:rPr>
        <w:t xml:space="preserve">章）：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               </w:t>
      </w:r>
    </w:p>
    <w:p>
      <w:pPr>
        <w:pStyle w:val="14"/>
        <w:spacing w:line="440" w:lineRule="exact"/>
        <w:ind w:firstLine="3840" w:firstLineChars="1600"/>
        <w:rPr>
          <w:b/>
          <w:bCs/>
          <w:color w:val="auto"/>
          <w:sz w:val="32"/>
          <w:szCs w:val="32"/>
          <w:highlight w:val="none"/>
        </w:rPr>
      </w:pPr>
      <w:r>
        <w:rPr>
          <w:rFonts w:hint="eastAsia" w:ascii="宋体" w:hAnsi="宋体" w:eastAsia="宋体" w:cs="Courier New"/>
          <w:color w:val="auto"/>
          <w:sz w:val="24"/>
          <w:szCs w:val="24"/>
          <w:highlight w:val="none"/>
        </w:rPr>
        <w:t xml:space="preserve">               年    月    日</w:t>
      </w:r>
      <w:r>
        <w:rPr>
          <w:rFonts w:hint="eastAsia" w:ascii="宋体" w:hAnsi="宋体" w:eastAsia="宋体" w:cs="Courier New"/>
          <w:color w:val="auto"/>
          <w:sz w:val="24"/>
          <w:szCs w:val="24"/>
          <w:highlight w:val="none"/>
        </w:rPr>
        <w:br w:type="page"/>
      </w:r>
      <w:bookmarkStart w:id="1040" w:name="_Toc44881851"/>
    </w:p>
    <w:p>
      <w:pPr>
        <w:jc w:val="center"/>
        <w:rPr>
          <w:b/>
          <w:bCs/>
          <w:color w:val="auto"/>
          <w:sz w:val="32"/>
          <w:szCs w:val="32"/>
          <w:highlight w:val="none"/>
        </w:rPr>
      </w:pPr>
    </w:p>
    <w:p>
      <w:pPr>
        <w:jc w:val="center"/>
        <w:rPr>
          <w:b/>
          <w:bCs/>
          <w:color w:val="auto"/>
          <w:sz w:val="32"/>
          <w:szCs w:val="32"/>
          <w:highlight w:val="none"/>
        </w:rPr>
      </w:pPr>
    </w:p>
    <w:p>
      <w:pPr>
        <w:jc w:val="center"/>
        <w:rPr>
          <w:color w:val="auto"/>
          <w:sz w:val="36"/>
          <w:szCs w:val="36"/>
          <w:highlight w:val="none"/>
        </w:rPr>
      </w:pPr>
      <w:r>
        <w:rPr>
          <w:rFonts w:hint="eastAsia" w:ascii="宋体" w:hAnsi="宋体"/>
          <w:b/>
          <w:bCs/>
          <w:color w:val="auto"/>
          <w:sz w:val="36"/>
          <w:szCs w:val="36"/>
          <w:highlight w:val="none"/>
        </w:rPr>
        <w:t>法定代表人身份证明书</w:t>
      </w:r>
    </w:p>
    <w:p>
      <w:pPr>
        <w:rPr>
          <w:color w:val="auto"/>
          <w:highlight w:val="none"/>
        </w:rPr>
      </w:pPr>
    </w:p>
    <w:p>
      <w:pPr>
        <w:spacing w:line="480" w:lineRule="auto"/>
        <w:rPr>
          <w:color w:val="auto"/>
          <w:sz w:val="24"/>
          <w:szCs w:val="24"/>
          <w:highlight w:val="none"/>
          <w:u w:val="singl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 xml:space="preserve">                               </w:t>
      </w:r>
    </w:p>
    <w:p>
      <w:pPr>
        <w:spacing w:line="480" w:lineRule="auto"/>
        <w:rPr>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pPr>
        <w:spacing w:line="480" w:lineRule="auto"/>
        <w:rPr>
          <w:color w:val="auto"/>
          <w:sz w:val="24"/>
          <w:szCs w:val="24"/>
          <w:highlight w:val="none"/>
        </w:rPr>
      </w:pPr>
      <w:r>
        <w:rPr>
          <w:rFonts w:hint="eastAsia" w:ascii="宋体" w:hAnsi="宋体"/>
          <w:color w:val="auto"/>
          <w:sz w:val="24"/>
          <w:szCs w:val="24"/>
          <w:highlight w:val="none"/>
        </w:rPr>
        <w:t>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的法定代表人。</w:t>
      </w:r>
    </w:p>
    <w:p>
      <w:pPr>
        <w:spacing w:line="500" w:lineRule="exact"/>
        <w:ind w:firstLine="240" w:firstLineChars="100"/>
        <w:rPr>
          <w:rFonts w:ascii="宋体" w:hAnsi="宋体"/>
          <w:color w:val="auto"/>
          <w:sz w:val="24"/>
          <w:szCs w:val="24"/>
          <w:highlight w:val="none"/>
        </w:rPr>
      </w:pPr>
    </w:p>
    <w:p>
      <w:pPr>
        <w:spacing w:line="500" w:lineRule="exact"/>
        <w:ind w:firstLine="240" w:firstLineChars="100"/>
        <w:rPr>
          <w:rFonts w:ascii="宋体" w:hAnsi="宋体"/>
          <w:color w:val="auto"/>
          <w:sz w:val="24"/>
          <w:szCs w:val="24"/>
          <w:highlight w:val="none"/>
        </w:rPr>
      </w:pPr>
      <w:r>
        <w:rPr>
          <w:rFonts w:hint="eastAsia" w:ascii="宋体" w:hAnsi="宋体"/>
          <w:color w:val="auto"/>
          <w:sz w:val="24"/>
          <w:szCs w:val="24"/>
          <w:highlight w:val="none"/>
        </w:rPr>
        <w:t>附</w:t>
      </w:r>
    </w:p>
    <w:tbl>
      <w:tblPr>
        <w:tblStyle w:val="26"/>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702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法定代表人身份证正面复印件粘贴处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702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法定代表人身份证背面复印件粘贴处</w:t>
            </w:r>
          </w:p>
        </w:tc>
      </w:tr>
    </w:tbl>
    <w:p>
      <w:pPr>
        <w:spacing w:line="480" w:lineRule="auto"/>
        <w:rPr>
          <w:rFonts w:hint="eastAsia" w:ascii="宋体" w:hAnsi="宋体"/>
          <w:color w:val="auto"/>
          <w:sz w:val="24"/>
          <w:szCs w:val="24"/>
          <w:highlight w:val="none"/>
        </w:rPr>
      </w:pPr>
    </w:p>
    <w:p>
      <w:pPr>
        <w:spacing w:line="480" w:lineRule="auto"/>
        <w:rPr>
          <w:color w:val="auto"/>
          <w:sz w:val="24"/>
          <w:szCs w:val="24"/>
          <w:highlight w:val="none"/>
        </w:rPr>
      </w:pPr>
      <w:r>
        <w:rPr>
          <w:rFonts w:hint="eastAsia" w:ascii="宋体" w:hAnsi="宋体"/>
          <w:color w:val="auto"/>
          <w:sz w:val="24"/>
          <w:szCs w:val="24"/>
          <w:highlight w:val="none"/>
        </w:rPr>
        <w:t>特此证明。</w:t>
      </w:r>
    </w:p>
    <w:p>
      <w:pPr>
        <w:spacing w:line="480" w:lineRule="auto"/>
        <w:ind w:firstLine="4560" w:firstLineChars="1900"/>
        <w:rPr>
          <w:rFonts w:hint="eastAsia" w:ascii="宋体" w:hAnsi="宋体"/>
          <w:color w:val="auto"/>
          <w:sz w:val="24"/>
          <w:szCs w:val="24"/>
          <w:highlight w:val="none"/>
        </w:rPr>
      </w:pPr>
    </w:p>
    <w:p>
      <w:pPr>
        <w:spacing w:line="480" w:lineRule="auto"/>
        <w:ind w:firstLine="4560" w:firstLineChars="1900"/>
        <w:rPr>
          <w:color w:val="auto"/>
          <w:sz w:val="24"/>
          <w:szCs w:val="24"/>
          <w:highlight w:val="none"/>
          <w:u w:val="singl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rPr>
        <w:t>（</w:t>
      </w:r>
      <w:r>
        <w:rPr>
          <w:rFonts w:hint="eastAsia" w:ascii="宋体" w:hAnsi="宋体"/>
          <w:color w:val="auto"/>
          <w:sz w:val="24"/>
          <w:szCs w:val="24"/>
          <w:highlight w:val="none"/>
          <w:u w:val="none"/>
          <w:lang w:val="en-US" w:eastAsia="zh-CN"/>
        </w:rPr>
        <w:t>盖</w:t>
      </w:r>
      <w:r>
        <w:rPr>
          <w:rFonts w:hint="eastAsia" w:ascii="宋体" w:hAnsi="宋体"/>
          <w:color w:val="auto"/>
          <w:sz w:val="24"/>
          <w:szCs w:val="24"/>
          <w:highlight w:val="none"/>
          <w:u w:val="none"/>
        </w:rPr>
        <w:t>单位</w:t>
      </w:r>
      <w:r>
        <w:rPr>
          <w:rFonts w:hint="eastAsia" w:ascii="宋体" w:hAnsi="宋体"/>
          <w:color w:val="auto"/>
          <w:sz w:val="24"/>
          <w:szCs w:val="24"/>
          <w:highlight w:val="none"/>
          <w:u w:val="none"/>
          <w:lang w:val="en-US" w:eastAsia="zh-CN"/>
        </w:rPr>
        <w:t>公</w:t>
      </w:r>
      <w:r>
        <w:rPr>
          <w:rFonts w:hint="eastAsia" w:ascii="宋体" w:hAnsi="宋体"/>
          <w:color w:val="auto"/>
          <w:sz w:val="24"/>
          <w:szCs w:val="24"/>
          <w:highlight w:val="none"/>
          <w:u w:val="none"/>
        </w:rPr>
        <w:t>章）</w:t>
      </w:r>
    </w:p>
    <w:p>
      <w:pPr>
        <w:spacing w:line="480" w:lineRule="auto"/>
        <w:ind w:firstLine="4560" w:firstLineChars="1900"/>
        <w:rPr>
          <w:color w:val="auto"/>
          <w:sz w:val="24"/>
          <w:szCs w:val="24"/>
          <w:highlight w:val="none"/>
        </w:rPr>
      </w:pPr>
      <w:r>
        <w:rPr>
          <w:rFonts w:hint="eastAsia" w:ascii="宋体" w:hAnsi="宋体"/>
          <w:color w:val="auto"/>
          <w:sz w:val="24"/>
          <w:szCs w:val="24"/>
          <w:highlight w:val="none"/>
        </w:rPr>
        <w:t>日  期：    年  月  日</w:t>
      </w:r>
    </w:p>
    <w:p>
      <w:pPr>
        <w:rPr>
          <w:rFonts w:ascii="宋体" w:hAnsi="宋体"/>
          <w:color w:val="auto"/>
          <w:sz w:val="24"/>
          <w:szCs w:val="24"/>
          <w:highlight w:val="none"/>
        </w:rPr>
      </w:pPr>
    </w:p>
    <w:p>
      <w:pPr>
        <w:rPr>
          <w:rFonts w:hint="eastAsia"/>
          <w:b/>
          <w:bCs/>
          <w:color w:val="auto"/>
          <w:sz w:val="32"/>
          <w:szCs w:val="32"/>
          <w:highlight w:val="none"/>
        </w:rPr>
      </w:pPr>
      <w:r>
        <w:rPr>
          <w:rFonts w:hint="eastAsia"/>
          <w:b/>
          <w:bCs/>
          <w:color w:val="auto"/>
          <w:sz w:val="32"/>
          <w:szCs w:val="32"/>
          <w:highlight w:val="none"/>
        </w:rPr>
        <w:br w:type="page"/>
      </w:r>
    </w:p>
    <w:p>
      <w:pPr>
        <w:jc w:val="center"/>
        <w:rPr>
          <w:b/>
          <w:bCs/>
          <w:color w:val="auto"/>
          <w:sz w:val="32"/>
          <w:szCs w:val="32"/>
          <w:highlight w:val="none"/>
        </w:rPr>
      </w:pPr>
      <w:r>
        <w:rPr>
          <w:rFonts w:hint="eastAsia"/>
          <w:b/>
          <w:bCs/>
          <w:color w:val="auto"/>
          <w:sz w:val="32"/>
          <w:szCs w:val="32"/>
          <w:highlight w:val="none"/>
        </w:rPr>
        <w:t>授权委托书</w:t>
      </w:r>
      <w:bookmarkEnd w:id="1040"/>
    </w:p>
    <w:p>
      <w:pPr>
        <w:pStyle w:val="21"/>
        <w:spacing w:line="400" w:lineRule="exact"/>
        <w:rPr>
          <w:rFonts w:hAnsi="仿宋_GB2312"/>
          <w:color w:val="auto"/>
          <w:sz w:val="24"/>
          <w:highlight w:val="none"/>
        </w:rPr>
      </w:pPr>
    </w:p>
    <w:p>
      <w:pPr>
        <w:pStyle w:val="21"/>
        <w:spacing w:line="400" w:lineRule="exact"/>
        <w:rPr>
          <w:rFonts w:ascii="宋体" w:hAnsi="宋体" w:eastAsia="宋体"/>
          <w:color w:val="auto"/>
          <w:sz w:val="24"/>
          <w:highlight w:val="none"/>
        </w:rPr>
      </w:pPr>
    </w:p>
    <w:p>
      <w:pPr>
        <w:pStyle w:val="21"/>
        <w:spacing w:line="600" w:lineRule="exact"/>
        <w:ind w:left="0" w:firstLine="360" w:firstLineChars="150"/>
        <w:rPr>
          <w:rFonts w:ascii="宋体" w:hAnsi="宋体" w:eastAsia="宋体"/>
          <w:color w:val="auto"/>
          <w:sz w:val="24"/>
          <w:highlight w:val="none"/>
        </w:rPr>
      </w:pPr>
      <w:r>
        <w:rPr>
          <w:rFonts w:ascii="宋体" w:hAnsi="宋体" w:eastAsia="宋体"/>
          <w:color w:val="auto"/>
          <w:sz w:val="24"/>
          <w:highlight w:val="none"/>
        </w:rPr>
        <w:t xml:space="preserve"> 本授权委托书声明：我</w:t>
      </w:r>
      <w:r>
        <w:rPr>
          <w:rFonts w:hint="eastAsia" w:ascii="宋体" w:hAnsi="宋体" w:eastAsia="宋体"/>
          <w:color w:val="auto"/>
          <w:sz w:val="24"/>
          <w:highlight w:val="none"/>
          <w:u w:val="single"/>
          <w:lang w:val="en-US" w:eastAsia="zh-CN"/>
        </w:rPr>
        <w:t xml:space="preserve">      </w:t>
      </w:r>
      <w:r>
        <w:rPr>
          <w:rFonts w:hint="eastAsia" w:ascii="宋体" w:hAnsi="宋体" w:eastAsia="宋体"/>
          <w:color w:val="auto"/>
          <w:sz w:val="24"/>
          <w:highlight w:val="none"/>
        </w:rPr>
        <w:t>（姓名）系</w:t>
      </w:r>
      <w:r>
        <w:rPr>
          <w:rFonts w:hint="eastAsia" w:ascii="宋体" w:hAnsi="宋体" w:eastAsia="宋体"/>
          <w:color w:val="auto"/>
          <w:sz w:val="24"/>
          <w:highlight w:val="none"/>
          <w:u w:val="single"/>
          <w:lang w:val="en-US" w:eastAsia="zh-CN"/>
        </w:rPr>
        <w:t xml:space="preserve">    </w:t>
      </w:r>
      <w:r>
        <w:rPr>
          <w:rFonts w:hint="eastAsia" w:ascii="宋体" w:hAnsi="宋体" w:eastAsia="宋体"/>
          <w:color w:val="auto"/>
          <w:sz w:val="24"/>
          <w:highlight w:val="none"/>
        </w:rPr>
        <w:t>（投标人名称）的法定代表人，现授权委托</w:t>
      </w:r>
      <w:r>
        <w:rPr>
          <w:rFonts w:hint="eastAsia" w:ascii="宋体" w:hAnsi="宋体" w:eastAsia="宋体"/>
          <w:color w:val="auto"/>
          <w:sz w:val="24"/>
          <w:highlight w:val="none"/>
          <w:u w:val="single"/>
          <w:lang w:val="en-US" w:eastAsia="zh-CN"/>
        </w:rPr>
        <w:t xml:space="preserve">     </w:t>
      </w:r>
      <w:r>
        <w:rPr>
          <w:rFonts w:hint="eastAsia" w:ascii="宋体" w:hAnsi="宋体" w:eastAsia="宋体"/>
          <w:color w:val="auto"/>
          <w:sz w:val="24"/>
          <w:highlight w:val="none"/>
        </w:rPr>
        <w:t>（单位名称）的</w:t>
      </w:r>
      <w:r>
        <w:rPr>
          <w:rFonts w:hint="eastAsia" w:ascii="宋体" w:hAnsi="宋体" w:eastAsia="宋体"/>
          <w:color w:val="auto"/>
          <w:sz w:val="24"/>
          <w:highlight w:val="none"/>
          <w:u w:val="single"/>
          <w:lang w:val="en-US" w:eastAsia="zh-CN"/>
        </w:rPr>
        <w:t xml:space="preserve">    </w:t>
      </w:r>
      <w:r>
        <w:rPr>
          <w:rFonts w:hint="eastAsia" w:ascii="宋体" w:hAnsi="宋体" w:eastAsia="宋体"/>
          <w:color w:val="auto"/>
          <w:sz w:val="24"/>
          <w:highlight w:val="none"/>
        </w:rPr>
        <w:t>（姓名）为我公司代理人，以本公司的名义参加</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（招标人）</w:t>
      </w:r>
      <w:r>
        <w:rPr>
          <w:rFonts w:hint="eastAsia" w:ascii="宋体" w:hAnsi="宋体" w:eastAsia="宋体"/>
          <w:color w:val="auto"/>
          <w:sz w:val="24"/>
          <w:highlight w:val="none"/>
          <w:u w:val="single"/>
          <w:lang w:val="en-US" w:eastAsia="zh-CN"/>
        </w:rPr>
        <w:t xml:space="preserve">    </w:t>
      </w:r>
      <w:r>
        <w:rPr>
          <w:rFonts w:hint="eastAsia" w:ascii="宋体" w:hAnsi="宋体" w:eastAsia="宋体"/>
          <w:color w:val="auto"/>
          <w:sz w:val="24"/>
          <w:highlight w:val="none"/>
        </w:rPr>
        <w:t>工程的投标活动。代理人在投标文件签字、开标、评标、合同谈判过程中所签署的一切文件和处理与之有关的一切事务，我均予以承认。</w:t>
      </w:r>
    </w:p>
    <w:p>
      <w:pPr>
        <w:pStyle w:val="21"/>
        <w:spacing w:line="60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代理人无转委权。特此委托。</w:t>
      </w:r>
    </w:p>
    <w:p>
      <w:pPr>
        <w:pStyle w:val="21"/>
        <w:spacing w:line="480" w:lineRule="exact"/>
        <w:ind w:left="0" w:firstLine="360" w:firstLineChars="150"/>
        <w:rPr>
          <w:rFonts w:ascii="宋体" w:hAnsi="宋体" w:eastAsia="宋体"/>
          <w:color w:val="auto"/>
          <w:sz w:val="24"/>
          <w:highlight w:val="none"/>
        </w:rPr>
      </w:pPr>
    </w:p>
    <w:p>
      <w:pPr>
        <w:pStyle w:val="21"/>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代理人：</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性别：</w:t>
      </w:r>
      <w:r>
        <w:rPr>
          <w:rFonts w:ascii="宋体" w:hAnsi="宋体" w:eastAsia="宋体"/>
          <w:color w:val="auto"/>
          <w:sz w:val="24"/>
          <w:highlight w:val="none"/>
        </w:rPr>
        <w:t xml:space="preserve"> 年龄：</w:t>
      </w:r>
      <w:r>
        <w:rPr>
          <w:rFonts w:ascii="宋体" w:hAnsi="宋体" w:eastAsia="宋体"/>
          <w:color w:val="auto"/>
          <w:sz w:val="24"/>
          <w:highlight w:val="none"/>
          <w:u w:val="single"/>
        </w:rPr>
        <w:t xml:space="preserve">    　　　</w:t>
      </w:r>
    </w:p>
    <w:p>
      <w:pPr>
        <w:pStyle w:val="21"/>
        <w:spacing w:line="480" w:lineRule="exact"/>
        <w:ind w:left="0" w:firstLine="360" w:firstLineChars="150"/>
        <w:rPr>
          <w:rFonts w:ascii="宋体" w:hAnsi="宋体" w:eastAsia="宋体"/>
          <w:color w:val="auto"/>
          <w:sz w:val="24"/>
          <w:highlight w:val="none"/>
        </w:rPr>
      </w:pPr>
    </w:p>
    <w:p>
      <w:pPr>
        <w:pStyle w:val="21"/>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身份证号码：</w:t>
      </w:r>
      <w:r>
        <w:rPr>
          <w:rFonts w:ascii="宋体" w:hAnsi="宋体" w:eastAsia="宋体"/>
          <w:color w:val="auto"/>
          <w:sz w:val="24"/>
          <w:highlight w:val="none"/>
          <w:u w:val="single"/>
        </w:rPr>
        <w:t xml:space="preserve">         　　　  </w:t>
      </w:r>
    </w:p>
    <w:p>
      <w:pPr>
        <w:pStyle w:val="21"/>
        <w:spacing w:line="480" w:lineRule="exact"/>
        <w:ind w:left="0" w:firstLine="360" w:firstLineChars="150"/>
        <w:rPr>
          <w:rFonts w:ascii="宋体" w:hAnsi="宋体" w:eastAsia="宋体"/>
          <w:color w:val="auto"/>
          <w:sz w:val="24"/>
          <w:highlight w:val="none"/>
        </w:rPr>
      </w:pPr>
    </w:p>
    <w:p>
      <w:pPr>
        <w:pStyle w:val="21"/>
        <w:spacing w:line="480" w:lineRule="exact"/>
        <w:ind w:left="0" w:firstLine="360" w:firstLineChars="150"/>
        <w:rPr>
          <w:rFonts w:ascii="宋体" w:hAnsi="宋体" w:eastAsia="宋体"/>
          <w:color w:val="auto"/>
          <w:sz w:val="24"/>
          <w:highlight w:val="none"/>
          <w:u w:val="single"/>
        </w:rPr>
      </w:pPr>
      <w:r>
        <w:rPr>
          <w:rFonts w:hint="eastAsia" w:ascii="宋体" w:hAnsi="宋体" w:eastAsia="宋体"/>
          <w:color w:val="auto"/>
          <w:sz w:val="24"/>
          <w:highlight w:val="none"/>
        </w:rPr>
        <w:t>联系电话</w:t>
      </w:r>
      <w:r>
        <w:rPr>
          <w:rFonts w:hint="eastAsia" w:ascii="宋体" w:hAnsi="宋体" w:eastAsia="宋体"/>
          <w:color w:val="auto"/>
          <w:sz w:val="24"/>
          <w:szCs w:val="24"/>
          <w:highlight w:val="none"/>
        </w:rPr>
        <w:t>（询标）</w:t>
      </w:r>
      <w:r>
        <w:rPr>
          <w:rFonts w:hint="eastAsia" w:ascii="宋体" w:hAnsi="宋体" w:eastAsia="宋体"/>
          <w:color w:val="auto"/>
          <w:sz w:val="24"/>
          <w:highlight w:val="none"/>
        </w:rPr>
        <w:t>：</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传真</w:t>
      </w:r>
      <w:r>
        <w:rPr>
          <w:rFonts w:hint="eastAsia" w:ascii="宋体" w:hAnsi="宋体" w:eastAsia="宋体"/>
          <w:color w:val="auto"/>
          <w:sz w:val="24"/>
          <w:szCs w:val="24"/>
          <w:highlight w:val="none"/>
        </w:rPr>
        <w:t>（询标）</w:t>
      </w:r>
      <w:r>
        <w:rPr>
          <w:rFonts w:hint="eastAsia" w:ascii="宋体" w:hAnsi="宋体" w:eastAsia="宋体"/>
          <w:color w:val="auto"/>
          <w:sz w:val="24"/>
          <w:highlight w:val="none"/>
        </w:rPr>
        <w:t>：</w:t>
      </w:r>
      <w:r>
        <w:rPr>
          <w:rFonts w:ascii="宋体" w:hAnsi="宋体" w:eastAsia="宋体"/>
          <w:color w:val="auto"/>
          <w:sz w:val="24"/>
          <w:highlight w:val="none"/>
          <w:u w:val="single"/>
        </w:rPr>
        <w:t xml:space="preserve">         　　　  </w:t>
      </w:r>
    </w:p>
    <w:p>
      <w:pPr>
        <w:pStyle w:val="21"/>
        <w:spacing w:line="480" w:lineRule="exact"/>
        <w:ind w:left="0" w:firstLine="360" w:firstLineChars="150"/>
        <w:rPr>
          <w:rFonts w:ascii="宋体" w:hAnsi="宋体" w:eastAsia="宋体"/>
          <w:color w:val="auto"/>
          <w:sz w:val="24"/>
          <w:highlight w:val="none"/>
        </w:rPr>
      </w:pPr>
    </w:p>
    <w:p>
      <w:pPr>
        <w:pStyle w:val="21"/>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单位：</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部门：职务：</w:t>
      </w:r>
    </w:p>
    <w:p>
      <w:pPr>
        <w:pStyle w:val="21"/>
        <w:spacing w:line="480" w:lineRule="exact"/>
        <w:ind w:left="0" w:firstLine="360" w:firstLineChars="150"/>
        <w:rPr>
          <w:rFonts w:ascii="宋体" w:hAnsi="宋体" w:eastAsia="宋体"/>
          <w:color w:val="auto"/>
          <w:sz w:val="24"/>
          <w:highlight w:val="none"/>
        </w:rPr>
      </w:pPr>
    </w:p>
    <w:p>
      <w:pPr>
        <w:pStyle w:val="21"/>
        <w:spacing w:line="480" w:lineRule="exact"/>
        <w:ind w:left="0" w:firstLine="360" w:firstLineChars="150"/>
        <w:rPr>
          <w:rFonts w:ascii="宋体" w:hAnsi="宋体" w:eastAsia="宋体"/>
          <w:color w:val="auto"/>
          <w:sz w:val="24"/>
          <w:highlight w:val="none"/>
          <w:u w:val="none"/>
        </w:rPr>
      </w:pPr>
      <w:r>
        <w:rPr>
          <w:rFonts w:hint="eastAsia" w:ascii="宋体" w:hAnsi="宋体" w:eastAsia="宋体"/>
          <w:color w:val="auto"/>
          <w:sz w:val="24"/>
          <w:highlight w:val="none"/>
        </w:rPr>
        <w:t>投标人：</w:t>
      </w:r>
      <w:r>
        <w:rPr>
          <w:rFonts w:ascii="宋体" w:hAnsi="宋体" w:eastAsia="宋体"/>
          <w:color w:val="auto"/>
          <w:sz w:val="24"/>
          <w:highlight w:val="none"/>
          <w:u w:val="single"/>
        </w:rPr>
        <w:t xml:space="preserve">               　　     　　　　 </w:t>
      </w:r>
      <w:r>
        <w:rPr>
          <w:rFonts w:ascii="宋体" w:hAnsi="宋体" w:eastAsia="宋体"/>
          <w:color w:val="auto"/>
          <w:sz w:val="24"/>
          <w:highlight w:val="none"/>
          <w:u w:val="none"/>
        </w:rPr>
        <w:t>（盖</w:t>
      </w:r>
      <w:r>
        <w:rPr>
          <w:rFonts w:hint="eastAsia" w:ascii="宋体" w:hAnsi="宋体" w:eastAsia="宋体"/>
          <w:color w:val="auto"/>
          <w:sz w:val="24"/>
          <w:highlight w:val="none"/>
          <w:u w:val="none"/>
          <w:lang w:val="en-US" w:eastAsia="zh-CN"/>
        </w:rPr>
        <w:t>单位公</w:t>
      </w:r>
      <w:r>
        <w:rPr>
          <w:rFonts w:ascii="宋体" w:hAnsi="宋体" w:eastAsia="宋体"/>
          <w:color w:val="auto"/>
          <w:sz w:val="24"/>
          <w:highlight w:val="none"/>
          <w:u w:val="none"/>
        </w:rPr>
        <w:t>章）</w:t>
      </w:r>
    </w:p>
    <w:p>
      <w:pPr>
        <w:pStyle w:val="21"/>
        <w:spacing w:line="480" w:lineRule="exact"/>
        <w:ind w:left="0" w:firstLine="360" w:firstLineChars="150"/>
        <w:rPr>
          <w:rFonts w:ascii="宋体" w:hAnsi="宋体" w:eastAsia="宋体"/>
          <w:color w:val="auto"/>
          <w:sz w:val="24"/>
          <w:highlight w:val="none"/>
        </w:rPr>
      </w:pPr>
    </w:p>
    <w:p>
      <w:pPr>
        <w:pStyle w:val="21"/>
        <w:spacing w:line="480" w:lineRule="exact"/>
        <w:ind w:left="0" w:firstLine="360" w:firstLineChars="150"/>
        <w:rPr>
          <w:rFonts w:ascii="宋体" w:hAnsi="宋体" w:eastAsia="宋体"/>
          <w:color w:val="auto"/>
          <w:sz w:val="24"/>
          <w:highlight w:val="none"/>
          <w:u w:val="none"/>
        </w:rPr>
      </w:pPr>
      <w:r>
        <w:rPr>
          <w:rFonts w:hint="eastAsia" w:ascii="宋体" w:hAnsi="宋体" w:eastAsia="宋体"/>
          <w:color w:val="auto"/>
          <w:sz w:val="24"/>
          <w:highlight w:val="none"/>
        </w:rPr>
        <w:t>法定代表人：</w:t>
      </w:r>
      <w:r>
        <w:rPr>
          <w:rFonts w:ascii="宋体" w:hAnsi="宋体" w:eastAsia="宋体"/>
          <w:color w:val="auto"/>
          <w:sz w:val="24"/>
          <w:highlight w:val="none"/>
          <w:u w:val="single"/>
        </w:rPr>
        <w:t xml:space="preserve">          　　　　     </w:t>
      </w:r>
      <w:r>
        <w:rPr>
          <w:rFonts w:ascii="宋体" w:hAnsi="宋体" w:eastAsia="宋体"/>
          <w:color w:val="auto"/>
          <w:sz w:val="24"/>
          <w:highlight w:val="none"/>
          <w:u w:val="none"/>
        </w:rPr>
        <w:t>（签字或盖章）</w:t>
      </w:r>
    </w:p>
    <w:p>
      <w:pPr>
        <w:pStyle w:val="21"/>
        <w:spacing w:line="480" w:lineRule="exact"/>
        <w:ind w:left="0" w:firstLine="360" w:firstLineChars="150"/>
        <w:rPr>
          <w:rFonts w:ascii="宋体" w:hAnsi="宋体" w:eastAsia="宋体"/>
          <w:color w:val="auto"/>
          <w:sz w:val="24"/>
          <w:highlight w:val="none"/>
        </w:rPr>
      </w:pPr>
    </w:p>
    <w:p>
      <w:pPr>
        <w:jc w:val="center"/>
        <w:rPr>
          <w:rFonts w:ascii="宋体" w:hAnsi="宋体"/>
          <w:color w:val="auto"/>
          <w:sz w:val="24"/>
          <w:highlight w:val="none"/>
          <w:u w:val="single"/>
        </w:rPr>
      </w:pPr>
      <w:r>
        <w:rPr>
          <w:rFonts w:ascii="宋体" w:hAnsi="宋体"/>
          <w:color w:val="auto"/>
          <w:sz w:val="24"/>
          <w:highlight w:val="none"/>
        </w:rPr>
        <w:t xml:space="preserve">                        授权委托日期：</w:t>
      </w:r>
      <w:r>
        <w:rPr>
          <w:rFonts w:ascii="宋体" w:hAnsi="宋体"/>
          <w:color w:val="auto"/>
          <w:sz w:val="24"/>
          <w:highlight w:val="none"/>
          <w:u w:val="single"/>
        </w:rPr>
        <w:t xml:space="preserve">     年    月   日</w:t>
      </w:r>
    </w:p>
    <w:p>
      <w:pPr>
        <w:pStyle w:val="21"/>
        <w:spacing w:line="600" w:lineRule="exact"/>
        <w:ind w:left="0"/>
        <w:rPr>
          <w:rFonts w:hint="eastAsia" w:ascii="宋体" w:hAnsi="宋体" w:eastAsia="宋体"/>
          <w:color w:val="auto"/>
          <w:sz w:val="24"/>
          <w:highlight w:val="none"/>
        </w:rPr>
      </w:pPr>
      <w:r>
        <w:rPr>
          <w:rFonts w:hint="eastAsia" w:ascii="宋体" w:hAnsi="宋体" w:eastAsia="宋体"/>
          <w:color w:val="auto"/>
          <w:sz w:val="24"/>
          <w:highlight w:val="none"/>
        </w:rPr>
        <w:t>备注：附委托代理人身份证复印件（正、反两面）。</w:t>
      </w:r>
    </w:p>
    <w:p>
      <w:pPr>
        <w:rPr>
          <w:rFonts w:hint="eastAsia" w:ascii="宋体" w:hAnsi="宋体" w:eastAsia="宋体"/>
          <w:color w:val="auto"/>
          <w:sz w:val="24"/>
          <w:highlight w:val="none"/>
        </w:rPr>
      </w:pPr>
      <w:r>
        <w:rPr>
          <w:rFonts w:hint="eastAsia" w:ascii="宋体" w:hAnsi="宋体" w:eastAsia="宋体"/>
          <w:color w:val="auto"/>
          <w:sz w:val="24"/>
          <w:highlight w:val="none"/>
        </w:rPr>
        <w:br w:type="page"/>
      </w:r>
    </w:p>
    <w:p>
      <w:pPr>
        <w:rPr>
          <w:rFonts w:hAnsi="仿宋_GB2312"/>
          <w:color w:val="auto"/>
          <w:sz w:val="24"/>
          <w:highlight w:val="none"/>
          <w:u w:val="single"/>
        </w:rPr>
      </w:pPr>
    </w:p>
    <w:p>
      <w:pPr>
        <w:spacing w:line="360" w:lineRule="auto"/>
        <w:jc w:val="center"/>
        <w:rPr>
          <w:rFonts w:ascii="黑体" w:hAnsi="宋体" w:eastAsia="黑体"/>
          <w:b/>
          <w:color w:val="auto"/>
          <w:sz w:val="36"/>
          <w:highlight w:val="none"/>
        </w:rPr>
      </w:pPr>
      <w:r>
        <w:rPr>
          <w:rFonts w:hint="eastAsia" w:ascii="黑体" w:hAnsi="宋体" w:eastAsia="黑体"/>
          <w:b/>
          <w:color w:val="auto"/>
          <w:sz w:val="36"/>
          <w:highlight w:val="none"/>
        </w:rPr>
        <w:t>项目负责人简历表</w:t>
      </w:r>
    </w:p>
    <w:tbl>
      <w:tblPr>
        <w:tblStyle w:val="26"/>
        <w:tblW w:w="90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485"/>
        <w:gridCol w:w="891"/>
        <w:gridCol w:w="890"/>
        <w:gridCol w:w="244"/>
        <w:gridCol w:w="945"/>
        <w:gridCol w:w="1485"/>
        <w:gridCol w:w="891"/>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姓名</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性别</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年龄</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专业</w:t>
            </w:r>
          </w:p>
        </w:tc>
        <w:tc>
          <w:tcPr>
            <w:tcW w:w="11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职称</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202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毕业院校</w:t>
            </w:r>
          </w:p>
        </w:tc>
        <w:tc>
          <w:tcPr>
            <w:tcW w:w="243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学历</w:t>
            </w:r>
          </w:p>
        </w:tc>
        <w:tc>
          <w:tcPr>
            <w:tcW w:w="11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248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参加工作时间</w:t>
            </w:r>
          </w:p>
        </w:tc>
        <w:tc>
          <w:tcPr>
            <w:tcW w:w="178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356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从事本专业工作年限</w:t>
            </w:r>
          </w:p>
        </w:tc>
        <w:tc>
          <w:tcPr>
            <w:tcW w:w="11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3" w:hRule="atLeast"/>
        </w:trPr>
        <w:tc>
          <w:tcPr>
            <w:tcW w:w="10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r>
              <w:rPr>
                <w:rFonts w:hint="eastAsia" w:ascii="宋体" w:hAnsi="宋体"/>
                <w:color w:val="auto"/>
                <w:szCs w:val="22"/>
                <w:highlight w:val="none"/>
              </w:rPr>
              <w:t>简</w:t>
            </w:r>
          </w:p>
          <w:p>
            <w:pPr>
              <w:jc w:val="center"/>
              <w:rPr>
                <w:rFonts w:ascii="宋体" w:hAnsi="宋体"/>
                <w:color w:val="auto"/>
                <w:szCs w:val="22"/>
                <w:highlight w:val="none"/>
              </w:rPr>
            </w:pPr>
          </w:p>
          <w:p>
            <w:pPr>
              <w:jc w:val="center"/>
              <w:rPr>
                <w:rFonts w:ascii="宋体" w:hAnsi="宋体"/>
                <w:color w:val="auto"/>
                <w:szCs w:val="22"/>
                <w:highlight w:val="none"/>
              </w:rPr>
            </w:pPr>
          </w:p>
          <w:p>
            <w:pPr>
              <w:rPr>
                <w:rFonts w:ascii="宋体" w:hAnsi="宋体"/>
                <w:color w:val="auto"/>
                <w:szCs w:val="22"/>
                <w:highlight w:val="none"/>
              </w:rPr>
            </w:pPr>
          </w:p>
          <w:p>
            <w:pP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r>
              <w:rPr>
                <w:rFonts w:hint="eastAsia" w:ascii="宋体" w:hAnsi="宋体"/>
                <w:color w:val="auto"/>
                <w:szCs w:val="22"/>
                <w:highlight w:val="none"/>
              </w:rPr>
              <w:t>历</w:t>
            </w:r>
          </w:p>
          <w:p>
            <w:pPr>
              <w:rPr>
                <w:rFonts w:ascii="宋体" w:hAnsi="宋体"/>
                <w:color w:val="auto"/>
                <w:szCs w:val="22"/>
                <w:highlight w:val="none"/>
              </w:rPr>
            </w:pPr>
          </w:p>
        </w:tc>
        <w:tc>
          <w:tcPr>
            <w:tcW w:w="8023" w:type="dxa"/>
            <w:gridSpan w:val="8"/>
            <w:tcBorders>
              <w:top w:val="single" w:color="auto" w:sz="4" w:space="0"/>
              <w:left w:val="single" w:color="auto" w:sz="4" w:space="0"/>
              <w:bottom w:val="single" w:color="auto" w:sz="4" w:space="0"/>
              <w:right w:val="single" w:color="auto" w:sz="4" w:space="0"/>
            </w:tcBorders>
          </w:tcPr>
          <w:p>
            <w:pPr>
              <w:rPr>
                <w:rFonts w:ascii="宋体" w:hAnsi="宋体"/>
                <w:color w:val="auto"/>
                <w:szCs w:val="22"/>
                <w:highlight w:val="none"/>
              </w:rPr>
            </w:pPr>
          </w:p>
        </w:tc>
      </w:tr>
    </w:tbl>
    <w:p>
      <w:pPr>
        <w:rPr>
          <w:rFonts w:ascii="宋体" w:hAnsi="宋体"/>
          <w:color w:val="auto"/>
          <w:sz w:val="28"/>
          <w:highlight w:val="none"/>
        </w:rPr>
      </w:pPr>
    </w:p>
    <w:p>
      <w:pPr>
        <w:rPr>
          <w:rFonts w:hint="eastAsia" w:ascii="宋体" w:hAnsi="宋体"/>
          <w:color w:val="auto"/>
          <w:sz w:val="30"/>
          <w:szCs w:val="30"/>
          <w:highlight w:val="none"/>
        </w:rPr>
      </w:pPr>
      <w:r>
        <w:rPr>
          <w:rFonts w:hint="eastAsia" w:ascii="宋体" w:hAnsi="宋体"/>
          <w:b/>
          <w:color w:val="auto"/>
          <w:szCs w:val="21"/>
          <w:highlight w:val="none"/>
        </w:rPr>
        <w:t>其后附执业资格证书</w:t>
      </w:r>
      <w:r>
        <w:rPr>
          <w:rFonts w:hint="eastAsia" w:ascii="宋体" w:hAnsi="宋体"/>
          <w:b/>
          <w:color w:val="auto"/>
          <w:szCs w:val="21"/>
          <w:highlight w:val="none"/>
          <w:lang w:eastAsia="zh-CN"/>
        </w:rPr>
        <w:t>、</w:t>
      </w:r>
      <w:r>
        <w:rPr>
          <w:rFonts w:hint="eastAsia" w:ascii="宋体" w:hAnsi="宋体"/>
          <w:b/>
          <w:color w:val="auto"/>
          <w:szCs w:val="21"/>
          <w:highlight w:val="none"/>
          <w:lang w:val="en-US" w:eastAsia="zh-CN"/>
        </w:rPr>
        <w:t>职称证书</w:t>
      </w:r>
      <w:r>
        <w:rPr>
          <w:rFonts w:hint="eastAsia" w:ascii="宋体" w:hAnsi="宋体"/>
          <w:b/>
          <w:color w:val="auto"/>
          <w:szCs w:val="21"/>
          <w:highlight w:val="none"/>
        </w:rPr>
        <w:t>及社保证明等资料</w:t>
      </w:r>
      <w:r>
        <w:rPr>
          <w:rFonts w:hint="eastAsia" w:ascii="宋体" w:hAnsi="宋体"/>
          <w:b/>
          <w:color w:val="auto"/>
          <w:szCs w:val="21"/>
          <w:highlight w:val="none"/>
          <w:lang w:val="en-US" w:eastAsia="zh-CN"/>
        </w:rPr>
        <w:t>复制</w:t>
      </w:r>
      <w:r>
        <w:rPr>
          <w:rFonts w:hint="eastAsia" w:ascii="宋体" w:hAnsi="宋体"/>
          <w:b/>
          <w:color w:val="auto"/>
          <w:szCs w:val="21"/>
          <w:highlight w:val="none"/>
        </w:rPr>
        <w:t>件（加盖公章）</w:t>
      </w:r>
      <w:r>
        <w:rPr>
          <w:rFonts w:hint="eastAsia" w:ascii="宋体" w:hAnsi="宋体"/>
          <w:color w:val="auto"/>
          <w:sz w:val="30"/>
          <w:szCs w:val="30"/>
          <w:highlight w:val="none"/>
        </w:rPr>
        <w:t>。</w:t>
      </w:r>
    </w:p>
    <w:p>
      <w:pPr>
        <w:pStyle w:val="25"/>
        <w:rPr>
          <w:color w:val="auto"/>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（签字或盖章）：</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盖单位公章</w:t>
      </w:r>
      <w:r>
        <w:rPr>
          <w:rFonts w:hint="eastAsia" w:ascii="宋体" w:hAnsi="宋体" w:eastAsia="宋体" w:cs="宋体"/>
          <w:color w:val="auto"/>
          <w:sz w:val="24"/>
          <w:szCs w:val="24"/>
          <w:highlight w:val="none"/>
        </w:rPr>
        <w:t>）：</w:t>
      </w:r>
    </w:p>
    <w:p>
      <w:pPr>
        <w:ind w:firstLine="2160" w:firstLineChars="9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 月 日</w:t>
      </w:r>
    </w:p>
    <w:p>
      <w:pPr>
        <w:rPr>
          <w:rFonts w:hint="eastAsia" w:ascii="黑体" w:hAnsi="宋体" w:eastAsia="黑体"/>
          <w:b/>
          <w:color w:val="auto"/>
          <w:sz w:val="36"/>
          <w:highlight w:val="none"/>
        </w:rPr>
      </w:pPr>
      <w:r>
        <w:rPr>
          <w:rFonts w:hint="eastAsia" w:ascii="宋体" w:hAnsi="宋体"/>
          <w:color w:val="auto"/>
          <w:sz w:val="28"/>
          <w:highlight w:val="none"/>
        </w:rPr>
        <w:br w:type="page"/>
      </w:r>
    </w:p>
    <w:p>
      <w:pPr>
        <w:spacing w:line="360" w:lineRule="auto"/>
        <w:jc w:val="center"/>
        <w:rPr>
          <w:rFonts w:hint="eastAsia" w:ascii="黑体" w:hAnsi="宋体" w:eastAsia="黑体"/>
          <w:b/>
          <w:color w:val="auto"/>
          <w:sz w:val="36"/>
          <w:highlight w:val="none"/>
        </w:rPr>
      </w:pPr>
      <w:r>
        <w:rPr>
          <w:rFonts w:hint="eastAsia" w:ascii="黑体" w:hAnsi="宋体" w:eastAsia="黑体"/>
          <w:b/>
          <w:color w:val="auto"/>
          <w:sz w:val="36"/>
          <w:highlight w:val="none"/>
        </w:rPr>
        <w:t>拟投入本项目的造价咨询负责人简历表</w:t>
      </w:r>
    </w:p>
    <w:p>
      <w:pPr>
        <w:pStyle w:val="25"/>
        <w:rPr>
          <w:color w:val="auto"/>
          <w:highlight w:val="none"/>
        </w:rPr>
      </w:pPr>
    </w:p>
    <w:tbl>
      <w:tblPr>
        <w:tblStyle w:val="26"/>
        <w:tblW w:w="8908" w:type="dxa"/>
        <w:jc w:val="center"/>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jc w:val="center"/>
        </w:trPr>
        <w:tc>
          <w:tcPr>
            <w:tcW w:w="2511"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913"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      别</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     格</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称</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     历</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ind w:left="-286" w:leftChars="-144" w:hanging="2"/>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参加工作时间</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从事年限</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8908" w:type="dxa"/>
            <w:gridSpan w:val="7"/>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已完工程项目情况</w:t>
            </w: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 设 单 位</w:t>
            </w: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  名  称</w:t>
            </w: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工程类别</w:t>
            </w: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建设规模</w:t>
            </w: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w:t>
            </w: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719"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1695" w:hRule="atLeast"/>
          <w:jc w:val="center"/>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p>
            <w:pPr>
              <w:jc w:val="cente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pPr>
              <w:jc w:val="center"/>
              <w:rPr>
                <w:rFonts w:hint="eastAsia" w:ascii="宋体" w:hAnsi="宋体" w:eastAsia="宋体" w:cs="宋体"/>
                <w:color w:val="auto"/>
                <w:sz w:val="24"/>
                <w:szCs w:val="24"/>
                <w:highlight w:val="none"/>
              </w:rPr>
            </w:pPr>
          </w:p>
          <w:p>
            <w:pPr>
              <w:jc w:val="both"/>
              <w:rPr>
                <w:rFonts w:hint="eastAsia" w:ascii="宋体" w:hAnsi="宋体" w:eastAsia="宋体" w:cs="宋体"/>
                <w:color w:val="auto"/>
                <w:sz w:val="24"/>
                <w:szCs w:val="24"/>
                <w:highlight w:val="none"/>
              </w:rPr>
            </w:pPr>
          </w:p>
        </w:tc>
        <w:tc>
          <w:tcPr>
            <w:tcW w:w="6397" w:type="dxa"/>
            <w:gridSpan w:val="6"/>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eastAsia="宋体" w:cs="宋体"/>
                <w:color w:val="auto"/>
                <w:sz w:val="24"/>
                <w:szCs w:val="24"/>
                <w:highlight w:val="none"/>
              </w:rPr>
            </w:pPr>
          </w:p>
        </w:tc>
      </w:tr>
    </w:tbl>
    <w:p>
      <w:pPr>
        <w:tabs>
          <w:tab w:val="left" w:pos="3600"/>
          <w:tab w:val="left" w:pos="3780"/>
          <w:tab w:val="left" w:pos="3960"/>
          <w:tab w:val="left" w:pos="4140"/>
        </w:tabs>
        <w:spacing w:line="360" w:lineRule="auto"/>
        <w:jc w:val="left"/>
        <w:rPr>
          <w:rFonts w:hint="eastAsia" w:ascii="宋体" w:hAnsi="宋体" w:eastAsia="宋体" w:cs="宋体"/>
          <w:b/>
          <w:color w:val="auto"/>
          <w:sz w:val="24"/>
          <w:szCs w:val="24"/>
          <w:highlight w:val="none"/>
        </w:rPr>
      </w:pPr>
    </w:p>
    <w:p>
      <w:pPr>
        <w:tabs>
          <w:tab w:val="left" w:pos="3600"/>
          <w:tab w:val="left" w:pos="3780"/>
          <w:tab w:val="left" w:pos="3960"/>
          <w:tab w:val="left" w:pos="4140"/>
        </w:tabs>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其后附执业资格证书</w:t>
      </w:r>
      <w:r>
        <w:rPr>
          <w:rFonts w:hint="eastAsia" w:ascii="宋体" w:hAnsi="宋体" w:eastAsia="宋体" w:cs="宋体"/>
          <w:b/>
          <w:color w:val="auto"/>
          <w:sz w:val="24"/>
          <w:szCs w:val="24"/>
          <w:highlight w:val="none"/>
          <w:lang w:val="en-US" w:eastAsia="zh-CN"/>
        </w:rPr>
        <w:t>及职称证书</w:t>
      </w:r>
      <w:r>
        <w:rPr>
          <w:rFonts w:hint="eastAsia" w:ascii="宋体" w:hAnsi="宋体"/>
          <w:b/>
          <w:color w:val="auto"/>
          <w:szCs w:val="21"/>
          <w:highlight w:val="none"/>
          <w:lang w:val="en-US" w:eastAsia="zh-CN"/>
        </w:rPr>
        <w:t>、</w:t>
      </w:r>
      <w:r>
        <w:rPr>
          <w:rFonts w:hint="eastAsia" w:ascii="宋体" w:hAnsi="宋体" w:eastAsia="宋体" w:cs="宋体"/>
          <w:b/>
          <w:color w:val="auto"/>
          <w:sz w:val="24"/>
          <w:szCs w:val="24"/>
          <w:highlight w:val="none"/>
        </w:rPr>
        <w:t>社保证明等资料复印件（加盖公章）</w:t>
      </w:r>
      <w:r>
        <w:rPr>
          <w:rFonts w:hint="eastAsia" w:ascii="宋体" w:hAnsi="宋体" w:eastAsia="宋体" w:cs="宋体"/>
          <w:color w:val="auto"/>
          <w:sz w:val="24"/>
          <w:szCs w:val="24"/>
          <w:highlight w:val="none"/>
        </w:rPr>
        <w:t>。</w:t>
      </w:r>
    </w:p>
    <w:p>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（签字或盖章）</w:t>
      </w:r>
    </w:p>
    <w:p>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w:t>
      </w:r>
      <w:r>
        <w:rPr>
          <w:rFonts w:hint="eastAsia" w:ascii="宋体" w:hAnsi="宋体" w:cs="宋体"/>
          <w:color w:val="auto"/>
          <w:sz w:val="24"/>
          <w:szCs w:val="24"/>
          <w:highlight w:val="none"/>
          <w:lang w:val="en-US" w:eastAsia="zh-CN"/>
        </w:rPr>
        <w:t>单位公</w:t>
      </w:r>
      <w:r>
        <w:rPr>
          <w:rFonts w:hint="eastAsia" w:ascii="宋体" w:hAnsi="宋体" w:eastAsia="宋体" w:cs="宋体"/>
          <w:color w:val="auto"/>
          <w:sz w:val="24"/>
          <w:szCs w:val="24"/>
          <w:highlight w:val="none"/>
        </w:rPr>
        <w:t>章）</w:t>
      </w:r>
    </w:p>
    <w:p>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spacing w:line="360" w:lineRule="auto"/>
        <w:jc w:val="center"/>
        <w:rPr>
          <w:rFonts w:hint="eastAsia"/>
          <w:color w:val="auto"/>
          <w:highlight w:val="none"/>
        </w:rPr>
      </w:pPr>
      <w:r>
        <w:rPr>
          <w:rFonts w:hint="eastAsia" w:ascii="黑体" w:hAnsi="宋体" w:eastAsia="黑体"/>
          <w:b/>
          <w:color w:val="auto"/>
          <w:sz w:val="36"/>
          <w:highlight w:val="none"/>
        </w:rPr>
        <w:t>拟投入本项目的监理负责人</w:t>
      </w:r>
      <w:r>
        <w:rPr>
          <w:rFonts w:hint="eastAsia" w:ascii="黑体" w:hAnsi="宋体" w:eastAsia="黑体"/>
          <w:b/>
          <w:color w:val="auto"/>
          <w:sz w:val="36"/>
          <w:highlight w:val="none"/>
          <w:lang w:eastAsia="zh-CN"/>
        </w:rPr>
        <w:t>（</w:t>
      </w:r>
      <w:r>
        <w:rPr>
          <w:rFonts w:hint="eastAsia" w:ascii="黑体" w:hAnsi="宋体" w:eastAsia="黑体"/>
          <w:b/>
          <w:color w:val="auto"/>
          <w:sz w:val="36"/>
          <w:highlight w:val="none"/>
          <w:lang w:val="en-US" w:eastAsia="zh-CN"/>
        </w:rPr>
        <w:t>总监</w:t>
      </w:r>
      <w:r>
        <w:rPr>
          <w:rFonts w:hint="eastAsia" w:ascii="黑体" w:hAnsi="宋体" w:eastAsia="黑体"/>
          <w:b/>
          <w:color w:val="auto"/>
          <w:sz w:val="36"/>
          <w:highlight w:val="none"/>
          <w:lang w:eastAsia="zh-CN"/>
        </w:rPr>
        <w:t>）</w:t>
      </w:r>
      <w:r>
        <w:rPr>
          <w:rFonts w:hint="eastAsia" w:ascii="黑体" w:hAnsi="宋体" w:eastAsia="黑体"/>
          <w:b/>
          <w:color w:val="auto"/>
          <w:sz w:val="36"/>
          <w:highlight w:val="none"/>
        </w:rPr>
        <w:t>简历表</w:t>
      </w:r>
    </w:p>
    <w:tbl>
      <w:tblPr>
        <w:tblStyle w:val="26"/>
        <w:tblW w:w="0" w:type="auto"/>
        <w:jc w:val="center"/>
        <w:tblLayout w:type="fixed"/>
        <w:tblCellMar>
          <w:top w:w="0" w:type="dxa"/>
          <w:left w:w="0" w:type="dxa"/>
          <w:bottom w:w="0" w:type="dxa"/>
          <w:right w:w="0" w:type="dxa"/>
        </w:tblCellMar>
      </w:tblPr>
      <w:tblGrid>
        <w:gridCol w:w="2488"/>
        <w:gridCol w:w="1895"/>
        <w:gridCol w:w="29"/>
        <w:gridCol w:w="1547"/>
        <w:gridCol w:w="465"/>
        <w:gridCol w:w="807"/>
        <w:gridCol w:w="1593"/>
      </w:tblGrid>
      <w:tr>
        <w:tblPrEx>
          <w:tblCellMar>
            <w:top w:w="0" w:type="dxa"/>
            <w:left w:w="0" w:type="dxa"/>
            <w:bottom w:w="0" w:type="dxa"/>
            <w:right w:w="0" w:type="dxa"/>
          </w:tblCellMar>
        </w:tblPrEx>
        <w:trPr>
          <w:trHeight w:val="708" w:hRule="atLeast"/>
          <w:jc w:val="center"/>
        </w:trPr>
        <w:tc>
          <w:tcPr>
            <w:tcW w:w="2488"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p>
        </w:tc>
        <w:tc>
          <w:tcPr>
            <w:tcW w:w="189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性</w:t>
            </w:r>
            <w:r>
              <w:rPr>
                <w:rFonts w:ascii="宋体" w:hAnsi="宋体"/>
                <w:color w:val="auto"/>
                <w:szCs w:val="21"/>
                <w:highlight w:val="none"/>
              </w:rPr>
              <w:t xml:space="preserve">      </w:t>
            </w:r>
            <w:r>
              <w:rPr>
                <w:rFonts w:hint="eastAsia" w:ascii="宋体" w:hAnsi="宋体"/>
                <w:color w:val="auto"/>
                <w:szCs w:val="21"/>
                <w:highlight w:val="none"/>
              </w:rPr>
              <w:t>别</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资</w:t>
            </w:r>
            <w:r>
              <w:rPr>
                <w:rFonts w:ascii="宋体" w:hAnsi="宋体"/>
                <w:color w:val="auto"/>
                <w:szCs w:val="21"/>
                <w:highlight w:val="none"/>
              </w:rPr>
              <w:t xml:space="preserve">     </w:t>
            </w:r>
            <w:r>
              <w:rPr>
                <w:rFonts w:hint="eastAsia" w:ascii="宋体" w:hAnsi="宋体"/>
                <w:color w:val="auto"/>
                <w:szCs w:val="21"/>
                <w:highlight w:val="none"/>
              </w:rPr>
              <w:t>格</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称</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学</w:t>
            </w:r>
            <w:r>
              <w:rPr>
                <w:rFonts w:ascii="宋体" w:hAnsi="宋体"/>
                <w:color w:val="auto"/>
                <w:szCs w:val="21"/>
                <w:highlight w:val="none"/>
              </w:rPr>
              <w:t xml:space="preserve">     </w:t>
            </w:r>
            <w:r>
              <w:rPr>
                <w:rFonts w:hint="eastAsia" w:ascii="宋体" w:hAnsi="宋体"/>
                <w:color w:val="auto"/>
                <w:szCs w:val="21"/>
                <w:highlight w:val="none"/>
              </w:rPr>
              <w:t>历</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年</w:t>
            </w:r>
            <w:r>
              <w:rPr>
                <w:rFonts w:ascii="宋体" w:hAnsi="宋体"/>
                <w:color w:val="auto"/>
                <w:szCs w:val="21"/>
                <w:highlight w:val="none"/>
              </w:rPr>
              <w:t xml:space="preserve">      </w:t>
            </w:r>
            <w:r>
              <w:rPr>
                <w:rFonts w:hint="eastAsia" w:ascii="宋体" w:hAnsi="宋体"/>
                <w:color w:val="auto"/>
                <w:szCs w:val="21"/>
                <w:highlight w:val="none"/>
              </w:rPr>
              <w:t>龄</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ind w:left="-286" w:leftChars="-144" w:hanging="2"/>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参加工作时间</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从事项目总监年限</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rPr>
          <w:trHeight w:val="708" w:hRule="atLeast"/>
          <w:jc w:val="center"/>
        </w:trPr>
        <w:tc>
          <w:tcPr>
            <w:tcW w:w="8824" w:type="dxa"/>
            <w:gridSpan w:val="7"/>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已完工程项目情况</w:t>
            </w: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w:t>
            </w:r>
            <w:r>
              <w:rPr>
                <w:rFonts w:ascii="宋体" w:hAnsi="宋体"/>
                <w:color w:val="auto"/>
                <w:szCs w:val="21"/>
                <w:highlight w:val="none"/>
              </w:rPr>
              <w:t xml:space="preserve"> </w:t>
            </w:r>
            <w:r>
              <w:rPr>
                <w:rFonts w:hint="eastAsia" w:ascii="宋体" w:hAnsi="宋体"/>
                <w:color w:val="auto"/>
                <w:szCs w:val="21"/>
                <w:highlight w:val="none"/>
              </w:rPr>
              <w:t>设</w:t>
            </w:r>
            <w:r>
              <w:rPr>
                <w:rFonts w:ascii="宋体" w:hAnsi="宋体"/>
                <w:color w:val="auto"/>
                <w:szCs w:val="21"/>
                <w:highlight w:val="none"/>
              </w:rPr>
              <w:t xml:space="preserve"> </w:t>
            </w:r>
            <w:r>
              <w:rPr>
                <w:rFonts w:hint="eastAsia" w:ascii="宋体" w:hAnsi="宋体"/>
                <w:color w:val="auto"/>
                <w:szCs w:val="21"/>
                <w:highlight w:val="none"/>
              </w:rPr>
              <w:t>单</w:t>
            </w:r>
            <w:r>
              <w:rPr>
                <w:rFonts w:ascii="宋体" w:hAnsi="宋体"/>
                <w:color w:val="auto"/>
                <w:szCs w:val="21"/>
                <w:highlight w:val="none"/>
              </w:rPr>
              <w:t xml:space="preserve"> </w:t>
            </w:r>
            <w:r>
              <w:rPr>
                <w:rFonts w:hint="eastAsia" w:ascii="宋体" w:hAnsi="宋体"/>
                <w:color w:val="auto"/>
                <w:szCs w:val="21"/>
                <w:highlight w:val="none"/>
              </w:rPr>
              <w:t>位</w:t>
            </w: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项</w:t>
            </w:r>
            <w:r>
              <w:rPr>
                <w:rFonts w:ascii="宋体" w:hAnsi="宋体"/>
                <w:color w:val="auto"/>
                <w:szCs w:val="21"/>
                <w:highlight w:val="none"/>
              </w:rPr>
              <w:t xml:space="preserve">  </w:t>
            </w:r>
            <w:r>
              <w:rPr>
                <w:rFonts w:hint="eastAsia" w:ascii="宋体" w:hAnsi="宋体"/>
                <w:color w:val="auto"/>
                <w:szCs w:val="21"/>
                <w:highlight w:val="none"/>
              </w:rPr>
              <w:t>目</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工程类别</w:t>
            </w: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开竣工日期</w:t>
            </w: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工程质量</w:t>
            </w: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1201" w:hRule="atLeast"/>
          <w:jc w:val="center"/>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color w:val="auto"/>
                <w:szCs w:val="21"/>
                <w:highlight w:val="none"/>
              </w:rPr>
            </w:pPr>
          </w:p>
          <w:p>
            <w:pPr>
              <w:jc w:val="center"/>
              <w:rPr>
                <w:rFonts w:hint="eastAsia" w:ascii="宋体" w:hAnsi="宋体"/>
                <w:color w:val="auto"/>
                <w:szCs w:val="21"/>
                <w:highlight w:val="none"/>
              </w:rPr>
            </w:pPr>
          </w:p>
          <w:p>
            <w:pPr>
              <w:rPr>
                <w:rFonts w:hint="eastAsia" w:ascii="宋体" w:hAnsi="宋体"/>
                <w:color w:val="auto"/>
                <w:szCs w:val="21"/>
                <w:highlight w:val="none"/>
              </w:rPr>
            </w:pPr>
          </w:p>
          <w:p>
            <w:pPr>
              <w:jc w:val="center"/>
              <w:rPr>
                <w:rFonts w:hint="eastAsia" w:ascii="宋体" w:hAnsi="宋体"/>
                <w:color w:val="auto"/>
                <w:szCs w:val="21"/>
                <w:highlight w:val="none"/>
              </w:rPr>
            </w:pPr>
            <w:r>
              <w:rPr>
                <w:rFonts w:hint="eastAsia" w:ascii="宋体" w:hAnsi="宋体"/>
                <w:color w:val="auto"/>
                <w:szCs w:val="21"/>
                <w:highlight w:val="none"/>
              </w:rPr>
              <w:t>备注</w:t>
            </w:r>
          </w:p>
          <w:p>
            <w:pPr>
              <w:jc w:val="center"/>
              <w:rPr>
                <w:rFonts w:hint="eastAsia" w:ascii="宋体" w:hAnsi="宋体"/>
                <w:color w:val="auto"/>
                <w:szCs w:val="21"/>
                <w:highlight w:val="none"/>
              </w:rPr>
            </w:pPr>
          </w:p>
          <w:p>
            <w:pPr>
              <w:jc w:val="center"/>
              <w:rPr>
                <w:rFonts w:hint="eastAsia" w:ascii="宋体" w:hAnsi="宋体"/>
                <w:color w:val="auto"/>
                <w:szCs w:val="21"/>
                <w:highlight w:val="none"/>
              </w:rPr>
            </w:pPr>
          </w:p>
          <w:p>
            <w:pPr>
              <w:jc w:val="center"/>
              <w:rPr>
                <w:rFonts w:ascii="宋体" w:hAnsi="宋体"/>
                <w:color w:val="auto"/>
                <w:szCs w:val="21"/>
                <w:highlight w:val="none"/>
              </w:rPr>
            </w:pPr>
          </w:p>
        </w:tc>
        <w:tc>
          <w:tcPr>
            <w:tcW w:w="6336" w:type="dxa"/>
            <w:gridSpan w:val="6"/>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color w:val="auto"/>
                <w:szCs w:val="21"/>
                <w:highlight w:val="none"/>
              </w:rPr>
            </w:pPr>
          </w:p>
        </w:tc>
      </w:tr>
    </w:tbl>
    <w:p>
      <w:pPr>
        <w:tabs>
          <w:tab w:val="left" w:pos="3600"/>
          <w:tab w:val="left" w:pos="3780"/>
          <w:tab w:val="left" w:pos="3960"/>
          <w:tab w:val="left" w:pos="4140"/>
        </w:tabs>
        <w:spacing w:line="360" w:lineRule="auto"/>
        <w:jc w:val="left"/>
        <w:rPr>
          <w:rFonts w:ascii="宋体" w:hAnsi="宋体"/>
          <w:color w:val="auto"/>
          <w:sz w:val="30"/>
          <w:szCs w:val="30"/>
          <w:highlight w:val="none"/>
        </w:rPr>
      </w:pPr>
      <w:r>
        <w:rPr>
          <w:rFonts w:hint="eastAsia" w:ascii="宋体" w:hAnsi="宋体"/>
          <w:b/>
          <w:color w:val="auto"/>
          <w:szCs w:val="21"/>
          <w:highlight w:val="none"/>
        </w:rPr>
        <w:t>其后附执业资格证书</w:t>
      </w:r>
      <w:r>
        <w:rPr>
          <w:rFonts w:hint="eastAsia" w:ascii="宋体" w:hAnsi="宋体"/>
          <w:b/>
          <w:color w:val="auto"/>
          <w:szCs w:val="21"/>
          <w:highlight w:val="none"/>
          <w:lang w:val="en-US" w:eastAsia="zh-CN"/>
        </w:rPr>
        <w:t>及职称证书、</w:t>
      </w:r>
      <w:r>
        <w:rPr>
          <w:rFonts w:hint="eastAsia" w:ascii="宋体" w:hAnsi="宋体"/>
          <w:b/>
          <w:color w:val="auto"/>
          <w:szCs w:val="21"/>
          <w:highlight w:val="none"/>
        </w:rPr>
        <w:t>社保证明等资料复印件（加盖公章）</w:t>
      </w:r>
      <w:r>
        <w:rPr>
          <w:rFonts w:hint="eastAsia" w:ascii="宋体" w:hAnsi="宋体"/>
          <w:color w:val="auto"/>
          <w:sz w:val="30"/>
          <w:szCs w:val="30"/>
          <w:highlight w:val="none"/>
        </w:rPr>
        <w:t>。</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（签字或盖章）</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w:t>
      </w:r>
      <w:r>
        <w:rPr>
          <w:rFonts w:hint="eastAsia" w:ascii="宋体" w:hAnsi="宋体" w:cs="宋体"/>
          <w:color w:val="auto"/>
          <w:sz w:val="24"/>
          <w:szCs w:val="24"/>
          <w:highlight w:val="none"/>
          <w:lang w:val="en-US" w:eastAsia="zh-CN"/>
        </w:rPr>
        <w:t>单位公</w:t>
      </w:r>
      <w:r>
        <w:rPr>
          <w:rFonts w:hint="eastAsia" w:ascii="宋体" w:hAnsi="宋体" w:eastAsia="宋体" w:cs="宋体"/>
          <w:color w:val="auto"/>
          <w:sz w:val="24"/>
          <w:szCs w:val="24"/>
          <w:highlight w:val="none"/>
        </w:rPr>
        <w:t>章）</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rPr>
          <w:rFonts w:hint="eastAsia" w:ascii="宋体" w:hAnsi="宋体" w:eastAsia="宋体" w:cs="Times New Roman"/>
          <w:color w:val="auto"/>
          <w:sz w:val="21"/>
          <w:szCs w:val="21"/>
          <w:highlight w:val="none"/>
        </w:rPr>
      </w:pPr>
      <w:bookmarkStart w:id="1041" w:name="_Toc15957"/>
      <w:bookmarkStart w:id="1042" w:name="_Toc357345503"/>
      <w:bookmarkStart w:id="1043" w:name="_Toc331149333"/>
      <w:bookmarkStart w:id="1044" w:name="_Toc11329"/>
      <w:bookmarkStart w:id="1045" w:name="_Toc14624"/>
      <w:r>
        <w:rPr>
          <w:rFonts w:hint="eastAsia" w:ascii="宋体" w:hAnsi="宋体" w:eastAsia="宋体" w:cs="Times New Roman"/>
          <w:color w:val="auto"/>
          <w:sz w:val="21"/>
          <w:szCs w:val="21"/>
          <w:highlight w:val="none"/>
        </w:rPr>
        <w:br w:type="page"/>
      </w:r>
    </w:p>
    <w:p>
      <w:pPr>
        <w:spacing w:before="240" w:line="400" w:lineRule="exact"/>
        <w:jc w:val="center"/>
        <w:rPr>
          <w:rFonts w:ascii="宋体" w:hAnsi="宋体"/>
          <w:color w:val="auto"/>
          <w:sz w:val="30"/>
          <w:szCs w:val="30"/>
          <w:highlight w:val="none"/>
        </w:rPr>
      </w:pPr>
      <w:r>
        <w:rPr>
          <w:rFonts w:hint="eastAsia"/>
          <w:b/>
          <w:color w:val="auto"/>
          <w:sz w:val="30"/>
          <w:szCs w:val="30"/>
          <w:highlight w:val="none"/>
        </w:rPr>
        <w:t>项目负责人工程业绩表</w:t>
      </w:r>
    </w:p>
    <w:p>
      <w:pPr>
        <w:spacing w:line="400" w:lineRule="exact"/>
        <w:jc w:val="center"/>
        <w:rPr>
          <w:rFonts w:ascii="宋体" w:hAnsi="宋体"/>
          <w:b/>
          <w:color w:val="auto"/>
          <w:szCs w:val="21"/>
          <w:highlight w:val="none"/>
        </w:rPr>
      </w:pP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项目名称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项目所在地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发包人名称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发包人地址</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发包人电话</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合同价格</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开工日期</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竣工日期</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承担的工作</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项目负责人</w:t>
            </w:r>
          </w:p>
          <w:p>
            <w:pPr>
              <w:spacing w:line="400" w:lineRule="exact"/>
              <w:jc w:val="center"/>
              <w:rPr>
                <w:rFonts w:ascii="宋体" w:hAnsi="宋体"/>
                <w:color w:val="auto"/>
                <w:szCs w:val="21"/>
                <w:highlight w:val="none"/>
              </w:rPr>
            </w:pPr>
            <w:r>
              <w:rPr>
                <w:rFonts w:hint="eastAsia" w:ascii="宋体" w:hAnsi="宋体"/>
                <w:color w:val="auto"/>
                <w:szCs w:val="21"/>
                <w:highlight w:val="none"/>
              </w:rPr>
              <w:t>及电话</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项目描述</w:t>
            </w:r>
          </w:p>
        </w:tc>
        <w:tc>
          <w:tcPr>
            <w:tcW w:w="7177" w:type="dxa"/>
            <w:tcBorders>
              <w:bottom w:val="single" w:color="auto" w:sz="6" w:space="0"/>
            </w:tcBorders>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备    注</w:t>
            </w:r>
          </w:p>
        </w:tc>
        <w:tc>
          <w:tcPr>
            <w:tcW w:w="7177" w:type="dxa"/>
            <w:tcBorders>
              <w:top w:val="single" w:color="auto" w:sz="6" w:space="0"/>
              <w:bottom w:val="single" w:color="auto" w:sz="4" w:space="0"/>
            </w:tcBorders>
            <w:noWrap w:val="0"/>
            <w:vAlign w:val="center"/>
          </w:tcPr>
          <w:p>
            <w:pPr>
              <w:spacing w:line="400" w:lineRule="exact"/>
              <w:rPr>
                <w:rFonts w:ascii="宋体" w:hAnsi="宋体"/>
                <w:color w:val="auto"/>
                <w:szCs w:val="21"/>
                <w:highlight w:val="none"/>
              </w:rPr>
            </w:pPr>
          </w:p>
        </w:tc>
      </w:tr>
    </w:tbl>
    <w:p>
      <w:pPr>
        <w:spacing w:line="400" w:lineRule="exact"/>
        <w:rPr>
          <w:rFonts w:hint="eastAsia"/>
          <w:color w:val="auto"/>
          <w:szCs w:val="21"/>
          <w:highlight w:val="none"/>
        </w:rPr>
      </w:pPr>
    </w:p>
    <w:p>
      <w:pPr>
        <w:spacing w:line="400" w:lineRule="exact"/>
        <w:rPr>
          <w:rFonts w:ascii="宋体" w:hAnsi="宋体"/>
          <w:color w:val="auto"/>
          <w:szCs w:val="21"/>
          <w:highlight w:val="none"/>
        </w:rPr>
      </w:pPr>
      <w:r>
        <w:rPr>
          <w:rFonts w:hint="eastAsia"/>
          <w:color w:val="auto"/>
          <w:szCs w:val="21"/>
          <w:highlight w:val="none"/>
        </w:rPr>
        <w:t>附注：</w:t>
      </w:r>
      <w:r>
        <w:rPr>
          <w:rFonts w:hint="eastAsia" w:ascii="宋体" w:hAnsi="宋体"/>
          <w:color w:val="auto"/>
          <w:szCs w:val="21"/>
          <w:highlight w:val="none"/>
        </w:rPr>
        <w:t>业绩中需提供的相关证明材料及格式要求：</w:t>
      </w:r>
    </w:p>
    <w:p>
      <w:pPr>
        <w:spacing w:line="400" w:lineRule="exact"/>
        <w:ind w:firstLine="300" w:firstLineChars="150"/>
        <w:rPr>
          <w:rFonts w:ascii="宋体" w:hAnsi="宋体"/>
          <w:color w:val="auto"/>
          <w:szCs w:val="21"/>
          <w:highlight w:val="none"/>
        </w:rPr>
      </w:pPr>
      <w:r>
        <w:rPr>
          <w:rFonts w:hint="eastAsia" w:ascii="宋体" w:hAnsi="宋体"/>
          <w:color w:val="auto"/>
          <w:highlight w:val="none"/>
        </w:rPr>
        <w:t>1</w:t>
      </w:r>
      <w:r>
        <w:rPr>
          <w:rFonts w:hint="eastAsia" w:ascii="宋体" w:hAnsi="宋体"/>
          <w:color w:val="auto"/>
          <w:szCs w:val="21"/>
          <w:highlight w:val="none"/>
        </w:rPr>
        <w:t>.每张表格只填写一个项目，并标明序号。</w:t>
      </w:r>
    </w:p>
    <w:p>
      <w:pPr>
        <w:spacing w:line="400" w:lineRule="exact"/>
        <w:ind w:firstLine="300" w:firstLineChars="150"/>
        <w:rPr>
          <w:rFonts w:ascii="宋体" w:hAnsi="宋体"/>
          <w:color w:val="auto"/>
          <w:szCs w:val="21"/>
          <w:highlight w:val="none"/>
        </w:rPr>
      </w:pPr>
      <w:r>
        <w:rPr>
          <w:rFonts w:hint="eastAsia" w:ascii="宋体" w:hAnsi="宋体"/>
          <w:color w:val="auto"/>
          <w:szCs w:val="21"/>
          <w:highlight w:val="none"/>
        </w:rPr>
        <w:t>2.本表后须附相关证明材料。</w:t>
      </w:r>
    </w:p>
    <w:p>
      <w:pPr>
        <w:spacing w:line="400" w:lineRule="exact"/>
        <w:ind w:firstLine="300" w:firstLineChars="150"/>
        <w:rPr>
          <w:rFonts w:ascii="宋体" w:hAnsi="宋体"/>
          <w:color w:val="auto"/>
          <w:szCs w:val="21"/>
          <w:highlight w:val="none"/>
        </w:rPr>
      </w:pPr>
      <w:r>
        <w:rPr>
          <w:rFonts w:hint="eastAsia" w:ascii="宋体" w:hAnsi="宋体"/>
          <w:color w:val="auto"/>
          <w:szCs w:val="21"/>
          <w:highlight w:val="none"/>
        </w:rPr>
        <w:t>3.投标人法人机构发生合法变更、重组或法人名称变更时，应提供相关部门的合法批件或其他相关证明材料来证明其所附业绩的继承性。</w:t>
      </w:r>
    </w:p>
    <w:p>
      <w:pPr>
        <w:pStyle w:val="25"/>
        <w:rPr>
          <w:rFonts w:hint="eastAsia"/>
          <w:color w:val="auto"/>
          <w:highlight w:val="none"/>
        </w:rPr>
      </w:pPr>
    </w:p>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br w:type="page"/>
      </w:r>
    </w:p>
    <w:p>
      <w:pPr>
        <w:pStyle w:val="34"/>
        <w:ind w:firstLine="420"/>
        <w:jc w:val="center"/>
        <w:rPr>
          <w:rFonts w:ascii="宋体" w:hAnsi="宋体"/>
          <w:color w:val="auto"/>
          <w:sz w:val="21"/>
          <w:szCs w:val="21"/>
          <w:highlight w:val="none"/>
          <w:lang w:eastAsia="zh-CN"/>
        </w:rPr>
      </w:pPr>
    </w:p>
    <w:p>
      <w:pPr>
        <w:pStyle w:val="34"/>
        <w:ind w:firstLine="723"/>
        <w:jc w:val="center"/>
        <w:rPr>
          <w:rFonts w:ascii="黑体" w:eastAsia="黑体"/>
          <w:b/>
          <w:color w:val="auto"/>
          <w:sz w:val="36"/>
          <w:szCs w:val="21"/>
          <w:highlight w:val="none"/>
          <w:lang w:eastAsia="zh-CN"/>
        </w:rPr>
      </w:pPr>
      <w:r>
        <w:rPr>
          <w:rFonts w:hint="eastAsia" w:ascii="黑体" w:eastAsia="黑体"/>
          <w:b/>
          <w:color w:val="auto"/>
          <w:sz w:val="36"/>
          <w:szCs w:val="21"/>
          <w:highlight w:val="none"/>
          <w:lang w:eastAsia="zh-CN"/>
        </w:rPr>
        <w:t>拟派驻本项目人员一览表</w:t>
      </w:r>
    </w:p>
    <w:tbl>
      <w:tblPr>
        <w:tblStyle w:val="26"/>
        <w:tblW w:w="8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925"/>
        <w:gridCol w:w="1361"/>
        <w:gridCol w:w="1706"/>
        <w:gridCol w:w="1792"/>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rFonts w:hint="eastAsia"/>
                <w:color w:val="auto"/>
                <w:sz w:val="24"/>
                <w:szCs w:val="24"/>
                <w:highlight w:val="none"/>
              </w:rPr>
              <w:t>序号</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480"/>
              <w:rPr>
                <w:color w:val="auto"/>
                <w:sz w:val="24"/>
                <w:szCs w:val="24"/>
                <w:highlight w:val="none"/>
              </w:rPr>
            </w:pPr>
            <w:r>
              <w:rPr>
                <w:rFonts w:hint="eastAsia"/>
                <w:color w:val="auto"/>
                <w:sz w:val="24"/>
                <w:szCs w:val="24"/>
                <w:highlight w:val="none"/>
              </w:rPr>
              <w:t>职务</w:t>
            </w:r>
          </w:p>
        </w:tc>
        <w:tc>
          <w:tcPr>
            <w:tcW w:w="1361" w:type="dxa"/>
            <w:tcBorders>
              <w:top w:val="single" w:color="auto" w:sz="4" w:space="0"/>
              <w:left w:val="single" w:color="auto" w:sz="4" w:space="0"/>
              <w:bottom w:val="single" w:color="auto" w:sz="4" w:space="0"/>
              <w:right w:val="single" w:color="auto" w:sz="4" w:space="0"/>
            </w:tcBorders>
            <w:vAlign w:val="center"/>
          </w:tcPr>
          <w:p>
            <w:pPr>
              <w:pStyle w:val="34"/>
              <w:ind w:firstLine="0" w:firstLineChars="0"/>
              <w:rPr>
                <w:color w:val="auto"/>
                <w:sz w:val="24"/>
                <w:szCs w:val="24"/>
                <w:highlight w:val="none"/>
              </w:rPr>
            </w:pPr>
            <w:r>
              <w:rPr>
                <w:rFonts w:hint="eastAsia"/>
                <w:color w:val="auto"/>
                <w:sz w:val="24"/>
                <w:szCs w:val="24"/>
                <w:highlight w:val="none"/>
              </w:rPr>
              <w:t>姓名</w:t>
            </w:r>
          </w:p>
        </w:tc>
        <w:tc>
          <w:tcPr>
            <w:tcW w:w="1706" w:type="dxa"/>
            <w:tcBorders>
              <w:top w:val="single" w:color="auto" w:sz="4" w:space="0"/>
              <w:left w:val="single" w:color="auto" w:sz="4" w:space="0"/>
              <w:bottom w:val="single" w:color="auto" w:sz="4" w:space="0"/>
              <w:right w:val="single" w:color="auto" w:sz="4" w:space="0"/>
            </w:tcBorders>
            <w:vAlign w:val="center"/>
          </w:tcPr>
          <w:p>
            <w:pPr>
              <w:pStyle w:val="34"/>
              <w:ind w:firstLine="480"/>
              <w:rPr>
                <w:color w:val="auto"/>
                <w:sz w:val="24"/>
                <w:szCs w:val="24"/>
                <w:highlight w:val="none"/>
                <w:lang w:eastAsia="zh-CN"/>
              </w:rPr>
            </w:pPr>
            <w:r>
              <w:rPr>
                <w:rFonts w:hint="eastAsia"/>
                <w:color w:val="auto"/>
                <w:sz w:val="24"/>
                <w:szCs w:val="24"/>
                <w:highlight w:val="none"/>
                <w:lang w:eastAsia="zh-CN"/>
              </w:rPr>
              <w:t>专业</w:t>
            </w: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0"/>
              <w:rPr>
                <w:color w:val="auto"/>
                <w:sz w:val="24"/>
                <w:szCs w:val="24"/>
                <w:highlight w:val="none"/>
              </w:rPr>
            </w:pPr>
            <w:r>
              <w:rPr>
                <w:rFonts w:hint="eastAsia"/>
                <w:color w:val="auto"/>
                <w:sz w:val="24"/>
                <w:szCs w:val="24"/>
                <w:highlight w:val="none"/>
              </w:rPr>
              <w:t>证书名称</w:t>
            </w: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0" w:firstLineChars="0"/>
              <w:rPr>
                <w:color w:val="auto"/>
                <w:sz w:val="24"/>
                <w:szCs w:val="24"/>
                <w:highlight w:val="none"/>
              </w:rPr>
            </w:pPr>
            <w:r>
              <w:rPr>
                <w:rFonts w:hint="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color w:val="auto"/>
                <w:sz w:val="24"/>
                <w:szCs w:val="24"/>
                <w:highlight w:val="none"/>
              </w:rPr>
              <w:t>1</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rPr>
            </w:pPr>
            <w:r>
              <w:rPr>
                <w:rFonts w:hint="eastAsia" w:ascii="宋体" w:hAnsi="宋体"/>
                <w:color w:val="auto"/>
                <w:sz w:val="24"/>
                <w:szCs w:val="24"/>
                <w:highlight w:val="none"/>
              </w:rPr>
              <w:t>项目负责人</w:t>
            </w: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color w:val="auto"/>
                <w:sz w:val="24"/>
                <w:szCs w:val="24"/>
                <w:highlight w:val="none"/>
              </w:rPr>
              <w:t>2</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rPr>
            </w:pPr>
            <w:r>
              <w:rPr>
                <w:rFonts w:ascii="宋体" w:hAnsi="宋体"/>
                <w:color w:val="auto"/>
                <w:sz w:val="24"/>
                <w:szCs w:val="24"/>
                <w:highlight w:val="none"/>
                <w:lang w:eastAsia="zh-CN"/>
              </w:rPr>
              <w:t>.......</w:t>
            </w: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rFonts w:ascii="宋体" w:hAnsi="宋体"/>
                <w:color w:val="auto"/>
                <w:sz w:val="24"/>
                <w:szCs w:val="24"/>
                <w:highlight w:val="none"/>
              </w:rPr>
              <w:t>3</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lang w:eastAsia="zh-CN"/>
              </w:rPr>
            </w:pPr>
            <w:r>
              <w:rPr>
                <w:rFonts w:ascii="宋体" w:hAnsi="宋体"/>
                <w:color w:val="auto"/>
                <w:sz w:val="24"/>
                <w:szCs w:val="24"/>
                <w:highlight w:val="none"/>
                <w:lang w:eastAsia="zh-CN"/>
              </w:rPr>
              <w:t>.......</w:t>
            </w: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rFonts w:ascii="宋体" w:hAnsi="宋体"/>
                <w:color w:val="auto"/>
                <w:sz w:val="24"/>
                <w:szCs w:val="24"/>
                <w:highlight w:val="none"/>
                <w:lang w:eastAsia="zh-CN"/>
              </w:rPr>
            </w:pPr>
            <w:r>
              <w:rPr>
                <w:rFonts w:ascii="宋体" w:hAnsi="宋体"/>
                <w:color w:val="auto"/>
                <w:sz w:val="24"/>
                <w:szCs w:val="24"/>
                <w:highlight w:val="none"/>
                <w:lang w:eastAsia="zh-CN"/>
              </w:rPr>
              <w:t>4</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lang w:eastAsia="zh-CN"/>
              </w:rPr>
            </w:pPr>
            <w:r>
              <w:rPr>
                <w:rFonts w:ascii="宋体" w:hAnsi="宋体"/>
                <w:color w:val="auto"/>
                <w:sz w:val="24"/>
                <w:szCs w:val="24"/>
                <w:highlight w:val="none"/>
                <w:lang w:eastAsia="zh-CN"/>
              </w:rPr>
              <w:t>.......</w:t>
            </w: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color w:val="auto"/>
                <w:sz w:val="24"/>
                <w:szCs w:val="24"/>
                <w:highlight w:val="none"/>
              </w:rPr>
              <w:t>5</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color w:val="auto"/>
                <w:sz w:val="24"/>
                <w:szCs w:val="24"/>
                <w:highlight w:val="none"/>
              </w:rPr>
              <w:t>6</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lang w:eastAsia="zh-CN"/>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lang w:eastAsia="zh-CN"/>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lang w:eastAsia="zh-CN"/>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rPr>
            </w:pPr>
            <w:r>
              <w:rPr>
                <w:color w:val="auto"/>
                <w:sz w:val="24"/>
                <w:szCs w:val="24"/>
                <w:highlight w:val="none"/>
              </w:rPr>
              <w:t>7</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left="0" w:leftChars="-2" w:hanging="4" w:hangingChars="2"/>
              <w:jc w:val="center"/>
              <w:rPr>
                <w:color w:val="auto"/>
                <w:sz w:val="24"/>
                <w:szCs w:val="24"/>
                <w:highlight w:val="none"/>
                <w:lang w:eastAsia="zh-CN"/>
              </w:rPr>
            </w:pPr>
            <w:r>
              <w:rPr>
                <w:color w:val="auto"/>
                <w:sz w:val="24"/>
                <w:szCs w:val="24"/>
                <w:highlight w:val="none"/>
                <w:lang w:eastAsia="zh-CN"/>
              </w:rPr>
              <w:t>8</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34"/>
              <w:ind w:firstLine="480"/>
              <w:jc w:val="center"/>
              <w:rPr>
                <w:color w:val="auto"/>
                <w:sz w:val="24"/>
                <w:szCs w:val="24"/>
                <w:highlight w:val="none"/>
              </w:rPr>
            </w:pPr>
            <w:r>
              <w:rPr>
                <w:rFonts w:ascii="宋体" w:hAnsi="宋体"/>
                <w:color w:val="auto"/>
                <w:sz w:val="24"/>
                <w:szCs w:val="24"/>
                <w:highlight w:val="none"/>
              </w:rPr>
              <w:t>…</w:t>
            </w:r>
          </w:p>
        </w:tc>
        <w:tc>
          <w:tcPr>
            <w:tcW w:w="1925" w:type="dxa"/>
            <w:tcBorders>
              <w:top w:val="single" w:color="auto" w:sz="4" w:space="0"/>
              <w:left w:val="single" w:color="auto" w:sz="4" w:space="0"/>
              <w:bottom w:val="single" w:color="auto" w:sz="4" w:space="0"/>
              <w:right w:val="single" w:color="auto" w:sz="4" w:space="0"/>
            </w:tcBorders>
            <w:vAlign w:val="center"/>
          </w:tcPr>
          <w:p>
            <w:pPr>
              <w:pStyle w:val="34"/>
              <w:ind w:firstLine="480"/>
              <w:rPr>
                <w:rFonts w:ascii="宋体"/>
                <w:color w:val="auto"/>
                <w:sz w:val="24"/>
                <w:szCs w:val="24"/>
                <w:highlight w:val="none"/>
              </w:rPr>
            </w:pPr>
            <w:r>
              <w:rPr>
                <w:rFonts w:ascii="宋体" w:hAnsi="宋体"/>
                <w:color w:val="auto"/>
                <w:sz w:val="24"/>
                <w:szCs w:val="24"/>
                <w:highlight w:val="none"/>
              </w:rPr>
              <w:t>…</w:t>
            </w:r>
          </w:p>
        </w:tc>
        <w:tc>
          <w:tcPr>
            <w:tcW w:w="1361"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34"/>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34"/>
              <w:ind w:firstLine="482"/>
              <w:rPr>
                <w:b/>
                <w:color w:val="auto"/>
                <w:sz w:val="24"/>
                <w:szCs w:val="24"/>
                <w:highlight w:val="none"/>
              </w:rPr>
            </w:pPr>
          </w:p>
        </w:tc>
      </w:tr>
    </w:tbl>
    <w:p>
      <w:pPr>
        <w:spacing w:line="360" w:lineRule="auto"/>
        <w:ind w:firstLine="714" w:firstLineChars="300"/>
        <w:rPr>
          <w:color w:val="auto"/>
          <w:sz w:val="24"/>
          <w:highlight w:val="none"/>
        </w:rPr>
      </w:pPr>
      <w:r>
        <w:rPr>
          <w:rFonts w:hint="eastAsia"/>
          <w:color w:val="auto"/>
          <w:spacing w:val="-1"/>
          <w:sz w:val="24"/>
          <w:highlight w:val="none"/>
        </w:rPr>
        <w:t>注：如</w:t>
      </w:r>
      <w:r>
        <w:rPr>
          <w:color w:val="auto"/>
          <w:spacing w:val="-1"/>
          <w:sz w:val="24"/>
          <w:highlight w:val="none"/>
        </w:rPr>
        <w:t>表格不够用，可以按同样格式扩</w:t>
      </w:r>
      <w:r>
        <w:rPr>
          <w:color w:val="auto"/>
          <w:sz w:val="24"/>
          <w:highlight w:val="none"/>
        </w:rPr>
        <w:t>展</w:t>
      </w:r>
    </w:p>
    <w:p>
      <w:pPr>
        <w:pStyle w:val="25"/>
        <w:rPr>
          <w:color w:val="auto"/>
          <w:highlight w:val="none"/>
        </w:rPr>
      </w:pPr>
    </w:p>
    <w:p>
      <w:pPr>
        <w:snapToGrid w:val="0"/>
        <w:spacing w:line="360" w:lineRule="auto"/>
        <w:ind w:firstLine="3360" w:firstLineChars="1400"/>
        <w:jc w:val="right"/>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（签字或盖章）：</w:t>
      </w:r>
    </w:p>
    <w:p>
      <w:pPr>
        <w:snapToGrid w:val="0"/>
        <w:spacing w:line="360" w:lineRule="auto"/>
        <w:ind w:firstLine="3360" w:firstLineChars="1400"/>
        <w:jc w:val="right"/>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（盖</w:t>
      </w:r>
      <w:r>
        <w:rPr>
          <w:rFonts w:hint="eastAsia" w:ascii="宋体" w:hAnsi="宋体"/>
          <w:color w:val="auto"/>
          <w:sz w:val="24"/>
          <w:szCs w:val="24"/>
          <w:highlight w:val="none"/>
          <w:lang w:val="en-US" w:eastAsia="zh-CN"/>
        </w:rPr>
        <w:t>单位公</w:t>
      </w:r>
      <w:r>
        <w:rPr>
          <w:rFonts w:hint="eastAsia" w:ascii="宋体" w:hAnsi="宋体"/>
          <w:color w:val="auto"/>
          <w:sz w:val="24"/>
          <w:szCs w:val="24"/>
          <w:highlight w:val="none"/>
        </w:rPr>
        <w:t>章）：</w:t>
      </w:r>
    </w:p>
    <w:p>
      <w:pPr>
        <w:pStyle w:val="34"/>
        <w:ind w:firstLine="480"/>
        <w:jc w:val="right"/>
        <w:rPr>
          <w:rFonts w:hint="eastAsia"/>
          <w:color w:val="auto"/>
          <w:sz w:val="24"/>
          <w:szCs w:val="24"/>
          <w:highlight w:val="none"/>
          <w:lang w:eastAsia="zh-CN"/>
        </w:rPr>
      </w:pPr>
      <w:r>
        <w:rPr>
          <w:rFonts w:hint="eastAsia"/>
          <w:color w:val="auto"/>
          <w:sz w:val="24"/>
          <w:szCs w:val="24"/>
          <w:highlight w:val="none"/>
          <w:lang w:eastAsia="zh-CN"/>
        </w:rPr>
        <w:t>年  月  日</w:t>
      </w:r>
    </w:p>
    <w:p>
      <w:pPr>
        <w:rPr>
          <w:rFonts w:hint="eastAsia"/>
          <w:color w:val="auto"/>
          <w:sz w:val="24"/>
          <w:szCs w:val="24"/>
          <w:highlight w:val="none"/>
          <w:lang w:eastAsia="zh-CN"/>
        </w:rPr>
      </w:pPr>
      <w:r>
        <w:rPr>
          <w:rFonts w:hint="eastAsia"/>
          <w:color w:val="auto"/>
          <w:sz w:val="24"/>
          <w:szCs w:val="24"/>
          <w:highlight w:val="none"/>
          <w:lang w:eastAsia="zh-CN"/>
        </w:rPr>
        <w:br w:type="page"/>
      </w:r>
    </w:p>
    <w:p>
      <w:pPr>
        <w:spacing w:line="400" w:lineRule="exact"/>
        <w:jc w:val="center"/>
        <w:rPr>
          <w:rFonts w:hint="eastAsia" w:ascii="宋体" w:hAnsi="宋体"/>
          <w:b/>
          <w:snapToGrid w:val="0"/>
          <w:color w:val="auto"/>
          <w:kern w:val="0"/>
          <w:sz w:val="30"/>
          <w:szCs w:val="30"/>
          <w:highlight w:val="none"/>
        </w:rPr>
      </w:pPr>
      <w:r>
        <w:rPr>
          <w:rFonts w:hint="eastAsia" w:ascii="宋体" w:hAnsi="宋体"/>
          <w:b/>
          <w:snapToGrid w:val="0"/>
          <w:color w:val="auto"/>
          <w:kern w:val="0"/>
          <w:sz w:val="30"/>
          <w:szCs w:val="30"/>
          <w:highlight w:val="none"/>
        </w:rPr>
        <w:t>拟投入本项目人员情况及进场时间一览表</w:t>
      </w:r>
    </w:p>
    <w:p>
      <w:pPr>
        <w:tabs>
          <w:tab w:val="left" w:pos="0"/>
          <w:tab w:val="left" w:pos="720"/>
          <w:tab w:val="left" w:pos="900"/>
        </w:tabs>
        <w:spacing w:line="420" w:lineRule="exact"/>
        <w:ind w:firstLine="402" w:firstLineChars="200"/>
        <w:rPr>
          <w:rFonts w:hint="eastAsia" w:ascii="宋体" w:hAnsi="宋体"/>
          <w:b/>
          <w:bCs/>
          <w:snapToGrid w:val="0"/>
          <w:color w:val="auto"/>
          <w:kern w:val="0"/>
          <w:szCs w:val="21"/>
          <w:highlight w:val="none"/>
          <w:u w:val="single"/>
        </w:rPr>
      </w:pPr>
      <w:r>
        <w:rPr>
          <w:rFonts w:hint="eastAsia" w:ascii="宋体" w:hAnsi="宋体"/>
          <w:b/>
          <w:bCs/>
          <w:snapToGrid w:val="0"/>
          <w:color w:val="auto"/>
          <w:kern w:val="0"/>
          <w:szCs w:val="21"/>
          <w:highlight w:val="none"/>
        </w:rPr>
        <w:t>投标人名称：</w:t>
      </w:r>
      <w:r>
        <w:rPr>
          <w:rFonts w:hint="eastAsia"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rPr>
        <w:t xml:space="preserve">       项目名称： </w:t>
      </w:r>
      <w:r>
        <w:rPr>
          <w:rFonts w:hint="eastAsia" w:ascii="宋体" w:hAnsi="宋体"/>
          <w:b/>
          <w:bCs/>
          <w:snapToGrid w:val="0"/>
          <w:color w:val="auto"/>
          <w:kern w:val="0"/>
          <w:szCs w:val="21"/>
          <w:highlight w:val="none"/>
          <w:u w:val="single"/>
        </w:rPr>
        <w:t xml:space="preserve">                  </w:t>
      </w:r>
    </w:p>
    <w:tbl>
      <w:tblPr>
        <w:tblStyle w:val="26"/>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729"/>
        <w:gridCol w:w="709"/>
        <w:gridCol w:w="709"/>
        <w:gridCol w:w="841"/>
        <w:gridCol w:w="851"/>
        <w:gridCol w:w="1559"/>
        <w:gridCol w:w="837"/>
        <w:gridCol w:w="716"/>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noWrap w:val="0"/>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b/>
                <w:snapToGrid w:val="0"/>
                <w:color w:val="auto"/>
                <w:kern w:val="0"/>
                <w:sz w:val="18"/>
                <w:szCs w:val="18"/>
                <w:highlight w:val="none"/>
              </w:rPr>
              <w:t>部门</w:t>
            </w:r>
          </w:p>
        </w:tc>
        <w:tc>
          <w:tcPr>
            <w:tcW w:w="1134" w:type="dxa"/>
            <w:noWrap w:val="0"/>
            <w:vAlign w:val="center"/>
          </w:tcPr>
          <w:p>
            <w:pPr>
              <w:snapToGrid w:val="0"/>
              <w:spacing w:line="200" w:lineRule="exact"/>
              <w:jc w:val="center"/>
              <w:rPr>
                <w:rFonts w:hint="eastAsia"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配置岗位</w:t>
            </w:r>
          </w:p>
          <w:p>
            <w:pPr>
              <w:snapToGrid w:val="0"/>
              <w:spacing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要求</w:t>
            </w:r>
          </w:p>
        </w:tc>
        <w:tc>
          <w:tcPr>
            <w:tcW w:w="729" w:type="dxa"/>
            <w:noWrap w:val="0"/>
            <w:vAlign w:val="center"/>
          </w:tcPr>
          <w:p>
            <w:pPr>
              <w:spacing w:before="156" w:beforeLines="50" w:after="156" w:afterLines="50" w:line="200" w:lineRule="exact"/>
              <w:jc w:val="center"/>
              <w:rPr>
                <w:rFonts w:hint="eastAsia"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数量</w:t>
            </w: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姓名</w:t>
            </w: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专业要求</w:t>
            </w:r>
          </w:p>
        </w:tc>
        <w:tc>
          <w:tcPr>
            <w:tcW w:w="841"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职称与职业资格</w:t>
            </w:r>
          </w:p>
        </w:tc>
        <w:tc>
          <w:tcPr>
            <w:tcW w:w="851" w:type="dxa"/>
            <w:noWrap w:val="0"/>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专职或兼职</w:t>
            </w:r>
          </w:p>
        </w:tc>
        <w:tc>
          <w:tcPr>
            <w:tcW w:w="1559" w:type="dxa"/>
            <w:noWrap w:val="0"/>
            <w:vAlign w:val="center"/>
          </w:tcPr>
          <w:p>
            <w:pPr>
              <w:spacing w:before="156" w:beforeLines="50" w:after="156" w:afterLines="50" w:line="200" w:lineRule="exact"/>
              <w:jc w:val="center"/>
              <w:rPr>
                <w:rFonts w:hint="eastAsia"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注册证书号</w:t>
            </w:r>
          </w:p>
          <w:p>
            <w:pPr>
              <w:spacing w:before="156" w:beforeLines="50" w:after="156" w:afterLines="50" w:line="200" w:lineRule="exact"/>
              <w:jc w:val="center"/>
              <w:rPr>
                <w:rFonts w:hint="eastAsia"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（岗位证书号）</w:t>
            </w:r>
          </w:p>
        </w:tc>
        <w:tc>
          <w:tcPr>
            <w:tcW w:w="837" w:type="dxa"/>
            <w:noWrap w:val="0"/>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社会保障号</w:t>
            </w: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服务时间段</w:t>
            </w:r>
          </w:p>
        </w:tc>
        <w:tc>
          <w:tcPr>
            <w:tcW w:w="845" w:type="dxa"/>
            <w:noWrap w:val="0"/>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51" w:type="dxa"/>
            <w:noWrap w:val="0"/>
            <w:vAlign w:val="center"/>
          </w:tcPr>
          <w:p>
            <w:pPr>
              <w:spacing w:before="156" w:beforeLines="50" w:after="156" w:afterLines="50" w:line="20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综合管理团队</w:t>
            </w:r>
          </w:p>
        </w:tc>
        <w:tc>
          <w:tcPr>
            <w:tcW w:w="1134" w:type="dxa"/>
            <w:noWrap w:val="0"/>
            <w:vAlign w:val="center"/>
          </w:tcPr>
          <w:p>
            <w:pPr>
              <w:widowControl/>
              <w:spacing w:line="20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项目</w:t>
            </w:r>
            <w:r>
              <w:rPr>
                <w:rFonts w:hint="eastAsia" w:ascii="宋体" w:hAnsi="宋体" w:cs="宋体"/>
                <w:b/>
                <w:bCs/>
                <w:color w:val="auto"/>
                <w:kern w:val="0"/>
                <w:sz w:val="18"/>
                <w:szCs w:val="18"/>
                <w:highlight w:val="none"/>
                <w:lang w:val="en-US" w:eastAsia="zh-CN"/>
              </w:rPr>
              <w:t>负</w:t>
            </w:r>
            <w:r>
              <w:rPr>
                <w:rFonts w:hint="eastAsia" w:ascii="宋体" w:hAnsi="宋体" w:cs="宋体"/>
                <w:b/>
                <w:bCs/>
                <w:color w:val="auto"/>
                <w:kern w:val="0"/>
                <w:sz w:val="18"/>
                <w:szCs w:val="18"/>
                <w:highlight w:val="none"/>
              </w:rPr>
              <w:t>责人</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851" w:type="dxa"/>
            <w:vMerge w:val="restart"/>
            <w:noWrap w:val="0"/>
            <w:vAlign w:val="center"/>
          </w:tcPr>
          <w:p>
            <w:pPr>
              <w:spacing w:before="156" w:beforeLines="50" w:after="156" w:afterLines="50" w:line="200" w:lineRule="exact"/>
              <w:jc w:val="center"/>
              <w:rPr>
                <w:rFonts w:hint="eastAsia" w:ascii="宋体" w:hAnsi="宋体" w:cs="宋体"/>
                <w:color w:val="auto"/>
                <w:kern w:val="0"/>
                <w:sz w:val="18"/>
                <w:szCs w:val="18"/>
                <w:highlight w:val="none"/>
              </w:rPr>
            </w:pPr>
            <w:r>
              <w:rPr>
                <w:rFonts w:hint="eastAsia" w:ascii="宋体" w:hAnsi="宋体" w:cs="宋体"/>
                <w:color w:val="auto"/>
                <w:szCs w:val="21"/>
                <w:highlight w:val="none"/>
              </w:rPr>
              <w:t>项目建设管理组</w:t>
            </w:r>
          </w:p>
        </w:tc>
        <w:tc>
          <w:tcPr>
            <w:tcW w:w="1134" w:type="dxa"/>
            <w:noWrap w:val="0"/>
            <w:vAlign w:val="center"/>
          </w:tcPr>
          <w:p>
            <w:pPr>
              <w:snapToGrid w:val="0"/>
              <w:spacing w:line="200" w:lineRule="exact"/>
              <w:jc w:val="center"/>
              <w:rPr>
                <w:rFonts w:hint="eastAsia" w:ascii="宋体" w:hAnsi="宋体" w:eastAsia="宋体" w:cs="Times New Roman"/>
                <w:b/>
                <w:snapToGrid w:val="0"/>
                <w:color w:val="auto"/>
                <w:kern w:val="0"/>
                <w:sz w:val="18"/>
                <w:szCs w:val="18"/>
                <w:highlight w:val="none"/>
                <w:lang w:val="en-US" w:eastAsia="zh-CN"/>
              </w:rPr>
            </w:pPr>
            <w:r>
              <w:rPr>
                <w:rFonts w:hint="eastAsia" w:ascii="宋体" w:hAnsi="宋体" w:eastAsia="宋体" w:cs="Times New Roman"/>
                <w:b/>
                <w:snapToGrid w:val="0"/>
                <w:color w:val="auto"/>
                <w:kern w:val="0"/>
                <w:sz w:val="18"/>
                <w:szCs w:val="18"/>
                <w:highlight w:val="none"/>
                <w:lang w:val="en-US" w:eastAsia="zh-CN"/>
              </w:rPr>
              <w:t>项目管理</w:t>
            </w:r>
          </w:p>
          <w:p>
            <w:pPr>
              <w:snapToGrid w:val="0"/>
              <w:spacing w:line="200" w:lineRule="exact"/>
              <w:jc w:val="center"/>
              <w:rPr>
                <w:rFonts w:hint="eastAsia" w:ascii="宋体" w:hAnsi="宋体" w:eastAsia="宋体" w:cs="Times New Roman"/>
                <w:b/>
                <w:snapToGrid w:val="0"/>
                <w:color w:val="auto"/>
                <w:kern w:val="0"/>
                <w:sz w:val="18"/>
                <w:szCs w:val="18"/>
                <w:highlight w:val="none"/>
              </w:rPr>
            </w:pPr>
            <w:r>
              <w:rPr>
                <w:rFonts w:hint="eastAsia" w:ascii="宋体" w:hAnsi="宋体" w:eastAsia="宋体" w:cs="Times New Roman"/>
                <w:b/>
                <w:snapToGrid w:val="0"/>
                <w:color w:val="auto"/>
                <w:kern w:val="0"/>
                <w:sz w:val="18"/>
                <w:szCs w:val="18"/>
                <w:highlight w:val="none"/>
                <w:lang w:val="en-US" w:eastAsia="zh-CN"/>
              </w:rPr>
              <w:t>人员</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51" w:type="dxa"/>
            <w:vMerge w:val="continue"/>
            <w:noWrap w:val="0"/>
            <w:vAlign w:val="center"/>
          </w:tcPr>
          <w:p>
            <w:pPr>
              <w:spacing w:before="156" w:beforeLines="50" w:after="156" w:afterLines="50" w:line="200" w:lineRule="exact"/>
              <w:jc w:val="center"/>
              <w:rPr>
                <w:rFonts w:hint="eastAsia" w:ascii="宋体" w:hAnsi="宋体" w:cs="宋体"/>
                <w:color w:val="auto"/>
                <w:szCs w:val="21"/>
                <w:highlight w:val="none"/>
              </w:rPr>
            </w:pPr>
          </w:p>
        </w:tc>
        <w:tc>
          <w:tcPr>
            <w:tcW w:w="1134" w:type="dxa"/>
            <w:noWrap w:val="0"/>
            <w:vAlign w:val="center"/>
          </w:tcPr>
          <w:p>
            <w:pPr>
              <w:snapToGrid w:val="0"/>
              <w:spacing w:line="200" w:lineRule="exact"/>
              <w:jc w:val="center"/>
              <w:rPr>
                <w:rFonts w:hint="eastAsia" w:ascii="宋体" w:hAnsi="宋体" w:eastAsia="宋体" w:cs="Times New Roman"/>
                <w:b/>
                <w:snapToGrid w:val="0"/>
                <w:color w:val="auto"/>
                <w:kern w:val="0"/>
                <w:sz w:val="18"/>
                <w:szCs w:val="18"/>
                <w:highlight w:val="none"/>
              </w:rPr>
            </w:pPr>
            <w:r>
              <w:rPr>
                <w:rFonts w:hint="eastAsia" w:ascii="宋体" w:hAnsi="宋体" w:eastAsia="宋体" w:cs="Times New Roman"/>
                <w:b/>
                <w:snapToGrid w:val="0"/>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1" w:type="dxa"/>
            <w:vMerge w:val="restart"/>
            <w:noWrap w:val="0"/>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监理组</w:t>
            </w:r>
          </w:p>
        </w:tc>
        <w:tc>
          <w:tcPr>
            <w:tcW w:w="1134" w:type="dxa"/>
            <w:noWrap w:val="0"/>
            <w:vAlign w:val="center"/>
          </w:tcPr>
          <w:p>
            <w:pPr>
              <w:snapToGrid w:val="0"/>
              <w:spacing w:line="200" w:lineRule="exact"/>
              <w:jc w:val="center"/>
              <w:rPr>
                <w:rFonts w:hint="eastAsia" w:ascii="宋体" w:hAnsi="宋体" w:eastAsia="宋体" w:cs="Times New Roman"/>
                <w:b/>
                <w:snapToGrid w:val="0"/>
                <w:color w:val="auto"/>
                <w:kern w:val="0"/>
                <w:sz w:val="18"/>
                <w:szCs w:val="18"/>
                <w:highlight w:val="none"/>
              </w:rPr>
            </w:pPr>
            <w:r>
              <w:rPr>
                <w:rFonts w:hint="eastAsia" w:ascii="宋体" w:hAnsi="宋体" w:eastAsia="宋体" w:cs="Times New Roman"/>
                <w:b/>
                <w:snapToGrid w:val="0"/>
                <w:color w:val="auto"/>
                <w:kern w:val="0"/>
                <w:sz w:val="18"/>
                <w:szCs w:val="18"/>
                <w:highlight w:val="none"/>
                <w:lang w:val="en-US" w:eastAsia="zh-CN"/>
              </w:rPr>
              <w:t>监理负责人（总监）</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hint="eastAsia"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hint="eastAsia"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restart"/>
            <w:noWrap w:val="0"/>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造价咨询组</w:t>
            </w:r>
          </w:p>
        </w:tc>
        <w:tc>
          <w:tcPr>
            <w:tcW w:w="1134" w:type="dxa"/>
            <w:noWrap w:val="0"/>
            <w:vAlign w:val="center"/>
          </w:tcPr>
          <w:p>
            <w:pPr>
              <w:widowControl/>
              <w:spacing w:line="20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造价咨询</w:t>
            </w:r>
          </w:p>
          <w:p>
            <w:pPr>
              <w:widowControl/>
              <w:spacing w:line="200" w:lineRule="exact"/>
              <w:jc w:val="center"/>
              <w:rPr>
                <w:rFonts w:hint="eastAsia" w:ascii="宋体" w:hAnsi="宋体" w:cs="宋体"/>
                <w:b/>
                <w:color w:val="auto"/>
                <w:sz w:val="18"/>
                <w:szCs w:val="18"/>
                <w:highlight w:val="none"/>
              </w:rPr>
            </w:pPr>
            <w:r>
              <w:rPr>
                <w:rFonts w:hint="eastAsia" w:ascii="宋体" w:hAnsi="宋体" w:cs="宋体"/>
                <w:b/>
                <w:bCs/>
                <w:color w:val="auto"/>
                <w:kern w:val="0"/>
                <w:sz w:val="18"/>
                <w:szCs w:val="18"/>
                <w:highlight w:val="none"/>
              </w:rPr>
              <w:t>负责人</w:t>
            </w:r>
          </w:p>
        </w:tc>
        <w:tc>
          <w:tcPr>
            <w:tcW w:w="729" w:type="dxa"/>
            <w:noWrap w:val="0"/>
            <w:vAlign w:val="top"/>
          </w:tcPr>
          <w:p>
            <w:pPr>
              <w:spacing w:before="156" w:beforeLines="50" w:after="156" w:afterLines="50" w:line="200" w:lineRule="exact"/>
              <w:jc w:val="center"/>
              <w:rPr>
                <w:rFonts w:ascii="宋体" w:hAnsi="宋体" w:cs="宋体"/>
                <w:b/>
                <w:color w:val="auto"/>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hint="eastAsia"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hint="eastAsia"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noWrap w:val="0"/>
            <w:vAlign w:val="center"/>
          </w:tcPr>
          <w:p>
            <w:pPr>
              <w:widowControl/>
              <w:spacing w:line="200" w:lineRule="exact"/>
              <w:jc w:val="center"/>
              <w:rPr>
                <w:rFonts w:hint="eastAsia"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noWrap w:val="0"/>
            <w:vAlign w:val="center"/>
          </w:tcPr>
          <w:p>
            <w:pPr>
              <w:spacing w:before="156" w:beforeLines="50" w:after="156" w:afterLines="50" w:line="200" w:lineRule="exact"/>
              <w:jc w:val="center"/>
              <w:rPr>
                <w:rFonts w:hint="eastAsia" w:ascii="宋体" w:hAnsi="宋体"/>
                <w:snapToGrid w:val="0"/>
                <w:color w:val="auto"/>
                <w:kern w:val="0"/>
                <w:sz w:val="18"/>
                <w:szCs w:val="18"/>
                <w:highlight w:val="none"/>
              </w:rPr>
            </w:pPr>
            <w:r>
              <w:rPr>
                <w:rFonts w:hint="eastAsia" w:ascii="宋体" w:hAnsi="宋体"/>
                <w:snapToGrid w:val="0"/>
                <w:color w:val="auto"/>
                <w:kern w:val="0"/>
                <w:sz w:val="18"/>
                <w:szCs w:val="18"/>
                <w:highlight w:val="none"/>
              </w:rPr>
              <w:t>其他</w:t>
            </w:r>
          </w:p>
        </w:tc>
        <w:tc>
          <w:tcPr>
            <w:tcW w:w="1134" w:type="dxa"/>
            <w:noWrap w:val="0"/>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noWrap w:val="0"/>
            <w:vAlign w:val="center"/>
          </w:tcPr>
          <w:p>
            <w:pPr>
              <w:widowControl/>
              <w:spacing w:line="200" w:lineRule="exact"/>
              <w:jc w:val="center"/>
              <w:rPr>
                <w:rFonts w:ascii="宋体" w:hAnsi="宋体" w:cs="宋体"/>
                <w:color w:val="auto"/>
                <w:kern w:val="0"/>
                <w:sz w:val="18"/>
                <w:szCs w:val="18"/>
                <w:highlight w:val="none"/>
              </w:rPr>
            </w:pPr>
          </w:p>
        </w:tc>
        <w:tc>
          <w:tcPr>
            <w:tcW w:w="851"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837" w:type="dxa"/>
            <w:noWrap w:val="0"/>
            <w:vAlign w:val="top"/>
          </w:tcPr>
          <w:p>
            <w:pPr>
              <w:spacing w:before="156" w:beforeLines="50" w:after="156" w:afterLines="50" w:line="200" w:lineRule="exact"/>
              <w:jc w:val="center"/>
              <w:rPr>
                <w:rFonts w:ascii="宋体" w:hAnsi="宋体"/>
                <w:snapToGrid w:val="0"/>
                <w:color w:val="auto"/>
                <w:kern w:val="0"/>
                <w:sz w:val="18"/>
                <w:szCs w:val="18"/>
                <w:highlight w:val="none"/>
              </w:rPr>
            </w:pPr>
          </w:p>
        </w:tc>
        <w:tc>
          <w:tcPr>
            <w:tcW w:w="716"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5" w:type="dxa"/>
            <w:noWrap w:val="0"/>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bl>
    <w:p>
      <w:pPr>
        <w:pStyle w:val="38"/>
        <w:spacing w:before="78" w:beforeLines="25" w:after="78" w:afterLines="25"/>
        <w:ind w:left="0" w:leftChars="0" w:firstLine="40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（1）此表为招标人的最低人员需求，投标人可根据招标项目工程内容、规模、工期等特点并结合本公司的自身实力综合考虑，增加配备岗位及数量。 </w:t>
      </w:r>
    </w:p>
    <w:p>
      <w:pPr>
        <w:pStyle w:val="38"/>
        <w:spacing w:before="78" w:beforeLines="25" w:after="78" w:afterLines="2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（2）项目人员在进场前，委托人将就其资格条件、专业能力、管理能力进行复核并考察，经委托人确认后方可进场。项目管理团队及其成员由委托人直接管理与考核，不得与监理团队重复。 </w:t>
      </w:r>
    </w:p>
    <w:p>
      <w:pPr>
        <w:pStyle w:val="38"/>
        <w:spacing w:before="78" w:beforeLines="25" w:after="78" w:afterLines="2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（3）上述驻场时间及到位率为最低要求，如遇项目赶进度、抢工期等特殊情况，需根据招标人要求随时响应，费用包含在投标总价中，中标后不予调整。 </w:t>
      </w:r>
    </w:p>
    <w:p>
      <w:pPr>
        <w:pStyle w:val="38"/>
        <w:spacing w:before="78" w:beforeLines="25" w:after="78" w:afterLines="2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（4）具有注册资格人员的注册企业与投标人必须一致，均为在职职工，不包括离、退休返聘人员；</w:t>
      </w:r>
    </w:p>
    <w:p>
      <w:pPr>
        <w:pStyle w:val="38"/>
        <w:spacing w:before="78" w:beforeLines="25" w:after="78" w:afterLines="2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上述表格中的人员</w:t>
      </w:r>
      <w:r>
        <w:rPr>
          <w:rFonts w:hint="eastAsia" w:ascii="宋体" w:hAnsi="宋体" w:eastAsia="宋体" w:cs="宋体"/>
          <w:color w:val="auto"/>
          <w:szCs w:val="21"/>
          <w:highlight w:val="none"/>
        </w:rPr>
        <w:t>须提供缴费期限包含2023年0</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月、2023年0</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月、2023年0</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月投标人所属社保机构出具的个人养老保险缴纳清单或证明，以到账为准（除分公司外，缴纳单位和投标单位名称必须一致，并加盖社保缴费专用章或电子专用章）；若为事业编制的，以提供缴费期限包含2023年0</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月、2023年0</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月、2023年0</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月由人事代理中心出具的个人养老保险缴纳清单或证明（需加盖人事代理中心证明专用章【或电子专用章】）。</w:t>
      </w:r>
      <w:r>
        <w:rPr>
          <w:rFonts w:hint="eastAsia" w:ascii="宋体" w:hAnsi="宋体" w:eastAsia="宋体" w:cs="宋体"/>
          <w:color w:val="auto"/>
          <w:szCs w:val="21"/>
          <w:highlight w:val="none"/>
          <w:lang w:val="en-US" w:eastAsia="zh-CN"/>
        </w:rPr>
        <w:t>项目管理人员配备其它协调人员</w:t>
      </w:r>
      <w:r>
        <w:rPr>
          <w:rFonts w:hint="eastAsia" w:ascii="宋体" w:hAnsi="宋体" w:cs="宋体"/>
          <w:color w:val="auto"/>
          <w:szCs w:val="21"/>
          <w:highlight w:val="none"/>
          <w:lang w:val="en-US" w:eastAsia="zh-CN"/>
        </w:rPr>
        <w:t>无须提供社保。</w:t>
      </w:r>
    </w:p>
    <w:p>
      <w:pPr>
        <w:pStyle w:val="38"/>
        <w:spacing w:before="78" w:beforeLines="25" w:after="78" w:afterLines="25"/>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投标人可扩展、增加表格内容，具体根据招标文件第四章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项目组织机构人员配备</w:t>
      </w:r>
      <w:r>
        <w:rPr>
          <w:rFonts w:hint="eastAsia" w:ascii="宋体" w:hAnsi="宋体" w:cs="宋体"/>
          <w:color w:val="auto"/>
          <w:szCs w:val="21"/>
          <w:highlight w:val="none"/>
          <w:lang w:eastAsia="zh-CN"/>
        </w:rPr>
        <w:t>》</w:t>
      </w:r>
      <w:r>
        <w:rPr>
          <w:rFonts w:hint="eastAsia" w:ascii="宋体" w:hAnsi="宋体" w:cs="宋体"/>
          <w:color w:val="auto"/>
          <w:szCs w:val="21"/>
          <w:highlight w:val="none"/>
        </w:rPr>
        <w:t>要求填写；</w:t>
      </w:r>
    </w:p>
    <w:bookmarkEnd w:id="1041"/>
    <w:bookmarkEnd w:id="1042"/>
    <w:bookmarkEnd w:id="1043"/>
    <w:bookmarkEnd w:id="1044"/>
    <w:bookmarkEnd w:id="1045"/>
    <w:p>
      <w:pPr>
        <w:rPr>
          <w:rFonts w:ascii="宋体" w:hAnsi="宋体"/>
          <w:b/>
          <w:color w:val="auto"/>
          <w:sz w:val="24"/>
          <w:szCs w:val="24"/>
          <w:highlight w:val="none"/>
        </w:rPr>
      </w:pPr>
      <w:r>
        <w:rPr>
          <w:rFonts w:ascii="宋体" w:hAnsi="宋体"/>
          <w:b/>
          <w:color w:val="auto"/>
          <w:sz w:val="24"/>
          <w:szCs w:val="24"/>
          <w:highlight w:val="none"/>
        </w:rPr>
        <w:br w:type="page"/>
      </w:r>
    </w:p>
    <w:p>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pPr>
        <w:pStyle w:val="21"/>
        <w:spacing w:after="0" w:line="480" w:lineRule="exact"/>
        <w:ind w:left="0" w:leftChars="0"/>
        <w:rPr>
          <w:rFonts w:hint="eastAsia" w:hAnsi="宋体"/>
          <w:color w:val="auto"/>
          <w:sz w:val="24"/>
          <w:szCs w:val="24"/>
          <w:highlight w:val="none"/>
        </w:rPr>
      </w:pPr>
      <w:r>
        <w:rPr>
          <w:rFonts w:hint="eastAsia" w:hAnsi="宋体"/>
          <w:color w:val="auto"/>
          <w:sz w:val="24"/>
          <w:szCs w:val="24"/>
          <w:highlight w:val="none"/>
        </w:rPr>
        <w:t>提供以下证明资料：</w:t>
      </w:r>
    </w:p>
    <w:p>
      <w:pPr>
        <w:pStyle w:val="21"/>
        <w:spacing w:after="0" w:line="480" w:lineRule="exact"/>
        <w:ind w:leftChars="0"/>
        <w:rPr>
          <w:rFonts w:hAnsi="宋体"/>
          <w:color w:val="auto"/>
          <w:sz w:val="24"/>
          <w:szCs w:val="24"/>
          <w:highlight w:val="none"/>
        </w:rPr>
      </w:pPr>
      <w:r>
        <w:rPr>
          <w:rFonts w:hint="eastAsia" w:hAnsi="宋体"/>
          <w:color w:val="auto"/>
          <w:sz w:val="24"/>
          <w:szCs w:val="24"/>
          <w:highlight w:val="none"/>
        </w:rPr>
        <w:t>1.采用项目投标保证金的，需提供银行转账凭证复制件</w:t>
      </w:r>
    </w:p>
    <w:p>
      <w:pPr>
        <w:pStyle w:val="21"/>
        <w:spacing w:after="0" w:line="480" w:lineRule="exact"/>
        <w:ind w:leftChars="0"/>
        <w:rPr>
          <w:rFonts w:hint="eastAsia" w:hAnsi="宋体"/>
          <w:color w:val="auto"/>
          <w:sz w:val="24"/>
          <w:szCs w:val="24"/>
          <w:highlight w:val="none"/>
        </w:rPr>
      </w:pPr>
      <w:r>
        <w:rPr>
          <w:rFonts w:hint="eastAsia" w:hAnsi="宋体"/>
          <w:color w:val="auto"/>
          <w:sz w:val="24"/>
          <w:szCs w:val="24"/>
          <w:highlight w:val="none"/>
        </w:rPr>
        <w:t>2.采用电子工程保函的，需提供电子工程保函及保费付款凭证复制件</w:t>
      </w:r>
    </w:p>
    <w:p>
      <w:pPr>
        <w:pStyle w:val="21"/>
        <w:spacing w:after="0" w:line="480" w:lineRule="exact"/>
        <w:ind w:leftChars="0"/>
        <w:rPr>
          <w:rFonts w:hAnsi="宋体"/>
          <w:color w:val="auto"/>
          <w:sz w:val="24"/>
          <w:szCs w:val="24"/>
          <w:highlight w:val="none"/>
        </w:rPr>
      </w:pPr>
      <w:r>
        <w:rPr>
          <w:rFonts w:hint="eastAsia" w:hAnsi="宋体"/>
          <w:color w:val="auto"/>
          <w:sz w:val="24"/>
          <w:szCs w:val="24"/>
          <w:highlight w:val="none"/>
        </w:rPr>
        <w:t>3.基本存款账户信息（基本账户开户许可证）复制件</w:t>
      </w:r>
    </w:p>
    <w:p>
      <w:pPr>
        <w:pStyle w:val="25"/>
        <w:tabs>
          <w:tab w:val="left" w:pos="9360"/>
          <w:tab w:val="clear" w:pos="574"/>
        </w:tabs>
        <w:ind w:firstLine="240"/>
        <w:rPr>
          <w:rFonts w:ascii="宋体" w:hAnsi="宋体" w:cs="Arial"/>
          <w:color w:val="auto"/>
          <w:sz w:val="24"/>
          <w:highlight w:val="none"/>
        </w:rPr>
      </w:pPr>
    </w:p>
    <w:p>
      <w:pPr>
        <w:rPr>
          <w:color w:val="auto"/>
          <w:highlight w:val="none"/>
        </w:rPr>
      </w:pPr>
      <w:r>
        <w:rPr>
          <w:rFonts w:hint="eastAsia"/>
          <w:color w:val="auto"/>
          <w:highlight w:val="none"/>
        </w:rPr>
        <w:tab/>
      </w:r>
    </w:p>
    <w:p>
      <w:pPr>
        <w:rPr>
          <w:rFonts w:ascii="宋体" w:hAnsi="宋体"/>
          <w:b/>
          <w:color w:val="auto"/>
          <w:sz w:val="24"/>
          <w:szCs w:val="24"/>
          <w:highlight w:val="none"/>
        </w:rPr>
      </w:pPr>
      <w:r>
        <w:rPr>
          <w:rFonts w:ascii="宋体" w:hAnsi="宋体"/>
          <w:b/>
          <w:color w:val="auto"/>
          <w:sz w:val="24"/>
          <w:szCs w:val="24"/>
          <w:highlight w:val="none"/>
        </w:rPr>
        <w:br w:type="page"/>
      </w:r>
    </w:p>
    <w:p>
      <w:pPr>
        <w:ind w:firstLine="1205" w:firstLineChars="500"/>
        <w:rPr>
          <w:rFonts w:hint="eastAsia" w:ascii="宋体" w:hAnsi="宋体"/>
          <w:b/>
          <w:color w:val="auto"/>
          <w:sz w:val="24"/>
          <w:szCs w:val="24"/>
          <w:highlight w:val="none"/>
          <w:lang w:val="en-US" w:eastAsia="zh-CN"/>
        </w:rPr>
      </w:pPr>
      <w:r>
        <w:rPr>
          <w:rFonts w:ascii="宋体" w:hAnsi="宋体"/>
          <w:b/>
          <w:color w:val="auto"/>
          <w:sz w:val="24"/>
          <w:szCs w:val="24"/>
          <w:highlight w:val="none"/>
        </w:rPr>
        <w:t>投</w:t>
      </w:r>
      <w:r>
        <w:rPr>
          <w:rFonts w:hint="eastAsia" w:ascii="宋体" w:hAnsi="宋体"/>
          <w:b/>
          <w:color w:val="auto"/>
          <w:sz w:val="24"/>
          <w:szCs w:val="24"/>
          <w:highlight w:val="none"/>
        </w:rPr>
        <w:t>标人（含联合体成员）及拟派全过程工程咨询</w:t>
      </w:r>
      <w:r>
        <w:rPr>
          <w:rFonts w:hint="eastAsia" w:ascii="宋体" w:hAnsi="宋体"/>
          <w:b/>
          <w:color w:val="auto"/>
          <w:sz w:val="24"/>
          <w:szCs w:val="24"/>
          <w:highlight w:val="none"/>
          <w:lang w:val="en-US" w:eastAsia="zh-CN"/>
        </w:rPr>
        <w:t>项目</w:t>
      </w:r>
      <w:r>
        <w:rPr>
          <w:rFonts w:hint="eastAsia" w:ascii="宋体" w:hAnsi="宋体"/>
          <w:b/>
          <w:color w:val="auto"/>
          <w:sz w:val="24"/>
          <w:szCs w:val="24"/>
          <w:highlight w:val="none"/>
        </w:rPr>
        <w:t>负责人</w:t>
      </w:r>
      <w:r>
        <w:rPr>
          <w:rFonts w:hint="eastAsia" w:ascii="宋体" w:hAnsi="宋体"/>
          <w:b/>
          <w:color w:val="auto"/>
          <w:sz w:val="24"/>
          <w:szCs w:val="24"/>
          <w:highlight w:val="none"/>
          <w:lang w:val="en-US" w:eastAsia="zh-CN"/>
        </w:rPr>
        <w:t>及分项负责人</w:t>
      </w:r>
    </w:p>
    <w:p>
      <w:pPr>
        <w:spacing w:line="360" w:lineRule="auto"/>
        <w:jc w:val="center"/>
        <w:rPr>
          <w:rFonts w:ascii="宋体" w:hAnsi="宋体"/>
          <w:b/>
          <w:color w:val="auto"/>
          <w:sz w:val="24"/>
          <w:szCs w:val="24"/>
          <w:highlight w:val="none"/>
        </w:rPr>
      </w:pPr>
      <w:r>
        <w:rPr>
          <w:rFonts w:ascii="宋体" w:hAnsi="宋体"/>
          <w:b/>
          <w:color w:val="auto"/>
          <w:sz w:val="24"/>
          <w:szCs w:val="24"/>
          <w:highlight w:val="none"/>
        </w:rPr>
        <w:t>无行贿犯罪记录承诺书</w:t>
      </w:r>
    </w:p>
    <w:p>
      <w:pPr>
        <w:spacing w:line="360" w:lineRule="auto"/>
        <w:ind w:firstLine="420"/>
        <w:rPr>
          <w:rFonts w:ascii="宋体" w:hAnsi="宋体"/>
          <w:color w:val="auto"/>
          <w:sz w:val="24"/>
          <w:szCs w:val="24"/>
          <w:highlight w:val="none"/>
        </w:rPr>
      </w:pPr>
    </w:p>
    <w:p>
      <w:pPr>
        <w:spacing w:line="360" w:lineRule="auto"/>
        <w:ind w:firstLine="454"/>
        <w:rPr>
          <w:rFonts w:ascii="宋体" w:hAnsi="宋体"/>
          <w:color w:val="auto"/>
          <w:sz w:val="24"/>
          <w:szCs w:val="24"/>
          <w:highlight w:val="none"/>
        </w:rPr>
      </w:pPr>
      <w:r>
        <w:rPr>
          <w:rFonts w:ascii="宋体" w:hAnsi="宋体"/>
          <w:color w:val="auto"/>
          <w:sz w:val="24"/>
          <w:szCs w:val="24"/>
          <w:highlight w:val="none"/>
        </w:rPr>
        <w:t>本投标人</w:t>
      </w:r>
      <w:r>
        <w:rPr>
          <w:rFonts w:hint="eastAsia"/>
          <w:color w:val="auto"/>
          <w:sz w:val="24"/>
          <w:szCs w:val="24"/>
          <w:highlight w:val="none"/>
          <w:u w:val="single"/>
        </w:rPr>
        <w:t xml:space="preserve">               </w:t>
      </w:r>
      <w:r>
        <w:rPr>
          <w:rFonts w:ascii="宋体" w:hAnsi="宋体"/>
          <w:color w:val="auto"/>
          <w:sz w:val="24"/>
          <w:szCs w:val="24"/>
          <w:highlight w:val="none"/>
        </w:rPr>
        <w:t>（投标人名称）郑重承诺：</w:t>
      </w:r>
    </w:p>
    <w:p>
      <w:pPr>
        <w:spacing w:line="360" w:lineRule="auto"/>
        <w:ind w:firstLine="454"/>
        <w:rPr>
          <w:rFonts w:ascii="宋体" w:hAnsi="宋体"/>
          <w:color w:val="auto"/>
          <w:sz w:val="24"/>
          <w:szCs w:val="24"/>
          <w:highlight w:val="none"/>
        </w:rPr>
      </w:pPr>
      <w:r>
        <w:rPr>
          <w:rFonts w:ascii="宋体" w:hAnsi="宋体"/>
          <w:snapToGrid w:val="0"/>
          <w:color w:val="auto"/>
          <w:sz w:val="24"/>
          <w:szCs w:val="24"/>
          <w:highlight w:val="none"/>
        </w:rPr>
        <w:t>自</w:t>
      </w:r>
      <w:r>
        <w:rPr>
          <w:rFonts w:hint="eastAsia"/>
          <w:color w:val="auto"/>
          <w:sz w:val="24"/>
          <w:szCs w:val="24"/>
          <w:highlight w:val="none"/>
          <w:u w:val="single"/>
        </w:rPr>
        <w:t xml:space="preserve">     </w:t>
      </w:r>
      <w:r>
        <w:rPr>
          <w:rFonts w:ascii="宋体" w:hAnsi="宋体"/>
          <w:snapToGrid w:val="0"/>
          <w:color w:val="auto"/>
          <w:sz w:val="24"/>
          <w:szCs w:val="24"/>
          <w:highlight w:val="none"/>
        </w:rPr>
        <w:t>年</w:t>
      </w:r>
      <w:r>
        <w:rPr>
          <w:rFonts w:hint="eastAsia"/>
          <w:color w:val="auto"/>
          <w:sz w:val="24"/>
          <w:szCs w:val="24"/>
          <w:highlight w:val="none"/>
          <w:u w:val="single"/>
        </w:rPr>
        <w:t xml:space="preserve">     </w:t>
      </w:r>
      <w:r>
        <w:rPr>
          <w:rFonts w:ascii="宋体" w:hAnsi="宋体"/>
          <w:snapToGrid w:val="0"/>
          <w:color w:val="auto"/>
          <w:sz w:val="24"/>
          <w:szCs w:val="24"/>
          <w:highlight w:val="none"/>
        </w:rPr>
        <w:t>月</w:t>
      </w:r>
      <w:r>
        <w:rPr>
          <w:rFonts w:hint="eastAsia"/>
          <w:color w:val="auto"/>
          <w:sz w:val="24"/>
          <w:szCs w:val="24"/>
          <w:highlight w:val="none"/>
          <w:u w:val="single"/>
        </w:rPr>
        <w:t xml:space="preserve">     </w:t>
      </w:r>
      <w:r>
        <w:rPr>
          <w:rFonts w:ascii="宋体" w:hAnsi="宋体"/>
          <w:snapToGrid w:val="0"/>
          <w:color w:val="auto"/>
          <w:sz w:val="24"/>
          <w:szCs w:val="24"/>
          <w:highlight w:val="none"/>
        </w:rPr>
        <w:t>日以来至投标截止时间，本投标人及拟派</w:t>
      </w:r>
      <w:r>
        <w:rPr>
          <w:rFonts w:hint="eastAsia" w:ascii="宋体" w:hAnsi="宋体"/>
          <w:snapToGrid w:val="0"/>
          <w:color w:val="auto"/>
          <w:sz w:val="24"/>
          <w:szCs w:val="24"/>
          <w:highlight w:val="none"/>
        </w:rPr>
        <w:t>全过程工程咨询</w:t>
      </w:r>
      <w:r>
        <w:rPr>
          <w:rFonts w:hint="eastAsia" w:ascii="宋体" w:hAnsi="宋体"/>
          <w:snapToGrid w:val="0"/>
          <w:color w:val="auto"/>
          <w:sz w:val="24"/>
          <w:szCs w:val="24"/>
          <w:highlight w:val="none"/>
          <w:lang w:val="en-US" w:eastAsia="zh-CN"/>
        </w:rPr>
        <w:t>项目</w:t>
      </w:r>
      <w:r>
        <w:rPr>
          <w:rFonts w:hint="eastAsia" w:ascii="宋体" w:hAnsi="宋体"/>
          <w:snapToGrid w:val="0"/>
          <w:color w:val="auto"/>
          <w:sz w:val="24"/>
          <w:szCs w:val="24"/>
          <w:highlight w:val="none"/>
        </w:rPr>
        <w:t>负责人</w:t>
      </w:r>
      <w:r>
        <w:rPr>
          <w:rFonts w:hint="eastAsia"/>
          <w:color w:val="auto"/>
          <w:sz w:val="24"/>
          <w:szCs w:val="24"/>
          <w:highlight w:val="none"/>
          <w:u w:val="single"/>
        </w:rPr>
        <w:t xml:space="preserve">     </w:t>
      </w:r>
      <w:r>
        <w:rPr>
          <w:rFonts w:ascii="宋体" w:hAnsi="宋体"/>
          <w:color w:val="auto"/>
          <w:sz w:val="24"/>
          <w:szCs w:val="24"/>
          <w:highlight w:val="none"/>
        </w:rPr>
        <w:t>（姓名）（身份证号码：</w:t>
      </w:r>
      <w:r>
        <w:rPr>
          <w:rFonts w:hint="eastAsia"/>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lang w:val="en-US" w:eastAsia="zh-CN"/>
        </w:rPr>
        <w:t>及分项负责人</w:t>
      </w:r>
      <w:r>
        <w:rPr>
          <w:rFonts w:hint="eastAsia"/>
          <w:color w:val="auto"/>
          <w:sz w:val="24"/>
          <w:szCs w:val="24"/>
          <w:highlight w:val="none"/>
          <w:u w:val="single"/>
        </w:rPr>
        <w:t xml:space="preserve">     </w:t>
      </w:r>
      <w:r>
        <w:rPr>
          <w:rFonts w:ascii="宋体" w:hAnsi="宋体"/>
          <w:color w:val="auto"/>
          <w:sz w:val="24"/>
          <w:szCs w:val="24"/>
          <w:highlight w:val="none"/>
        </w:rPr>
        <w:t>（姓名）（身份证号码：</w:t>
      </w:r>
      <w:r>
        <w:rPr>
          <w:rFonts w:hint="eastAsia"/>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 xml:space="preserve">   </w:t>
      </w:r>
      <w:r>
        <w:rPr>
          <w:rFonts w:hint="eastAsia"/>
          <w:color w:val="auto"/>
          <w:sz w:val="24"/>
          <w:szCs w:val="24"/>
          <w:highlight w:val="none"/>
          <w:u w:val="single"/>
        </w:rPr>
        <w:t xml:space="preserve">     </w:t>
      </w:r>
      <w:r>
        <w:rPr>
          <w:rFonts w:ascii="宋体" w:hAnsi="宋体"/>
          <w:color w:val="auto"/>
          <w:sz w:val="24"/>
          <w:szCs w:val="24"/>
          <w:highlight w:val="none"/>
        </w:rPr>
        <w:t>（姓名）（身份证号码：</w:t>
      </w:r>
      <w:r>
        <w:rPr>
          <w:rFonts w:hint="eastAsia"/>
          <w:color w:val="auto"/>
          <w:sz w:val="24"/>
          <w:szCs w:val="24"/>
          <w:highlight w:val="none"/>
          <w:u w:val="single"/>
        </w:rPr>
        <w:t xml:space="preserve">         </w:t>
      </w:r>
      <w:r>
        <w:rPr>
          <w:rFonts w:ascii="宋体" w:hAnsi="宋体"/>
          <w:color w:val="auto"/>
          <w:sz w:val="24"/>
          <w:szCs w:val="24"/>
          <w:highlight w:val="none"/>
        </w:rPr>
        <w:t>）</w:t>
      </w:r>
      <w:r>
        <w:rPr>
          <w:rFonts w:ascii="宋体" w:hAnsi="宋体"/>
          <w:snapToGrid w:val="0"/>
          <w:color w:val="auto"/>
          <w:sz w:val="24"/>
          <w:szCs w:val="24"/>
          <w:highlight w:val="none"/>
        </w:rPr>
        <w:t>（</w:t>
      </w:r>
      <w:r>
        <w:rPr>
          <w:rFonts w:hint="eastAsia" w:ascii="宋体" w:hAnsi="宋体"/>
          <w:color w:val="auto"/>
          <w:sz w:val="24"/>
          <w:szCs w:val="24"/>
          <w:highlight w:val="none"/>
        </w:rPr>
        <w:t>以中国裁判文书网（</w:t>
      </w:r>
      <w:r>
        <w:rPr>
          <w:rFonts w:ascii="宋体" w:hAnsi="宋体"/>
          <w:color w:val="auto"/>
          <w:sz w:val="24"/>
          <w:szCs w:val="24"/>
          <w:highlight w:val="none"/>
        </w:rPr>
        <w:t>http://wenshu.court.gov.cn/）网站查询结果为准</w:t>
      </w:r>
      <w:r>
        <w:rPr>
          <w:rFonts w:hint="eastAsia" w:ascii="宋体" w:hAnsi="宋体"/>
          <w:color w:val="auto"/>
          <w:sz w:val="24"/>
          <w:szCs w:val="24"/>
          <w:highlight w:val="none"/>
          <w:lang w:eastAsia="zh-CN"/>
        </w:rPr>
        <w:t>，</w:t>
      </w:r>
      <w:r>
        <w:rPr>
          <w:rFonts w:hint="eastAsia" w:hAnsi="宋体" w:cs="Times New Roman"/>
          <w:color w:val="auto"/>
          <w:sz w:val="24"/>
          <w:szCs w:val="24"/>
          <w:highlight w:val="none"/>
          <w:lang w:val="en-US" w:eastAsia="zh-CN"/>
        </w:rPr>
        <w:t>投标文件中无需提供</w:t>
      </w:r>
      <w:r>
        <w:rPr>
          <w:rFonts w:ascii="宋体" w:hAnsi="宋体"/>
          <w:snapToGrid w:val="0"/>
          <w:color w:val="auto"/>
          <w:sz w:val="24"/>
          <w:szCs w:val="24"/>
          <w:highlight w:val="none"/>
        </w:rPr>
        <w:t>）无行贿犯罪记录。如有不实</w:t>
      </w:r>
      <w:r>
        <w:rPr>
          <w:rFonts w:ascii="宋体" w:hAnsi="宋体"/>
          <w:color w:val="auto"/>
          <w:sz w:val="24"/>
          <w:szCs w:val="24"/>
          <w:highlight w:val="none"/>
        </w:rPr>
        <w:t>，愿意被取消中标资格</w:t>
      </w:r>
      <w:r>
        <w:rPr>
          <w:rFonts w:ascii="宋体" w:hAnsi="宋体"/>
          <w:bCs/>
          <w:color w:val="auto"/>
          <w:sz w:val="24"/>
          <w:szCs w:val="24"/>
          <w:highlight w:val="none"/>
        </w:rPr>
        <w:t>并上报行政主管部门，由行政主管部门列入不良行为记录，并同意招标人</w:t>
      </w:r>
      <w:r>
        <w:rPr>
          <w:rFonts w:hint="eastAsia" w:ascii="宋体" w:hAnsi="宋体"/>
          <w:color w:val="auto"/>
          <w:kern w:val="16"/>
          <w:sz w:val="24"/>
          <w:szCs w:val="22"/>
          <w:highlight w:val="none"/>
        </w:rPr>
        <w:t>不予退还</w:t>
      </w:r>
      <w:r>
        <w:rPr>
          <w:rFonts w:ascii="宋体" w:hAnsi="宋体"/>
          <w:bCs/>
          <w:color w:val="auto"/>
          <w:sz w:val="24"/>
          <w:szCs w:val="24"/>
          <w:highlight w:val="none"/>
        </w:rPr>
        <w:t>我方递交的投标保证金。</w:t>
      </w:r>
    </w:p>
    <w:p>
      <w:pPr>
        <w:spacing w:line="360" w:lineRule="auto"/>
        <w:ind w:firstLine="454"/>
        <w:rPr>
          <w:rFonts w:ascii="宋体" w:hAnsi="宋体"/>
          <w:color w:val="auto"/>
          <w:sz w:val="24"/>
          <w:szCs w:val="24"/>
          <w:highlight w:val="none"/>
        </w:rPr>
      </w:pPr>
      <w:r>
        <w:rPr>
          <w:rFonts w:ascii="宋体" w:hAnsi="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-31115</wp:posOffset>
                </wp:positionH>
                <wp:positionV relativeFrom="paragraph">
                  <wp:posOffset>265430</wp:posOffset>
                </wp:positionV>
                <wp:extent cx="5669280" cy="2989580"/>
                <wp:effectExtent l="4445" t="4445" r="22225" b="15875"/>
                <wp:wrapNone/>
                <wp:docPr id="6" name="文本框 6"/>
                <wp:cNvGraphicFramePr/>
                <a:graphic xmlns:a="http://schemas.openxmlformats.org/drawingml/2006/main">
                  <a:graphicData uri="http://schemas.microsoft.com/office/word/2010/wordprocessingShape">
                    <wps:wsp>
                      <wps:cNvSpPr txBox="1"/>
                      <wps:spPr>
                        <a:xfrm>
                          <a:off x="0" y="0"/>
                          <a:ext cx="5669280" cy="2989580"/>
                        </a:xfrm>
                        <a:prstGeom prst="rect">
                          <a:avLst/>
                        </a:prstGeom>
                        <a:noFill/>
                        <a:ln w="9525" cap="flat" cmpd="sng">
                          <a:solidFill>
                            <a:srgbClr val="000000"/>
                          </a:solidFill>
                          <a:prstDash val="solid"/>
                          <a:miter/>
                          <a:headEnd type="none" w="med" len="med"/>
                          <a:tailEnd type="none" w="med" len="med"/>
                        </a:ln>
                        <a:effectLst/>
                      </wps:spPr>
                      <wps:txbx>
                        <w:txbxContent>
                          <w:p>
                            <w:pPr>
                              <w:rPr>
                                <w:snapToGrid w:val="0"/>
                                <w:highlight w:val="yellow"/>
                              </w:rPr>
                            </w:pPr>
                          </w:p>
                          <w:p>
                            <w:pPr>
                              <w:rPr>
                                <w:snapToGrid w:val="0"/>
                                <w:highlight w:val="yellow"/>
                              </w:rPr>
                            </w:pPr>
                          </w:p>
                          <w:p>
                            <w:pPr>
                              <w:rPr>
                                <w:snapToGrid w:val="0"/>
                                <w:highlight w:val="yellow"/>
                              </w:rPr>
                            </w:pPr>
                          </w:p>
                          <w:p>
                            <w:pPr>
                              <w:rPr>
                                <w:snapToGrid w:val="0"/>
                                <w:highlight w:val="yellow"/>
                              </w:rPr>
                            </w:pPr>
                          </w:p>
                          <w:p>
                            <w:pPr>
                              <w:rPr>
                                <w:snapToGrid w:val="0"/>
                                <w:highlight w:val="yellow"/>
                              </w:rPr>
                            </w:pPr>
                          </w:p>
                          <w:p>
                            <w:pPr>
                              <w:jc w:val="center"/>
                              <w:rPr>
                                <w:bCs/>
                                <w:color w:val="000000"/>
                              </w:rPr>
                            </w:pPr>
                            <w:r>
                              <w:rPr>
                                <w:rFonts w:hint="eastAsia" w:ascii="Times New Roman" w:hAnsi="Times New Roman" w:eastAsia="宋体" w:cs="Times New Roman"/>
                                <w:bCs/>
                                <w:color w:val="000000"/>
                              </w:rPr>
                              <w:t>拟派全过程工程咨询</w:t>
                            </w:r>
                            <w:r>
                              <w:rPr>
                                <w:rFonts w:hint="eastAsia" w:cs="Times New Roman"/>
                                <w:bCs/>
                                <w:color w:val="000000"/>
                                <w:lang w:val="en-US" w:eastAsia="zh-CN"/>
                              </w:rPr>
                              <w:t>项目</w:t>
                            </w:r>
                            <w:r>
                              <w:rPr>
                                <w:rFonts w:hint="eastAsia" w:ascii="Times New Roman" w:hAnsi="Times New Roman" w:eastAsia="宋体" w:cs="Times New Roman"/>
                                <w:bCs/>
                                <w:color w:val="000000"/>
                              </w:rPr>
                              <w:t>负责人</w:t>
                            </w:r>
                            <w:r>
                              <w:rPr>
                                <w:rFonts w:hint="eastAsia" w:ascii="Times New Roman" w:hAnsi="Times New Roman" w:eastAsia="宋体" w:cs="Times New Roman"/>
                                <w:bCs/>
                                <w:color w:val="FF0000"/>
                                <w:lang w:val="en-US" w:eastAsia="zh-CN"/>
                              </w:rPr>
                              <w:t>及分项负责人</w:t>
                            </w:r>
                            <w:r>
                              <w:rPr>
                                <w:rFonts w:hint="eastAsia"/>
                                <w:bCs/>
                                <w:color w:val="000000"/>
                              </w:rPr>
                              <w:t>身份证</w:t>
                            </w:r>
                            <w:r>
                              <w:rPr>
                                <w:rFonts w:hint="eastAsia"/>
                                <w:bCs/>
                                <w:color w:val="000000"/>
                                <w:lang w:val="en-US" w:eastAsia="zh-CN"/>
                              </w:rPr>
                              <w:t>复印件</w:t>
                            </w:r>
                            <w:r>
                              <w:rPr>
                                <w:rFonts w:hint="eastAsia" w:ascii="宋体" w:hAnsi="宋体" w:cs="宋体"/>
                                <w:szCs w:val="21"/>
                              </w:rPr>
                              <w:t>放置处（正、反面）</w:t>
                            </w:r>
                          </w:p>
                        </w:txbxContent>
                      </wps:txbx>
                      <wps:bodyPr upright="1"/>
                    </wps:wsp>
                  </a:graphicData>
                </a:graphic>
              </wp:anchor>
            </w:drawing>
          </mc:Choice>
          <mc:Fallback>
            <w:pict>
              <v:shape id="_x0000_s1026" o:spid="_x0000_s1026" o:spt="202" type="#_x0000_t202" style="position:absolute;left:0pt;margin-left:-2.45pt;margin-top:20.9pt;height:235.4pt;width:446.4pt;z-index:251660288;mso-width-relative:page;mso-height-relative:page;" filled="f" stroked="t" coordsize="21600,21600" o:gfxdata="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FiWx51wAAAAkBAAAPAAAAAAAAAAEAIAAAACIA&#10;AABkcnMvZG93bnJldi54bWxQSwECFAAUAAAACACHTuJA91nCqAoCAAAcBAAADgAAAAAAAAABACAA&#10;AAAmAQAAZHJzL2Uyb0RvYy54bWxQSwUGAAAAAAYABgBZAQAAogUAAAAA&#10;">
                <v:fill on="f" focussize="0,0"/>
                <v:stroke color="#000000" joinstyle="miter"/>
                <v:imagedata o:title=""/>
                <o:lock v:ext="edit" aspectratio="f"/>
                <v:textbox>
                  <w:txbxContent>
                    <w:p>
                      <w:pPr>
                        <w:rPr>
                          <w:snapToGrid w:val="0"/>
                          <w:highlight w:val="yellow"/>
                        </w:rPr>
                      </w:pPr>
                    </w:p>
                    <w:p>
                      <w:pPr>
                        <w:rPr>
                          <w:snapToGrid w:val="0"/>
                          <w:highlight w:val="yellow"/>
                        </w:rPr>
                      </w:pPr>
                    </w:p>
                    <w:p>
                      <w:pPr>
                        <w:rPr>
                          <w:snapToGrid w:val="0"/>
                          <w:highlight w:val="yellow"/>
                        </w:rPr>
                      </w:pPr>
                    </w:p>
                    <w:p>
                      <w:pPr>
                        <w:rPr>
                          <w:snapToGrid w:val="0"/>
                          <w:highlight w:val="yellow"/>
                        </w:rPr>
                      </w:pPr>
                    </w:p>
                    <w:p>
                      <w:pPr>
                        <w:rPr>
                          <w:snapToGrid w:val="0"/>
                          <w:highlight w:val="yellow"/>
                        </w:rPr>
                      </w:pPr>
                    </w:p>
                    <w:p>
                      <w:pPr>
                        <w:jc w:val="center"/>
                        <w:rPr>
                          <w:bCs/>
                          <w:color w:val="000000"/>
                        </w:rPr>
                      </w:pPr>
                      <w:r>
                        <w:rPr>
                          <w:rFonts w:hint="eastAsia" w:ascii="Times New Roman" w:hAnsi="Times New Roman" w:eastAsia="宋体" w:cs="Times New Roman"/>
                          <w:bCs/>
                          <w:color w:val="000000"/>
                        </w:rPr>
                        <w:t>拟派全过程工程咨询</w:t>
                      </w:r>
                      <w:r>
                        <w:rPr>
                          <w:rFonts w:hint="eastAsia" w:cs="Times New Roman"/>
                          <w:bCs/>
                          <w:color w:val="000000"/>
                          <w:lang w:val="en-US" w:eastAsia="zh-CN"/>
                        </w:rPr>
                        <w:t>项目</w:t>
                      </w:r>
                      <w:r>
                        <w:rPr>
                          <w:rFonts w:hint="eastAsia" w:ascii="Times New Roman" w:hAnsi="Times New Roman" w:eastAsia="宋体" w:cs="Times New Roman"/>
                          <w:bCs/>
                          <w:color w:val="000000"/>
                        </w:rPr>
                        <w:t>负责人</w:t>
                      </w:r>
                      <w:r>
                        <w:rPr>
                          <w:rFonts w:hint="eastAsia" w:ascii="Times New Roman" w:hAnsi="Times New Roman" w:eastAsia="宋体" w:cs="Times New Roman"/>
                          <w:bCs/>
                          <w:color w:val="FF0000"/>
                          <w:lang w:val="en-US" w:eastAsia="zh-CN"/>
                        </w:rPr>
                        <w:t>及分项负责人</w:t>
                      </w:r>
                      <w:r>
                        <w:rPr>
                          <w:rFonts w:hint="eastAsia"/>
                          <w:bCs/>
                          <w:color w:val="000000"/>
                        </w:rPr>
                        <w:t>身份证</w:t>
                      </w:r>
                      <w:r>
                        <w:rPr>
                          <w:rFonts w:hint="eastAsia"/>
                          <w:bCs/>
                          <w:color w:val="000000"/>
                          <w:lang w:val="en-US" w:eastAsia="zh-CN"/>
                        </w:rPr>
                        <w:t>复印件</w:t>
                      </w:r>
                      <w:r>
                        <w:rPr>
                          <w:rFonts w:hint="eastAsia" w:ascii="宋体" w:hAnsi="宋体" w:cs="宋体"/>
                          <w:szCs w:val="21"/>
                        </w:rPr>
                        <w:t>放置处（正、反面）</w:t>
                      </w:r>
                    </w:p>
                  </w:txbxContent>
                </v:textbox>
              </v:shape>
            </w:pict>
          </mc:Fallback>
        </mc:AlternateContent>
      </w:r>
      <w:r>
        <w:rPr>
          <w:rFonts w:ascii="宋体" w:hAnsi="宋体"/>
          <w:color w:val="auto"/>
          <w:sz w:val="24"/>
          <w:szCs w:val="24"/>
          <w:highlight w:val="none"/>
        </w:rPr>
        <w:t>附：</w:t>
      </w:r>
      <w:r>
        <w:rPr>
          <w:rFonts w:ascii="宋体" w:hAnsi="宋体"/>
          <w:snapToGrid w:val="0"/>
          <w:color w:val="auto"/>
          <w:sz w:val="24"/>
          <w:szCs w:val="24"/>
          <w:highlight w:val="none"/>
        </w:rPr>
        <w:t>拟派</w:t>
      </w:r>
      <w:r>
        <w:rPr>
          <w:rFonts w:hint="eastAsia" w:ascii="宋体" w:hAnsi="宋体"/>
          <w:snapToGrid w:val="0"/>
          <w:color w:val="auto"/>
          <w:sz w:val="24"/>
          <w:szCs w:val="24"/>
          <w:highlight w:val="none"/>
        </w:rPr>
        <w:t>全过程工程咨询</w:t>
      </w:r>
      <w:r>
        <w:rPr>
          <w:rFonts w:hint="eastAsia" w:ascii="宋体" w:hAnsi="宋体"/>
          <w:snapToGrid w:val="0"/>
          <w:color w:val="auto"/>
          <w:sz w:val="24"/>
          <w:szCs w:val="24"/>
          <w:highlight w:val="none"/>
          <w:lang w:val="en-US" w:eastAsia="zh-CN"/>
        </w:rPr>
        <w:t>项目</w:t>
      </w:r>
      <w:r>
        <w:rPr>
          <w:rFonts w:hint="eastAsia" w:ascii="宋体" w:hAnsi="宋体"/>
          <w:snapToGrid w:val="0"/>
          <w:color w:val="auto"/>
          <w:sz w:val="24"/>
          <w:szCs w:val="24"/>
          <w:highlight w:val="none"/>
        </w:rPr>
        <w:t>负责人</w:t>
      </w:r>
      <w:r>
        <w:rPr>
          <w:rFonts w:hint="eastAsia" w:ascii="宋体" w:hAnsi="宋体"/>
          <w:snapToGrid w:val="0"/>
          <w:color w:val="auto"/>
          <w:sz w:val="24"/>
          <w:szCs w:val="24"/>
          <w:highlight w:val="none"/>
          <w:lang w:val="en-US" w:eastAsia="zh-CN"/>
        </w:rPr>
        <w:t>及分项负责人</w:t>
      </w:r>
      <w:r>
        <w:rPr>
          <w:rFonts w:ascii="宋体" w:hAnsi="宋体"/>
          <w:color w:val="auto"/>
          <w:sz w:val="24"/>
          <w:szCs w:val="24"/>
          <w:highlight w:val="none"/>
        </w:rPr>
        <w:t>身份证复印件</w:t>
      </w: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widowControl/>
        <w:spacing w:line="360" w:lineRule="auto"/>
        <w:ind w:firstLine="4440" w:firstLineChars="1850"/>
        <w:jc w:val="right"/>
        <w:rPr>
          <w:rFonts w:ascii="宋体" w:hAnsi="宋体"/>
          <w:snapToGrid w:val="0"/>
          <w:color w:val="auto"/>
          <w:sz w:val="24"/>
          <w:szCs w:val="24"/>
          <w:highlight w:val="none"/>
        </w:rPr>
      </w:pPr>
      <w:r>
        <w:rPr>
          <w:rFonts w:ascii="宋体" w:hAnsi="宋体"/>
          <w:snapToGrid w:val="0"/>
          <w:color w:val="auto"/>
          <w:sz w:val="24"/>
          <w:szCs w:val="24"/>
          <w:highlight w:val="none"/>
        </w:rPr>
        <w:t>投标人：</w:t>
      </w:r>
      <w:r>
        <w:rPr>
          <w:rFonts w:hint="eastAsia" w:ascii="宋体" w:hAnsi="宋体"/>
          <w:snapToGrid w:val="0"/>
          <w:color w:val="auto"/>
          <w:sz w:val="24"/>
          <w:szCs w:val="24"/>
          <w:highlight w:val="none"/>
          <w:u w:val="single"/>
          <w:lang w:val="en-US" w:eastAsia="zh-CN"/>
        </w:rPr>
        <w:t xml:space="preserve">         </w:t>
      </w:r>
      <w:r>
        <w:rPr>
          <w:rFonts w:hint="eastAsia" w:ascii="宋体" w:hAnsi="宋体"/>
          <w:snapToGrid w:val="0"/>
          <w:color w:val="auto"/>
          <w:sz w:val="24"/>
          <w:szCs w:val="24"/>
          <w:highlight w:val="none"/>
        </w:rPr>
        <w:t>（盖</w:t>
      </w:r>
      <w:r>
        <w:rPr>
          <w:rFonts w:hint="eastAsia" w:ascii="宋体" w:hAnsi="宋体"/>
          <w:snapToGrid w:val="0"/>
          <w:color w:val="auto"/>
          <w:sz w:val="24"/>
          <w:szCs w:val="24"/>
          <w:highlight w:val="none"/>
          <w:lang w:val="en-US" w:eastAsia="zh-CN"/>
        </w:rPr>
        <w:t>单位公</w:t>
      </w:r>
      <w:r>
        <w:rPr>
          <w:rFonts w:hint="eastAsia" w:ascii="宋体" w:hAnsi="宋体"/>
          <w:snapToGrid w:val="0"/>
          <w:color w:val="auto"/>
          <w:sz w:val="24"/>
          <w:szCs w:val="24"/>
          <w:highlight w:val="none"/>
        </w:rPr>
        <w:t>章）</w:t>
      </w:r>
    </w:p>
    <w:p>
      <w:pPr>
        <w:widowControl/>
        <w:spacing w:line="360" w:lineRule="auto"/>
        <w:ind w:firstLine="4440" w:firstLineChars="1850"/>
        <w:jc w:val="right"/>
        <w:rPr>
          <w:rFonts w:ascii="宋体" w:hAnsi="宋体"/>
          <w:snapToGrid w:val="0"/>
          <w:color w:val="auto"/>
          <w:sz w:val="24"/>
          <w:szCs w:val="24"/>
          <w:highlight w:val="none"/>
        </w:rPr>
      </w:pPr>
      <w:r>
        <w:rPr>
          <w:rFonts w:ascii="宋体" w:hAnsi="宋体"/>
          <w:snapToGrid w:val="0"/>
          <w:color w:val="auto"/>
          <w:sz w:val="24"/>
          <w:szCs w:val="24"/>
          <w:highlight w:val="none"/>
        </w:rPr>
        <w:t>法定代表人：</w:t>
      </w:r>
      <w:r>
        <w:rPr>
          <w:rFonts w:hint="eastAsia" w:ascii="宋体" w:hAnsi="宋体"/>
          <w:snapToGrid w:val="0"/>
          <w:color w:val="auto"/>
          <w:sz w:val="24"/>
          <w:szCs w:val="24"/>
          <w:highlight w:val="none"/>
          <w:u w:val="single"/>
          <w:lang w:val="en-US" w:eastAsia="zh-CN"/>
        </w:rPr>
        <w:t xml:space="preserve">             </w:t>
      </w:r>
      <w:r>
        <w:rPr>
          <w:rFonts w:hint="eastAsia" w:ascii="宋体" w:hAnsi="宋体"/>
          <w:snapToGrid w:val="0"/>
          <w:color w:val="auto"/>
          <w:sz w:val="24"/>
          <w:szCs w:val="24"/>
          <w:highlight w:val="none"/>
        </w:rPr>
        <w:t>（</w:t>
      </w:r>
      <w:r>
        <w:rPr>
          <w:rFonts w:hint="eastAsia" w:ascii="宋体" w:hAnsi="宋体"/>
          <w:color w:val="auto"/>
          <w:sz w:val="24"/>
          <w:szCs w:val="24"/>
          <w:highlight w:val="none"/>
        </w:rPr>
        <w:t>盖章或签字</w:t>
      </w:r>
      <w:r>
        <w:rPr>
          <w:rFonts w:hint="eastAsia" w:ascii="宋体" w:hAnsi="宋体"/>
          <w:snapToGrid w:val="0"/>
          <w:color w:val="auto"/>
          <w:sz w:val="24"/>
          <w:szCs w:val="24"/>
          <w:highlight w:val="none"/>
        </w:rPr>
        <w:t>）</w:t>
      </w:r>
    </w:p>
    <w:p>
      <w:pPr>
        <w:pStyle w:val="34"/>
        <w:ind w:firstLine="480"/>
        <w:jc w:val="right"/>
        <w:rPr>
          <w:b/>
          <w:color w:val="auto"/>
          <w:sz w:val="24"/>
          <w:szCs w:val="24"/>
          <w:highlight w:val="none"/>
          <w:lang w:eastAsia="zh-CN"/>
        </w:rPr>
      </w:pPr>
      <w:r>
        <w:rPr>
          <w:rFonts w:hint="eastAsia"/>
          <w:snapToGrid w:val="0"/>
          <w:color w:val="auto"/>
          <w:sz w:val="24"/>
          <w:szCs w:val="24"/>
          <w:highlight w:val="none"/>
          <w:lang w:eastAsia="zh-CN"/>
        </w:rPr>
        <w:t>年  月  日</w:t>
      </w:r>
    </w:p>
    <w:p>
      <w:pPr>
        <w:pStyle w:val="34"/>
        <w:ind w:firstLine="400"/>
        <w:jc w:val="right"/>
        <w:rPr>
          <w:color w:val="auto"/>
          <w:highlight w:val="none"/>
          <w:lang w:eastAsia="zh-CN"/>
        </w:rPr>
        <w:sectPr>
          <w:headerReference r:id="rId17" w:type="first"/>
          <w:footerReference r:id="rId19" w:type="first"/>
          <w:headerReference r:id="rId16" w:type="default"/>
          <w:footerReference r:id="rId18" w:type="default"/>
          <w:footnotePr>
            <w:numRestart w:val="eachPage"/>
          </w:footnotePr>
          <w:endnotePr>
            <w:numRestart w:val="eachSect"/>
          </w:endnotePr>
          <w:pgSz w:w="11907" w:h="16840"/>
          <w:pgMar w:top="967" w:right="1304" w:bottom="1304" w:left="1247" w:header="851" w:footer="992" w:gutter="0"/>
          <w:pgNumType w:fmt="decimal"/>
          <w:cols w:space="720" w:num="1"/>
          <w:titlePg/>
          <w:docGrid w:linePitch="435" w:charSpace="-6554"/>
        </w:sectPr>
      </w:pPr>
    </w:p>
    <w:p>
      <w:pPr>
        <w:snapToGrid w:val="0"/>
        <w:spacing w:line="360" w:lineRule="auto"/>
        <w:ind w:right="-294" w:rightChars="-147"/>
        <w:jc w:val="center"/>
        <w:rPr>
          <w:color w:val="auto"/>
          <w:sz w:val="24"/>
          <w:szCs w:val="24"/>
          <w:highlight w:val="none"/>
        </w:rPr>
      </w:pPr>
      <w:r>
        <w:rPr>
          <w:rFonts w:hint="eastAsia" w:ascii="宋体" w:hAnsi="宋体"/>
          <w:b/>
          <w:color w:val="auto"/>
          <w:sz w:val="24"/>
          <w:szCs w:val="24"/>
          <w:highlight w:val="none"/>
        </w:rPr>
        <w:t>投标人（含联合体成员）及拟派全过程工程咨询</w:t>
      </w:r>
      <w:r>
        <w:rPr>
          <w:rFonts w:hint="eastAsia" w:ascii="宋体" w:hAnsi="宋体"/>
          <w:b/>
          <w:color w:val="auto"/>
          <w:sz w:val="24"/>
          <w:szCs w:val="24"/>
          <w:highlight w:val="none"/>
          <w:lang w:val="en-US" w:eastAsia="zh-CN"/>
        </w:rPr>
        <w:t>项目</w:t>
      </w:r>
      <w:r>
        <w:rPr>
          <w:rFonts w:hint="eastAsia" w:ascii="宋体" w:hAnsi="宋体"/>
          <w:b/>
          <w:color w:val="auto"/>
          <w:sz w:val="24"/>
          <w:szCs w:val="24"/>
          <w:highlight w:val="none"/>
        </w:rPr>
        <w:t>负责人</w:t>
      </w:r>
      <w:r>
        <w:rPr>
          <w:rFonts w:ascii="宋体" w:hAnsi="宋体"/>
          <w:b/>
          <w:color w:val="auto"/>
          <w:sz w:val="24"/>
          <w:szCs w:val="24"/>
          <w:highlight w:val="none"/>
        </w:rPr>
        <w:t>未被限制投标承诺书</w:t>
      </w:r>
    </w:p>
    <w:p>
      <w:pPr>
        <w:snapToGrid w:val="0"/>
        <w:spacing w:line="360" w:lineRule="auto"/>
        <w:rPr>
          <w:rFonts w:ascii="宋体" w:hAnsi="宋体"/>
          <w:snapToGrid w:val="0"/>
          <w:color w:val="auto"/>
          <w:sz w:val="24"/>
          <w:szCs w:val="24"/>
          <w:highlight w:val="none"/>
        </w:rPr>
      </w:pPr>
      <w:r>
        <w:rPr>
          <w:rFonts w:hint="eastAsia"/>
          <w:color w:val="auto"/>
          <w:sz w:val="24"/>
          <w:szCs w:val="24"/>
          <w:highlight w:val="none"/>
          <w:u w:val="single"/>
        </w:rPr>
        <w:t xml:space="preserve">                         </w:t>
      </w:r>
      <w:r>
        <w:rPr>
          <w:rFonts w:ascii="宋体" w:hAnsi="宋体"/>
          <w:snapToGrid w:val="0"/>
          <w:color w:val="auto"/>
          <w:sz w:val="24"/>
          <w:szCs w:val="24"/>
          <w:highlight w:val="none"/>
        </w:rPr>
        <w:t>（招标人名称）：</w:t>
      </w:r>
    </w:p>
    <w:p>
      <w:pPr>
        <w:snapToGrid w:val="0"/>
        <w:spacing w:line="360" w:lineRule="auto"/>
        <w:ind w:firstLine="480" w:firstLineChars="200"/>
        <w:rPr>
          <w:rFonts w:ascii="宋体" w:hAnsi="宋体"/>
          <w:snapToGrid w:val="0"/>
          <w:color w:val="auto"/>
          <w:sz w:val="24"/>
          <w:szCs w:val="24"/>
          <w:highlight w:val="none"/>
        </w:rPr>
      </w:pPr>
      <w:r>
        <w:rPr>
          <w:rFonts w:ascii="宋体" w:hAnsi="宋体"/>
          <w:snapToGrid w:val="0"/>
          <w:color w:val="auto"/>
          <w:sz w:val="24"/>
          <w:szCs w:val="24"/>
          <w:highlight w:val="none"/>
        </w:rPr>
        <w:t>本投标人</w:t>
      </w:r>
      <w:r>
        <w:rPr>
          <w:rFonts w:hint="eastAsia"/>
          <w:color w:val="auto"/>
          <w:sz w:val="24"/>
          <w:szCs w:val="24"/>
          <w:highlight w:val="none"/>
          <w:u w:val="single"/>
        </w:rPr>
        <w:t xml:space="preserve">                         </w:t>
      </w:r>
      <w:r>
        <w:rPr>
          <w:rFonts w:ascii="宋体" w:hAnsi="宋体"/>
          <w:snapToGrid w:val="0"/>
          <w:color w:val="auto"/>
          <w:sz w:val="24"/>
          <w:szCs w:val="24"/>
          <w:highlight w:val="none"/>
        </w:rPr>
        <w:t>（投标人名称）郑重承诺：</w:t>
      </w:r>
    </w:p>
    <w:p>
      <w:pPr>
        <w:snapToGrid w:val="0"/>
        <w:spacing w:line="360" w:lineRule="auto"/>
        <w:ind w:firstLine="480" w:firstLineChars="200"/>
        <w:rPr>
          <w:rFonts w:ascii="宋体" w:hAnsi="宋体"/>
          <w:snapToGrid w:val="0"/>
          <w:color w:val="auto"/>
          <w:sz w:val="24"/>
          <w:szCs w:val="24"/>
          <w:highlight w:val="none"/>
        </w:rPr>
      </w:pPr>
      <w:r>
        <w:rPr>
          <w:rFonts w:ascii="宋体" w:hAnsi="宋体"/>
          <w:snapToGrid w:val="0"/>
          <w:color w:val="auto"/>
          <w:sz w:val="24"/>
          <w:szCs w:val="24"/>
          <w:highlight w:val="none"/>
        </w:rPr>
        <w:t>本投标人及拟派本招标项目的</w:t>
      </w:r>
      <w:r>
        <w:rPr>
          <w:rFonts w:hint="eastAsia" w:ascii="宋体" w:hAnsi="宋体"/>
          <w:snapToGrid w:val="0"/>
          <w:color w:val="auto"/>
          <w:sz w:val="24"/>
          <w:szCs w:val="24"/>
          <w:highlight w:val="none"/>
        </w:rPr>
        <w:t>全过程工程咨询</w:t>
      </w:r>
      <w:r>
        <w:rPr>
          <w:rFonts w:hint="eastAsia" w:ascii="宋体" w:hAnsi="宋体"/>
          <w:snapToGrid w:val="0"/>
          <w:color w:val="auto"/>
          <w:sz w:val="24"/>
          <w:szCs w:val="24"/>
          <w:highlight w:val="none"/>
          <w:lang w:val="en-US" w:eastAsia="zh-CN"/>
        </w:rPr>
        <w:t>项目</w:t>
      </w:r>
      <w:r>
        <w:rPr>
          <w:rFonts w:hint="eastAsia" w:ascii="宋体" w:hAnsi="宋体"/>
          <w:snapToGrid w:val="0"/>
          <w:color w:val="auto"/>
          <w:sz w:val="24"/>
          <w:szCs w:val="24"/>
          <w:highlight w:val="none"/>
        </w:rPr>
        <w:t>负责人未被各级市场限制投标。</w:t>
      </w:r>
      <w:r>
        <w:rPr>
          <w:rFonts w:ascii="宋体" w:hAnsi="宋体"/>
          <w:snapToGrid w:val="0"/>
          <w:color w:val="auto"/>
          <w:sz w:val="24"/>
          <w:szCs w:val="24"/>
          <w:highlight w:val="none"/>
        </w:rPr>
        <w:t>如有不实，愿意被取消中标资格并上报行政主管部门，由行政主管部门列入不良行为记录，并同意招标人</w:t>
      </w:r>
      <w:r>
        <w:rPr>
          <w:rFonts w:hint="eastAsia" w:ascii="宋体" w:hAnsi="宋体"/>
          <w:snapToGrid w:val="0"/>
          <w:color w:val="auto"/>
          <w:sz w:val="24"/>
          <w:szCs w:val="24"/>
          <w:highlight w:val="none"/>
        </w:rPr>
        <w:t>不予退还</w:t>
      </w:r>
      <w:r>
        <w:rPr>
          <w:rFonts w:ascii="宋体" w:hAnsi="宋体"/>
          <w:snapToGrid w:val="0"/>
          <w:color w:val="auto"/>
          <w:sz w:val="24"/>
          <w:szCs w:val="24"/>
          <w:highlight w:val="none"/>
        </w:rPr>
        <w:t>我方递交的投标保证金。</w:t>
      </w:r>
    </w:p>
    <w:p>
      <w:pPr>
        <w:snapToGrid w:val="0"/>
        <w:spacing w:line="360" w:lineRule="auto"/>
        <w:rPr>
          <w:rFonts w:ascii="宋体" w:hAnsi="宋体"/>
          <w:snapToGrid w:val="0"/>
          <w:color w:val="auto"/>
          <w:sz w:val="24"/>
          <w:szCs w:val="24"/>
          <w:highlight w:val="none"/>
        </w:rPr>
      </w:pPr>
    </w:p>
    <w:p>
      <w:pPr>
        <w:snapToGrid w:val="0"/>
        <w:spacing w:line="360" w:lineRule="auto"/>
        <w:rPr>
          <w:rFonts w:ascii="宋体" w:hAnsi="宋体"/>
          <w:snapToGrid w:val="0"/>
          <w:color w:val="auto"/>
          <w:sz w:val="24"/>
          <w:szCs w:val="24"/>
          <w:highlight w:val="none"/>
        </w:rPr>
      </w:pPr>
    </w:p>
    <w:p>
      <w:pPr>
        <w:pStyle w:val="25"/>
        <w:rPr>
          <w:rFonts w:ascii="宋体" w:hAnsi="宋体"/>
          <w:snapToGrid w:val="0"/>
          <w:color w:val="auto"/>
          <w:sz w:val="24"/>
          <w:szCs w:val="24"/>
          <w:highlight w:val="none"/>
        </w:rPr>
      </w:pPr>
    </w:p>
    <w:p>
      <w:pPr>
        <w:pStyle w:val="25"/>
        <w:rPr>
          <w:rFonts w:ascii="宋体" w:hAnsi="宋体"/>
          <w:snapToGrid w:val="0"/>
          <w:color w:val="auto"/>
          <w:sz w:val="24"/>
          <w:szCs w:val="24"/>
          <w:highlight w:val="none"/>
        </w:rPr>
      </w:pPr>
    </w:p>
    <w:p>
      <w:pPr>
        <w:pStyle w:val="25"/>
        <w:rPr>
          <w:rFonts w:ascii="宋体" w:hAnsi="宋体"/>
          <w:snapToGrid w:val="0"/>
          <w:color w:val="auto"/>
          <w:sz w:val="24"/>
          <w:szCs w:val="24"/>
          <w:highlight w:val="none"/>
        </w:rPr>
      </w:pPr>
    </w:p>
    <w:p>
      <w:pPr>
        <w:pStyle w:val="25"/>
        <w:rPr>
          <w:rFonts w:ascii="宋体" w:hAnsi="宋体"/>
          <w:snapToGrid w:val="0"/>
          <w:color w:val="auto"/>
          <w:sz w:val="24"/>
          <w:szCs w:val="24"/>
          <w:highlight w:val="none"/>
        </w:rPr>
      </w:pPr>
    </w:p>
    <w:p>
      <w:pPr>
        <w:pStyle w:val="25"/>
        <w:rPr>
          <w:rFonts w:ascii="宋体" w:hAnsi="宋体"/>
          <w:snapToGrid w:val="0"/>
          <w:color w:val="auto"/>
          <w:sz w:val="24"/>
          <w:szCs w:val="24"/>
          <w:highlight w:val="none"/>
        </w:rPr>
      </w:pPr>
    </w:p>
    <w:p>
      <w:pPr>
        <w:pStyle w:val="25"/>
        <w:rPr>
          <w:rFonts w:ascii="宋体" w:hAnsi="宋体"/>
          <w:snapToGrid w:val="0"/>
          <w:color w:val="auto"/>
          <w:sz w:val="24"/>
          <w:szCs w:val="24"/>
          <w:highlight w:val="none"/>
        </w:rPr>
      </w:pPr>
    </w:p>
    <w:p>
      <w:pPr>
        <w:snapToGrid w:val="0"/>
        <w:spacing w:line="360" w:lineRule="auto"/>
        <w:rPr>
          <w:rFonts w:ascii="宋体" w:hAnsi="宋体"/>
          <w:snapToGrid w:val="0"/>
          <w:color w:val="auto"/>
          <w:sz w:val="24"/>
          <w:szCs w:val="24"/>
          <w:highlight w:val="none"/>
        </w:rPr>
      </w:pPr>
    </w:p>
    <w:p>
      <w:pPr>
        <w:widowControl/>
        <w:spacing w:line="360" w:lineRule="auto"/>
        <w:jc w:val="right"/>
        <w:rPr>
          <w:color w:val="auto"/>
          <w:sz w:val="24"/>
          <w:szCs w:val="24"/>
          <w:highlight w:val="none"/>
        </w:rPr>
      </w:pPr>
      <w:r>
        <w:rPr>
          <w:rFonts w:ascii="宋体" w:hAnsi="宋体"/>
          <w:snapToGrid w:val="0"/>
          <w:color w:val="auto"/>
          <w:sz w:val="24"/>
          <w:szCs w:val="24"/>
          <w:highlight w:val="none"/>
        </w:rPr>
        <w:t xml:space="preserve">              投标人：</w:t>
      </w:r>
      <w:r>
        <w:rPr>
          <w:rFonts w:hint="eastAsia" w:ascii="宋体" w:hAnsi="宋体"/>
          <w:snapToGrid w:val="0"/>
          <w:color w:val="auto"/>
          <w:sz w:val="24"/>
          <w:szCs w:val="24"/>
          <w:highlight w:val="none"/>
          <w:u w:val="single"/>
          <w:lang w:val="en-US" w:eastAsia="zh-CN"/>
        </w:rPr>
        <w:t xml:space="preserve">    </w:t>
      </w:r>
      <w:r>
        <w:rPr>
          <w:rFonts w:hint="eastAsia" w:ascii="宋体" w:hAnsi="宋体"/>
          <w:snapToGrid w:val="0"/>
          <w:color w:val="auto"/>
          <w:sz w:val="24"/>
          <w:szCs w:val="24"/>
          <w:highlight w:val="none"/>
        </w:rPr>
        <w:t>（盖</w:t>
      </w:r>
      <w:r>
        <w:rPr>
          <w:rFonts w:hint="eastAsia" w:ascii="宋体" w:hAnsi="宋体"/>
          <w:snapToGrid w:val="0"/>
          <w:color w:val="auto"/>
          <w:sz w:val="24"/>
          <w:szCs w:val="24"/>
          <w:highlight w:val="none"/>
          <w:lang w:val="en-US" w:eastAsia="zh-CN"/>
        </w:rPr>
        <w:t>单位公</w:t>
      </w:r>
      <w:r>
        <w:rPr>
          <w:rFonts w:hint="eastAsia" w:ascii="宋体" w:hAnsi="宋体"/>
          <w:snapToGrid w:val="0"/>
          <w:color w:val="auto"/>
          <w:sz w:val="24"/>
          <w:szCs w:val="24"/>
          <w:highlight w:val="none"/>
        </w:rPr>
        <w:t>章）</w:t>
      </w:r>
    </w:p>
    <w:p>
      <w:pPr>
        <w:widowControl/>
        <w:spacing w:line="360" w:lineRule="auto"/>
        <w:jc w:val="right"/>
        <w:rPr>
          <w:color w:val="auto"/>
          <w:sz w:val="24"/>
          <w:szCs w:val="24"/>
          <w:highlight w:val="none"/>
        </w:rPr>
      </w:pPr>
      <w:r>
        <w:rPr>
          <w:rFonts w:ascii="宋体" w:hAnsi="宋体"/>
          <w:snapToGrid w:val="0"/>
          <w:color w:val="auto"/>
          <w:sz w:val="24"/>
          <w:szCs w:val="24"/>
          <w:highlight w:val="none"/>
        </w:rPr>
        <w:t>法定代表人：</w:t>
      </w:r>
      <w:r>
        <w:rPr>
          <w:rFonts w:hint="eastAsia" w:ascii="宋体" w:hAnsi="宋体"/>
          <w:snapToGrid w:val="0"/>
          <w:color w:val="auto"/>
          <w:sz w:val="24"/>
          <w:szCs w:val="24"/>
          <w:highlight w:val="none"/>
          <w:u w:val="single"/>
          <w:lang w:val="en-US" w:eastAsia="zh-CN"/>
        </w:rPr>
        <w:t xml:space="preserve">      </w:t>
      </w:r>
      <w:r>
        <w:rPr>
          <w:rFonts w:hint="eastAsia" w:ascii="宋体" w:hAnsi="宋体"/>
          <w:snapToGrid w:val="0"/>
          <w:color w:val="auto"/>
          <w:sz w:val="24"/>
          <w:szCs w:val="24"/>
          <w:highlight w:val="none"/>
        </w:rPr>
        <w:t>（</w:t>
      </w:r>
      <w:r>
        <w:rPr>
          <w:rFonts w:hint="eastAsia" w:ascii="宋体" w:hAnsi="宋体"/>
          <w:color w:val="auto"/>
          <w:sz w:val="24"/>
          <w:szCs w:val="24"/>
          <w:highlight w:val="none"/>
        </w:rPr>
        <w:t>盖章或签字</w:t>
      </w:r>
      <w:r>
        <w:rPr>
          <w:rFonts w:hint="eastAsia" w:ascii="宋体" w:hAnsi="宋体"/>
          <w:snapToGrid w:val="0"/>
          <w:color w:val="auto"/>
          <w:sz w:val="24"/>
          <w:szCs w:val="24"/>
          <w:highlight w:val="none"/>
        </w:rPr>
        <w:t>）</w:t>
      </w:r>
    </w:p>
    <w:p>
      <w:pPr>
        <w:pStyle w:val="34"/>
        <w:ind w:firstLine="0" w:firstLineChars="0"/>
        <w:jc w:val="right"/>
        <w:rPr>
          <w:color w:val="auto"/>
          <w:sz w:val="24"/>
          <w:szCs w:val="24"/>
          <w:highlight w:val="none"/>
          <w:lang w:eastAsia="zh-CN"/>
        </w:rPr>
      </w:pPr>
      <w:r>
        <w:rPr>
          <w:rFonts w:hint="eastAsia"/>
          <w:snapToGrid w:val="0"/>
          <w:color w:val="auto"/>
          <w:sz w:val="24"/>
          <w:szCs w:val="24"/>
          <w:highlight w:val="none"/>
          <w:lang w:eastAsia="zh-CN"/>
        </w:rPr>
        <w:t>年 月 日</w:t>
      </w:r>
    </w:p>
    <w:p>
      <w:pPr>
        <w:spacing w:line="360" w:lineRule="auto"/>
        <w:rPr>
          <w:color w:val="auto"/>
          <w:highlight w:val="none"/>
        </w:rPr>
      </w:pPr>
    </w:p>
    <w:p>
      <w:pPr>
        <w:spacing w:line="540" w:lineRule="exact"/>
        <w:rPr>
          <w:rFonts w:ascii="宋体" w:hAnsi="宋体"/>
          <w:color w:val="auto"/>
          <w:kern w:val="2"/>
          <w:sz w:val="24"/>
          <w:szCs w:val="24"/>
          <w:highlight w:val="none"/>
        </w:rPr>
      </w:pPr>
    </w:p>
    <w:p>
      <w:pPr>
        <w:rPr>
          <w:color w:val="auto"/>
          <w:highlight w:val="none"/>
        </w:rPr>
      </w:pPr>
    </w:p>
    <w:p>
      <w:pPr>
        <w:rPr>
          <w:color w:val="auto"/>
          <w:highlight w:val="none"/>
        </w:rPr>
      </w:pPr>
    </w:p>
    <w:p>
      <w:pPr>
        <w:rPr>
          <w:color w:val="auto"/>
          <w:highlight w:val="none"/>
        </w:rPr>
      </w:pPr>
    </w:p>
    <w:p>
      <w:pPr>
        <w:pStyle w:val="21"/>
        <w:spacing w:line="600" w:lineRule="exact"/>
        <w:ind w:left="0"/>
        <w:rPr>
          <w:rFonts w:ascii="宋体" w:hAnsi="宋体" w:eastAsia="宋体"/>
          <w:color w:val="auto"/>
          <w:sz w:val="24"/>
          <w:highlight w:val="none"/>
        </w:rPr>
      </w:pPr>
    </w:p>
    <w:p>
      <w:pPr>
        <w:pStyle w:val="21"/>
        <w:spacing w:line="600" w:lineRule="exact"/>
        <w:ind w:left="0"/>
        <w:rPr>
          <w:rFonts w:ascii="宋体" w:hAnsi="宋体" w:eastAsia="宋体"/>
          <w:color w:val="auto"/>
          <w:sz w:val="24"/>
          <w:highlight w:val="none"/>
        </w:rPr>
      </w:pPr>
    </w:p>
    <w:p>
      <w:pPr>
        <w:pStyle w:val="21"/>
        <w:spacing w:line="600" w:lineRule="exact"/>
        <w:ind w:left="0"/>
        <w:rPr>
          <w:rFonts w:ascii="宋体" w:hAnsi="宋体" w:eastAsia="宋体"/>
          <w:color w:val="auto"/>
          <w:sz w:val="24"/>
          <w:highlight w:val="none"/>
        </w:rPr>
      </w:pPr>
    </w:p>
    <w:p>
      <w:pPr>
        <w:pStyle w:val="21"/>
        <w:spacing w:line="600" w:lineRule="exact"/>
        <w:ind w:left="0"/>
        <w:rPr>
          <w:rFonts w:ascii="宋体" w:hAnsi="宋体" w:eastAsia="宋体"/>
          <w:color w:val="auto"/>
          <w:sz w:val="24"/>
          <w:highlight w:val="none"/>
        </w:rPr>
      </w:pPr>
    </w:p>
    <w:p>
      <w:pPr>
        <w:pStyle w:val="21"/>
        <w:spacing w:line="600" w:lineRule="exact"/>
        <w:ind w:left="0"/>
        <w:rPr>
          <w:rFonts w:ascii="宋体" w:hAnsi="宋体" w:eastAsia="宋体"/>
          <w:color w:val="auto"/>
          <w:sz w:val="24"/>
          <w:highlight w:val="none"/>
        </w:rPr>
      </w:pPr>
    </w:p>
    <w:p>
      <w:pPr>
        <w:pStyle w:val="21"/>
        <w:spacing w:line="600" w:lineRule="exact"/>
        <w:ind w:left="0"/>
        <w:rPr>
          <w:rFonts w:ascii="宋体" w:hAnsi="宋体" w:eastAsia="宋体"/>
          <w:color w:val="auto"/>
          <w:sz w:val="24"/>
          <w:highlight w:val="none"/>
        </w:rPr>
      </w:pPr>
    </w:p>
    <w:p>
      <w:pPr>
        <w:pStyle w:val="34"/>
        <w:ind w:firstLine="0" w:firstLineChars="0"/>
        <w:jc w:val="center"/>
        <w:rPr>
          <w:rFonts w:hint="eastAsia" w:ascii="黑体" w:eastAsia="黑体"/>
          <w:b/>
          <w:color w:val="auto"/>
          <w:sz w:val="36"/>
          <w:highlight w:val="none"/>
          <w:lang w:eastAsia="zh-CN"/>
        </w:rPr>
      </w:pPr>
      <w:r>
        <w:rPr>
          <w:rFonts w:hint="eastAsia" w:ascii="黑体" w:eastAsia="黑体"/>
          <w:b/>
          <w:color w:val="auto"/>
          <w:sz w:val="36"/>
          <w:highlight w:val="none"/>
          <w:lang w:eastAsia="zh-CN"/>
        </w:rPr>
        <w:t>联合体协议书</w:t>
      </w:r>
    </w:p>
    <w:p>
      <w:pPr>
        <w:pStyle w:val="34"/>
        <w:ind w:firstLine="0" w:firstLineChars="0"/>
        <w:jc w:val="center"/>
        <w:rPr>
          <w:rFonts w:hint="eastAsia" w:ascii="黑体" w:eastAsia="黑体"/>
          <w:b/>
          <w:color w:val="auto"/>
          <w:sz w:val="36"/>
          <w:highlight w:val="none"/>
          <w:lang w:eastAsia="zh-CN"/>
        </w:rPr>
      </w:pPr>
    </w:p>
    <w:p>
      <w:pPr>
        <w:snapToGrid w:val="0"/>
        <w:spacing w:line="360" w:lineRule="auto"/>
        <w:ind w:firstLine="652" w:firstLineChars="272"/>
        <w:rPr>
          <w:rFonts w:ascii="宋体" w:hAnsi="宋体"/>
          <w:color w:val="auto"/>
          <w:position w:val="2"/>
          <w:sz w:val="24"/>
          <w:szCs w:val="24"/>
          <w:highlight w:val="none"/>
        </w:rPr>
      </w:pPr>
      <w:r>
        <w:rPr>
          <w:rFonts w:hint="eastAsia"/>
          <w:color w:val="auto"/>
          <w:sz w:val="24"/>
          <w:szCs w:val="24"/>
          <w:highlight w:val="none"/>
          <w:u w:val="single"/>
        </w:rPr>
        <w:t xml:space="preserve">               </w:t>
      </w:r>
      <w:r>
        <w:rPr>
          <w:rFonts w:hint="eastAsia" w:ascii="宋体" w:hAnsi="宋体"/>
          <w:color w:val="auto"/>
          <w:position w:val="2"/>
          <w:sz w:val="24"/>
          <w:szCs w:val="24"/>
          <w:highlight w:val="none"/>
          <w:u w:val="single"/>
        </w:rPr>
        <w:t>（</w:t>
      </w:r>
      <w:r>
        <w:rPr>
          <w:rFonts w:hint="eastAsia" w:ascii="宋体" w:hAnsi="宋体"/>
          <w:color w:val="auto"/>
          <w:position w:val="2"/>
          <w:sz w:val="24"/>
          <w:szCs w:val="24"/>
          <w:highlight w:val="none"/>
        </w:rPr>
        <w:t>所有成员单位名称）自愿组成联合体，共同参加</w:t>
      </w:r>
      <w:r>
        <w:rPr>
          <w:rFonts w:hint="eastAsia" w:ascii="宋体" w:hAnsi="宋体"/>
          <w:color w:val="auto"/>
          <w:position w:val="2"/>
          <w:sz w:val="24"/>
          <w:szCs w:val="24"/>
          <w:highlight w:val="none"/>
          <w:u w:val="single"/>
        </w:rPr>
        <w:t>二环路智慧快速化改造工程（柯诸高速至S211省道公路连接线）全过程工程咨询</w:t>
      </w:r>
      <w:r>
        <w:rPr>
          <w:rFonts w:hint="eastAsia" w:ascii="宋体" w:hAnsi="宋体"/>
          <w:color w:val="auto"/>
          <w:position w:val="2"/>
          <w:sz w:val="24"/>
          <w:szCs w:val="24"/>
          <w:highlight w:val="none"/>
          <w:u w:val="single"/>
          <w:lang w:val="en-US" w:eastAsia="zh-CN"/>
        </w:rPr>
        <w:t>服务</w:t>
      </w:r>
      <w:r>
        <w:rPr>
          <w:rFonts w:hint="eastAsia" w:ascii="宋体" w:hAnsi="宋体"/>
          <w:color w:val="auto"/>
          <w:position w:val="2"/>
          <w:sz w:val="24"/>
          <w:szCs w:val="24"/>
          <w:highlight w:val="none"/>
        </w:rPr>
        <w:t>（以下简称本工程）的投标。现就联合体投标事宜订立如下协议。</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1</w:t>
      </w:r>
      <w:r>
        <w:rPr>
          <w:rFonts w:hint="eastAsia" w:ascii="宋体" w:hAnsi="宋体"/>
          <w:color w:val="auto"/>
          <w:position w:val="2"/>
          <w:sz w:val="24"/>
          <w:szCs w:val="24"/>
          <w:highlight w:val="none"/>
          <w:lang w:val="en-US" w:eastAsia="zh-CN"/>
        </w:rPr>
        <w:t>.</w:t>
      </w:r>
      <w:r>
        <w:rPr>
          <w:rFonts w:hint="eastAsia" w:ascii="宋体" w:hAnsi="宋体"/>
          <w:color w:val="auto"/>
          <w:spacing w:val="20"/>
          <w:position w:val="2"/>
          <w:sz w:val="24"/>
          <w:szCs w:val="24"/>
          <w:highlight w:val="none"/>
          <w:u w:val="single"/>
        </w:rPr>
        <w:t xml:space="preserve">       </w:t>
      </w:r>
      <w:r>
        <w:rPr>
          <w:rFonts w:hint="eastAsia"/>
          <w:color w:val="auto"/>
          <w:sz w:val="24"/>
          <w:szCs w:val="24"/>
          <w:highlight w:val="none"/>
          <w:u w:val="single"/>
        </w:rPr>
        <w:t xml:space="preserve">          </w:t>
      </w:r>
      <w:r>
        <w:rPr>
          <w:rFonts w:hint="eastAsia" w:ascii="宋体" w:hAnsi="宋体"/>
          <w:color w:val="auto"/>
          <w:spacing w:val="20"/>
          <w:position w:val="2"/>
          <w:sz w:val="24"/>
          <w:szCs w:val="24"/>
          <w:highlight w:val="none"/>
          <w:u w:val="single"/>
        </w:rPr>
        <w:t xml:space="preserve">  </w:t>
      </w:r>
      <w:r>
        <w:rPr>
          <w:rFonts w:hint="eastAsia" w:ascii="宋体" w:hAnsi="宋体"/>
          <w:color w:val="auto"/>
          <w:position w:val="2"/>
          <w:sz w:val="24"/>
          <w:szCs w:val="24"/>
          <w:highlight w:val="none"/>
        </w:rPr>
        <w:t>（某成员单位名称）为牵头人。</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2</w:t>
      </w:r>
      <w:r>
        <w:rPr>
          <w:rFonts w:hint="eastAsia" w:ascii="宋体" w:hAnsi="宋体"/>
          <w:color w:val="auto"/>
          <w:position w:val="2"/>
          <w:sz w:val="24"/>
          <w:szCs w:val="24"/>
          <w:highlight w:val="none"/>
        </w:rPr>
        <w:t>.联合体牵头人合法代表联合体各成员负责本工程投标文件编制和合同谈判活动，代表联合体提交和接收相关的资料、信息及指示，并处理与之有关的一切事务，并负责合同订立和合同实施阶段的主办、组织和协调工作。</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3</w:t>
      </w:r>
      <w:r>
        <w:rPr>
          <w:rFonts w:hint="eastAsia" w:ascii="宋体" w:hAnsi="宋体"/>
          <w:color w:val="auto"/>
          <w:position w:val="2"/>
          <w:sz w:val="24"/>
          <w:szCs w:val="24"/>
          <w:highlight w:val="none"/>
        </w:rPr>
        <w:t>.联合体将严格按照招标文件的各项要求，递交投标文件，履行投标义务和中标后的合同，共同承担合同规定的一切义务和责任，联合体各成员单位按照内部职责的划分，对内承担各自所负的责任和风险，并对外承担连带责任。</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4</w:t>
      </w:r>
      <w:r>
        <w:rPr>
          <w:rFonts w:hint="eastAsia" w:ascii="宋体" w:hAnsi="宋体"/>
          <w:color w:val="auto"/>
          <w:position w:val="2"/>
          <w:sz w:val="24"/>
          <w:szCs w:val="24"/>
          <w:highlight w:val="none"/>
        </w:rPr>
        <w:t>.联合体牵头人代表联合体签署投标文件的，联合体牵头人的所有承诺均认为代表了联合体各成员。</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5</w:t>
      </w:r>
      <w:r>
        <w:rPr>
          <w:rFonts w:hint="eastAsia" w:ascii="宋体" w:hAnsi="宋体"/>
          <w:color w:val="auto"/>
          <w:position w:val="2"/>
          <w:sz w:val="24"/>
          <w:szCs w:val="24"/>
          <w:highlight w:val="none"/>
        </w:rPr>
        <w:t>.联合体在投标工作及中标后合同履行过程中的费用按各自承担的工作量分摊并单独向招标人收取费用。</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6</w:t>
      </w:r>
      <w:r>
        <w:rPr>
          <w:rFonts w:hint="eastAsia" w:ascii="宋体" w:hAnsi="宋体"/>
          <w:color w:val="auto"/>
          <w:position w:val="2"/>
          <w:sz w:val="24"/>
          <w:szCs w:val="24"/>
          <w:highlight w:val="none"/>
        </w:rPr>
        <w:t>.如联合体中标，本工程发生的费用将支付给联合体牵头单位。</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7</w:t>
      </w:r>
      <w:r>
        <w:rPr>
          <w:rFonts w:hint="eastAsia" w:ascii="宋体" w:hAnsi="宋体"/>
          <w:color w:val="auto"/>
          <w:position w:val="2"/>
          <w:sz w:val="24"/>
          <w:szCs w:val="24"/>
          <w:highlight w:val="none"/>
        </w:rPr>
        <w:t>.如中标，联合体双方的工作须符合各自的资质要求，具体分工如下：</w:t>
      </w:r>
    </w:p>
    <w:p>
      <w:pPr>
        <w:snapToGrid w:val="0"/>
        <w:spacing w:line="360" w:lineRule="auto"/>
        <w:ind w:firstLine="840" w:firstLineChars="300"/>
        <w:rPr>
          <w:rFonts w:ascii="宋体" w:hAnsi="宋体"/>
          <w:color w:val="auto"/>
          <w:spacing w:val="20"/>
          <w:position w:val="2"/>
          <w:sz w:val="24"/>
          <w:szCs w:val="24"/>
          <w:highlight w:val="none"/>
        </w:rPr>
      </w:pPr>
      <w:r>
        <w:rPr>
          <w:rFonts w:hint="eastAsia" w:ascii="宋体" w:hAnsi="宋体"/>
          <w:color w:val="auto"/>
          <w:spacing w:val="20"/>
          <w:position w:val="2"/>
          <w:sz w:val="24"/>
          <w:szCs w:val="24"/>
          <w:highlight w:val="none"/>
        </w:rPr>
        <w:t>联合体牵头人</w:t>
      </w:r>
      <w:r>
        <w:rPr>
          <w:rFonts w:hint="eastAsia"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（牵头人名称）承担</w:t>
      </w:r>
      <w:r>
        <w:rPr>
          <w:rFonts w:hint="eastAsia"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工作，</w:t>
      </w:r>
    </w:p>
    <w:p>
      <w:pPr>
        <w:snapToGrid w:val="0"/>
        <w:spacing w:line="360" w:lineRule="auto"/>
        <w:ind w:firstLine="840" w:firstLineChars="300"/>
        <w:rPr>
          <w:rFonts w:ascii="宋体" w:hAnsi="宋体"/>
          <w:color w:val="auto"/>
          <w:spacing w:val="20"/>
          <w:position w:val="2"/>
          <w:sz w:val="24"/>
          <w:szCs w:val="24"/>
          <w:highlight w:val="none"/>
        </w:rPr>
      </w:pPr>
      <w:r>
        <w:rPr>
          <w:rFonts w:hint="eastAsia" w:ascii="宋体" w:hAnsi="宋体"/>
          <w:color w:val="auto"/>
          <w:spacing w:val="20"/>
          <w:position w:val="2"/>
          <w:sz w:val="24"/>
          <w:szCs w:val="24"/>
          <w:highlight w:val="none"/>
        </w:rPr>
        <w:t>联合体成员</w:t>
      </w:r>
      <w:r>
        <w:rPr>
          <w:rFonts w:hint="eastAsia"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（成员名称）承担</w:t>
      </w:r>
      <w:r>
        <w:rPr>
          <w:rFonts w:hint="eastAsia"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工作。</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8</w:t>
      </w:r>
      <w:r>
        <w:rPr>
          <w:rFonts w:hint="eastAsia" w:ascii="宋体" w:hAnsi="宋体"/>
          <w:color w:val="auto"/>
          <w:position w:val="2"/>
          <w:sz w:val="24"/>
          <w:szCs w:val="24"/>
          <w:highlight w:val="none"/>
        </w:rPr>
        <w:t>.联合体中标后，本联合体协议是承包合同的附件，对联合体各成员单位有合同约束力。</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9</w:t>
      </w:r>
      <w:r>
        <w:rPr>
          <w:rFonts w:hint="eastAsia" w:ascii="宋体" w:hAnsi="宋体"/>
          <w:color w:val="auto"/>
          <w:position w:val="2"/>
          <w:sz w:val="24"/>
          <w:szCs w:val="24"/>
          <w:highlight w:val="none"/>
        </w:rPr>
        <w:t>.本协议书自签署之日起生效，如联合体未中标或者中标后合同履行完毕，本协议自动失效。</w:t>
      </w:r>
    </w:p>
    <w:p>
      <w:pPr>
        <w:snapToGrid w:val="0"/>
        <w:spacing w:line="360" w:lineRule="auto"/>
        <w:ind w:firstLine="535" w:firstLineChars="223"/>
        <w:rPr>
          <w:rFonts w:hint="eastAsia" w:ascii="宋体" w:hAnsi="宋体"/>
          <w:color w:val="auto"/>
          <w:position w:val="2"/>
          <w:sz w:val="24"/>
          <w:szCs w:val="24"/>
          <w:highlight w:val="none"/>
        </w:rPr>
      </w:pPr>
      <w:r>
        <w:rPr>
          <w:rFonts w:ascii="宋体" w:hAnsi="宋体"/>
          <w:color w:val="auto"/>
          <w:position w:val="2"/>
          <w:sz w:val="24"/>
          <w:szCs w:val="24"/>
          <w:highlight w:val="none"/>
        </w:rPr>
        <w:t>10</w:t>
      </w:r>
      <w:r>
        <w:rPr>
          <w:rFonts w:hint="eastAsia" w:ascii="宋体" w:hAnsi="宋体"/>
          <w:color w:val="auto"/>
          <w:position w:val="2"/>
          <w:sz w:val="24"/>
          <w:szCs w:val="24"/>
          <w:highlight w:val="none"/>
        </w:rPr>
        <w:t>.本协议书一式</w:t>
      </w:r>
      <w:r>
        <w:rPr>
          <w:rFonts w:hint="eastAsia" w:ascii="宋体" w:hAnsi="宋体"/>
          <w:color w:val="auto"/>
          <w:position w:val="2"/>
          <w:sz w:val="24"/>
          <w:szCs w:val="24"/>
          <w:highlight w:val="none"/>
          <w:lang w:val="en-US" w:eastAsia="zh-CN"/>
        </w:rPr>
        <w:t>贰</w:t>
      </w:r>
      <w:r>
        <w:rPr>
          <w:rFonts w:hint="eastAsia" w:ascii="宋体" w:hAnsi="宋体"/>
          <w:color w:val="auto"/>
          <w:position w:val="2"/>
          <w:sz w:val="24"/>
          <w:szCs w:val="24"/>
          <w:highlight w:val="none"/>
        </w:rPr>
        <w:t>份，联合体成员和招标人各执一份。</w:t>
      </w:r>
    </w:p>
    <w:p>
      <w:pPr>
        <w:rPr>
          <w:rFonts w:hint="eastAsia" w:ascii="宋体" w:hAnsi="宋体"/>
          <w:color w:val="auto"/>
          <w:position w:val="2"/>
          <w:sz w:val="24"/>
          <w:szCs w:val="24"/>
          <w:highlight w:val="none"/>
        </w:rPr>
      </w:pPr>
      <w:r>
        <w:rPr>
          <w:rFonts w:hint="eastAsia" w:ascii="宋体" w:hAnsi="宋体"/>
          <w:color w:val="auto"/>
          <w:position w:val="2"/>
          <w:sz w:val="24"/>
          <w:szCs w:val="24"/>
          <w:highlight w:val="none"/>
        </w:rPr>
        <w:br w:type="page"/>
      </w:r>
    </w:p>
    <w:p>
      <w:pPr>
        <w:pStyle w:val="25"/>
        <w:rPr>
          <w:color w:val="auto"/>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baseline"/>
        <w:rPr>
          <w:rFonts w:ascii="宋体" w:hAnsi="宋体"/>
          <w:color w:val="auto"/>
          <w:position w:val="2"/>
          <w:sz w:val="24"/>
          <w:szCs w:val="24"/>
          <w:highlight w:val="none"/>
          <w:u w:val="single"/>
        </w:rPr>
      </w:pPr>
      <w:r>
        <w:rPr>
          <w:rFonts w:hint="eastAsia" w:ascii="宋体" w:hAnsi="宋体"/>
          <w:color w:val="auto"/>
          <w:position w:val="2"/>
          <w:sz w:val="24"/>
          <w:szCs w:val="24"/>
          <w:highlight w:val="none"/>
        </w:rPr>
        <w:t>牵头人名称</w:t>
      </w:r>
      <w:r>
        <w:rPr>
          <w:rFonts w:hint="eastAsia" w:ascii="宋体" w:hAnsi="宋体"/>
          <w:color w:val="auto"/>
          <w:position w:val="2"/>
          <w:sz w:val="24"/>
          <w:szCs w:val="24"/>
          <w:highlight w:val="none"/>
          <w:u w:val="single"/>
          <w:lang w:val="en-US" w:eastAsia="zh-CN"/>
        </w:rPr>
        <w:t xml:space="preserve">      </w:t>
      </w:r>
      <w:r>
        <w:rPr>
          <w:rFonts w:hint="eastAsia" w:ascii="宋体" w:hAnsi="宋体"/>
          <w:color w:val="auto"/>
          <w:position w:val="2"/>
          <w:sz w:val="24"/>
          <w:szCs w:val="24"/>
          <w:highlight w:val="none"/>
        </w:rPr>
        <w:t>（盖</w:t>
      </w:r>
      <w:r>
        <w:rPr>
          <w:rFonts w:hint="eastAsia" w:ascii="宋体" w:hAnsi="宋体"/>
          <w:color w:val="auto"/>
          <w:position w:val="2"/>
          <w:sz w:val="24"/>
          <w:szCs w:val="24"/>
          <w:highlight w:val="none"/>
          <w:lang w:val="en-US" w:eastAsia="zh-CN"/>
        </w:rPr>
        <w:t>单位公</w:t>
      </w:r>
      <w:r>
        <w:rPr>
          <w:rFonts w:hint="eastAsia" w:ascii="宋体" w:hAnsi="宋体"/>
          <w:color w:val="auto"/>
          <w:position w:val="2"/>
          <w:sz w:val="24"/>
          <w:szCs w:val="24"/>
          <w:highlight w:val="none"/>
        </w:rPr>
        <w:t>章）：</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baseline"/>
        <w:rPr>
          <w:rFonts w:hint="eastAsia" w:ascii="宋体" w:hAnsi="宋体"/>
          <w:color w:val="auto"/>
          <w:position w:val="2"/>
          <w:sz w:val="24"/>
          <w:szCs w:val="24"/>
          <w:highlight w:val="none"/>
        </w:rPr>
      </w:pPr>
      <w:r>
        <w:rPr>
          <w:rFonts w:hint="eastAsia" w:ascii="宋体" w:hAnsi="宋体"/>
          <w:color w:val="auto"/>
          <w:position w:val="2"/>
          <w:sz w:val="24"/>
          <w:szCs w:val="24"/>
          <w:highlight w:val="none"/>
        </w:rPr>
        <w:t>法定代表人</w:t>
      </w:r>
      <w:r>
        <w:rPr>
          <w:rFonts w:hint="eastAsia" w:ascii="宋体" w:hAnsi="宋体"/>
          <w:color w:val="auto"/>
          <w:position w:val="2"/>
          <w:sz w:val="24"/>
          <w:szCs w:val="24"/>
          <w:highlight w:val="none"/>
          <w:u w:val="single"/>
          <w:lang w:val="en-US" w:eastAsia="zh-CN"/>
        </w:rPr>
        <w:t xml:space="preserve">        </w:t>
      </w:r>
      <w:r>
        <w:rPr>
          <w:rFonts w:hint="eastAsia" w:ascii="宋体" w:hAnsi="宋体"/>
          <w:color w:val="auto"/>
          <w:position w:val="2"/>
          <w:sz w:val="24"/>
          <w:szCs w:val="24"/>
          <w:highlight w:val="none"/>
        </w:rPr>
        <w:t>（签字或盖章）：</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baseline"/>
        <w:rPr>
          <w:rFonts w:ascii="宋体" w:hAnsi="宋体"/>
          <w:color w:val="auto"/>
          <w:position w:val="2"/>
          <w:sz w:val="24"/>
          <w:szCs w:val="24"/>
          <w:highlight w:val="none"/>
          <w:u w:val="single"/>
        </w:rPr>
      </w:pPr>
      <w:r>
        <w:rPr>
          <w:rFonts w:hint="eastAsia" w:ascii="宋体" w:hAnsi="宋体"/>
          <w:color w:val="auto"/>
          <w:position w:val="2"/>
          <w:sz w:val="24"/>
          <w:szCs w:val="24"/>
          <w:highlight w:val="none"/>
        </w:rPr>
        <w:t>成员名称</w:t>
      </w:r>
      <w:r>
        <w:rPr>
          <w:rFonts w:hint="eastAsia" w:ascii="宋体" w:hAnsi="宋体"/>
          <w:color w:val="auto"/>
          <w:position w:val="2"/>
          <w:sz w:val="24"/>
          <w:szCs w:val="24"/>
          <w:highlight w:val="none"/>
          <w:u w:val="single"/>
          <w:lang w:val="en-US" w:eastAsia="zh-CN"/>
        </w:rPr>
        <w:t xml:space="preserve">     </w:t>
      </w:r>
      <w:r>
        <w:rPr>
          <w:rFonts w:hint="eastAsia" w:ascii="宋体" w:hAnsi="宋体"/>
          <w:color w:val="auto"/>
          <w:position w:val="2"/>
          <w:sz w:val="24"/>
          <w:szCs w:val="24"/>
          <w:highlight w:val="none"/>
        </w:rPr>
        <w:t>（盖</w:t>
      </w:r>
      <w:r>
        <w:rPr>
          <w:rFonts w:hint="eastAsia" w:ascii="宋体" w:hAnsi="宋体"/>
          <w:color w:val="auto"/>
          <w:position w:val="2"/>
          <w:sz w:val="24"/>
          <w:szCs w:val="24"/>
          <w:highlight w:val="none"/>
          <w:lang w:val="en-US" w:eastAsia="zh-CN"/>
        </w:rPr>
        <w:t>单位公</w:t>
      </w:r>
      <w:r>
        <w:rPr>
          <w:rFonts w:hint="eastAsia" w:ascii="宋体" w:hAnsi="宋体"/>
          <w:color w:val="auto"/>
          <w:position w:val="2"/>
          <w:sz w:val="24"/>
          <w:szCs w:val="24"/>
          <w:highlight w:val="none"/>
        </w:rPr>
        <w:t>章）：</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baseline"/>
        <w:rPr>
          <w:color w:val="auto"/>
          <w:highlight w:val="none"/>
        </w:rPr>
      </w:pPr>
      <w:r>
        <w:rPr>
          <w:rFonts w:hint="eastAsia" w:ascii="宋体" w:hAnsi="宋体"/>
          <w:color w:val="auto"/>
          <w:position w:val="2"/>
          <w:sz w:val="24"/>
          <w:szCs w:val="24"/>
          <w:highlight w:val="none"/>
        </w:rPr>
        <w:t>法定代表人</w:t>
      </w:r>
      <w:r>
        <w:rPr>
          <w:rFonts w:hint="eastAsia" w:ascii="宋体" w:hAnsi="宋体"/>
          <w:color w:val="auto"/>
          <w:position w:val="2"/>
          <w:sz w:val="24"/>
          <w:szCs w:val="24"/>
          <w:highlight w:val="none"/>
          <w:u w:val="single"/>
          <w:lang w:val="en-US" w:eastAsia="zh-CN"/>
        </w:rPr>
        <w:t xml:space="preserve">       </w:t>
      </w:r>
      <w:r>
        <w:rPr>
          <w:rFonts w:hint="eastAsia" w:ascii="宋体" w:hAnsi="宋体"/>
          <w:color w:val="auto"/>
          <w:position w:val="2"/>
          <w:sz w:val="24"/>
          <w:szCs w:val="24"/>
          <w:highlight w:val="none"/>
        </w:rPr>
        <w:t>（签字或盖章）：  年  月   日</w:t>
      </w:r>
    </w:p>
    <w:p>
      <w:pPr>
        <w:pStyle w:val="21"/>
        <w:spacing w:line="400" w:lineRule="exact"/>
        <w:rPr>
          <w:rFonts w:ascii="宋体" w:hAnsi="宋体" w:eastAsia="宋体"/>
          <w:color w:val="auto"/>
          <w:sz w:val="24"/>
          <w:highlight w:val="none"/>
        </w:rPr>
      </w:pPr>
    </w:p>
    <w:p>
      <w:pPr>
        <w:pStyle w:val="21"/>
        <w:spacing w:line="400" w:lineRule="exact"/>
        <w:rPr>
          <w:rFonts w:ascii="宋体" w:hAnsi="宋体" w:eastAsia="宋体"/>
          <w:color w:val="auto"/>
          <w:sz w:val="24"/>
          <w:highlight w:val="none"/>
        </w:rPr>
      </w:pPr>
    </w:p>
    <w:p>
      <w:pPr>
        <w:rPr>
          <w:rFonts w:ascii="宋体" w:hAnsi="宋体" w:eastAsia="宋体"/>
          <w:color w:val="auto"/>
          <w:sz w:val="24"/>
          <w:highlight w:val="none"/>
        </w:rPr>
      </w:pPr>
      <w:r>
        <w:rPr>
          <w:rFonts w:ascii="宋体" w:hAnsi="宋体" w:eastAsia="宋体"/>
          <w:color w:val="auto"/>
          <w:sz w:val="24"/>
          <w:highlight w:val="none"/>
        </w:rPr>
        <w:br w:type="page"/>
      </w:r>
    </w:p>
    <w:p>
      <w:pPr>
        <w:pStyle w:val="21"/>
        <w:spacing w:line="400" w:lineRule="exact"/>
        <w:rPr>
          <w:rFonts w:ascii="宋体" w:hAnsi="宋体" w:eastAsia="宋体"/>
          <w:color w:val="auto"/>
          <w:sz w:val="24"/>
          <w:highlight w:val="none"/>
        </w:rPr>
      </w:pPr>
    </w:p>
    <w:p>
      <w:pPr>
        <w:pStyle w:val="21"/>
        <w:spacing w:line="400" w:lineRule="exact"/>
        <w:rPr>
          <w:rFonts w:ascii="宋体" w:hAnsi="宋体" w:eastAsia="宋体"/>
          <w:color w:val="auto"/>
          <w:sz w:val="24"/>
          <w:highlight w:val="none"/>
        </w:rPr>
      </w:pPr>
    </w:p>
    <w:p>
      <w:pPr>
        <w:numPr>
          <w:ilvl w:val="1"/>
          <w:numId w:val="0"/>
        </w:numPr>
        <w:tabs>
          <w:tab w:val="left" w:pos="720"/>
          <w:tab w:val="left" w:pos="3600"/>
        </w:tabs>
        <w:spacing w:line="360" w:lineRule="auto"/>
        <w:jc w:val="center"/>
        <w:rPr>
          <w:color w:val="auto"/>
          <w:highlight w:val="none"/>
        </w:rPr>
      </w:pPr>
      <w:bookmarkStart w:id="1046" w:name="_Toc812"/>
      <w:r>
        <w:rPr>
          <w:rFonts w:hint="eastAsia" w:ascii="黑体" w:hAnsi="黑体" w:eastAsia="黑体" w:cs="黑体"/>
          <w:color w:val="auto"/>
          <w:sz w:val="32"/>
          <w:szCs w:val="32"/>
          <w:highlight w:val="none"/>
        </w:rPr>
        <w:t>投标文件（封面格式）</w:t>
      </w:r>
      <w:bookmarkEnd w:id="1046"/>
    </w:p>
    <w:p>
      <w:pPr>
        <w:spacing w:line="360" w:lineRule="auto"/>
        <w:rPr>
          <w:rFonts w:ascii="宋体"/>
          <w:color w:val="auto"/>
          <w:highlight w:val="none"/>
        </w:rPr>
      </w:pPr>
    </w:p>
    <w:p>
      <w:pPr>
        <w:snapToGrid w:val="0"/>
        <w:spacing w:line="360" w:lineRule="auto"/>
        <w:rPr>
          <w:rFonts w:hAnsi="宋体"/>
          <w:color w:val="auto"/>
          <w:sz w:val="36"/>
          <w:szCs w:val="36"/>
          <w:highlight w:val="none"/>
        </w:rPr>
      </w:pPr>
    </w:p>
    <w:p>
      <w:pPr>
        <w:rPr>
          <w:color w:val="auto"/>
          <w:highlight w:val="none"/>
        </w:rPr>
      </w:pPr>
    </w:p>
    <w:p>
      <w:pPr>
        <w:spacing w:line="360" w:lineRule="auto"/>
        <w:ind w:firstLine="1280" w:firstLineChars="400"/>
        <w:rPr>
          <w:rFonts w:ascii="宋体"/>
          <w:color w:val="auto"/>
          <w:sz w:val="36"/>
          <w:szCs w:val="36"/>
          <w:highlight w:val="none"/>
        </w:rPr>
      </w:pPr>
      <w:bookmarkStart w:id="1047" w:name="_Toc7783"/>
      <w:r>
        <w:rPr>
          <w:rFonts w:hint="eastAsia" w:hAnsi="宋体"/>
          <w:color w:val="auto"/>
          <w:sz w:val="32"/>
          <w:szCs w:val="32"/>
          <w:highlight w:val="none"/>
        </w:rPr>
        <w:t>项目名称：</w:t>
      </w:r>
      <w:bookmarkEnd w:id="1047"/>
      <w:r>
        <w:rPr>
          <w:rFonts w:hint="eastAsia" w:ascii="宋体" w:hAnsi="宋体"/>
          <w:color w:val="auto"/>
          <w:spacing w:val="20"/>
          <w:position w:val="2"/>
          <w:sz w:val="24"/>
          <w:szCs w:val="24"/>
          <w:highlight w:val="none"/>
          <w:u w:val="single"/>
        </w:rPr>
        <w:t xml:space="preserve">                            </w:t>
      </w:r>
    </w:p>
    <w:p>
      <w:pPr>
        <w:pStyle w:val="35"/>
        <w:snapToGrid w:val="0"/>
        <w:spacing w:line="360" w:lineRule="auto"/>
        <w:outlineLvl w:val="9"/>
        <w:rPr>
          <w:rFonts w:hAnsi="Times New Roman"/>
          <w:color w:val="auto"/>
          <w:highlight w:val="none"/>
        </w:rPr>
      </w:pPr>
    </w:p>
    <w:p>
      <w:pPr>
        <w:snapToGrid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技术标</w:t>
      </w:r>
    </w:p>
    <w:p>
      <w:pPr>
        <w:spacing w:line="460" w:lineRule="exact"/>
        <w:ind w:firstLine="640"/>
        <w:jc w:val="center"/>
        <w:rPr>
          <w:color w:val="auto"/>
          <w:szCs w:val="21"/>
          <w:highlight w:val="none"/>
        </w:rPr>
      </w:pPr>
      <w:r>
        <w:rPr>
          <w:color w:val="auto"/>
          <w:sz w:val="32"/>
          <w:szCs w:val="32"/>
          <w:highlight w:val="none"/>
        </w:rPr>
        <w:t>（正本、副本）封面</w:t>
      </w:r>
    </w:p>
    <w:p>
      <w:pPr>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pStyle w:val="25"/>
        <w:rPr>
          <w:rFonts w:ascii="宋体" w:hAnsi="宋体"/>
          <w:i/>
          <w:iCs/>
          <w:color w:val="auto"/>
          <w:sz w:val="24"/>
          <w:szCs w:val="24"/>
          <w:highlight w:val="none"/>
        </w:rPr>
      </w:pPr>
    </w:p>
    <w:p>
      <w:pPr>
        <w:snapToGrid w:val="0"/>
        <w:spacing w:line="360" w:lineRule="auto"/>
        <w:ind w:firstLine="1920" w:firstLineChars="600"/>
        <w:rPr>
          <w:rFonts w:ascii="宋体" w:hAnsi="宋体"/>
          <w:color w:val="auto"/>
          <w:sz w:val="36"/>
          <w:szCs w:val="36"/>
          <w:highlight w:val="none"/>
        </w:rPr>
      </w:pPr>
      <w:r>
        <w:rPr>
          <w:rFonts w:hint="eastAsia" w:ascii="宋体" w:hAnsi="宋体"/>
          <w:color w:val="auto"/>
          <w:sz w:val="32"/>
          <w:szCs w:val="32"/>
          <w:highlight w:val="none"/>
        </w:rPr>
        <w:t>投标人：</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（盖</w:t>
      </w:r>
      <w:r>
        <w:rPr>
          <w:rFonts w:hint="eastAsia" w:ascii="宋体" w:hAnsi="宋体"/>
          <w:color w:val="auto"/>
          <w:sz w:val="28"/>
          <w:szCs w:val="28"/>
          <w:highlight w:val="none"/>
          <w:u w:val="single"/>
          <w:lang w:val="en-US" w:eastAsia="zh-CN"/>
        </w:rPr>
        <w:t>投标人</w:t>
      </w:r>
      <w:r>
        <w:rPr>
          <w:rFonts w:hint="eastAsia" w:ascii="宋体" w:hAnsi="宋体"/>
          <w:color w:val="auto"/>
          <w:sz w:val="28"/>
          <w:szCs w:val="28"/>
          <w:highlight w:val="none"/>
          <w:u w:val="single"/>
        </w:rPr>
        <w:t>单位公章）</w:t>
      </w:r>
    </w:p>
    <w:p>
      <w:pPr>
        <w:snapToGrid w:val="0"/>
        <w:spacing w:line="360" w:lineRule="auto"/>
        <w:ind w:firstLine="1920" w:firstLineChars="600"/>
        <w:rPr>
          <w:rFonts w:ascii="宋体" w:hAnsi="宋体"/>
          <w:color w:val="auto"/>
          <w:sz w:val="32"/>
          <w:szCs w:val="32"/>
          <w:highlight w:val="none"/>
        </w:rPr>
      </w:pPr>
      <w:r>
        <w:rPr>
          <w:rFonts w:hint="eastAsia" w:ascii="宋体" w:hAnsi="宋体"/>
          <w:color w:val="auto"/>
          <w:sz w:val="32"/>
          <w:szCs w:val="32"/>
          <w:highlight w:val="none"/>
        </w:rPr>
        <w:t>法定代表人：</w:t>
      </w:r>
      <w:r>
        <w:rPr>
          <w:rFonts w:ascii="宋体" w:hAnsi="宋体"/>
          <w:color w:val="auto"/>
          <w:sz w:val="28"/>
          <w:szCs w:val="28"/>
          <w:highlight w:val="none"/>
          <w:u w:val="single"/>
        </w:rPr>
        <w:t xml:space="preserve">            （签字或盖章）  </w:t>
      </w:r>
    </w:p>
    <w:p>
      <w:pPr>
        <w:snapToGrid w:val="0"/>
        <w:spacing w:line="360" w:lineRule="auto"/>
        <w:jc w:val="center"/>
        <w:rPr>
          <w:rFonts w:ascii="宋体"/>
          <w:color w:val="auto"/>
          <w:sz w:val="32"/>
          <w:szCs w:val="32"/>
          <w:highlight w:val="none"/>
        </w:rPr>
      </w:pPr>
      <w:bookmarkStart w:id="1048" w:name="_Toc5701"/>
      <w:r>
        <w:rPr>
          <w:rFonts w:hint="eastAsia" w:ascii="宋体"/>
          <w:color w:val="auto"/>
          <w:sz w:val="32"/>
          <w:szCs w:val="32"/>
          <w:highlight w:val="none"/>
        </w:rPr>
        <w:t>日期：  年  月 日</w:t>
      </w:r>
      <w:bookmarkEnd w:id="1048"/>
    </w:p>
    <w:p>
      <w:pPr>
        <w:rPr>
          <w:color w:val="auto"/>
          <w:highlight w:val="none"/>
        </w:rPr>
      </w:pPr>
      <w:bookmarkStart w:id="1049" w:name="_Toc20245"/>
      <w:bookmarkStart w:id="1050" w:name="_Toc12130"/>
      <w:bookmarkStart w:id="1051" w:name="_Toc924"/>
      <w:bookmarkStart w:id="1052" w:name="_Toc521684400"/>
      <w:bookmarkStart w:id="1053" w:name="_Toc30801"/>
      <w:bookmarkStart w:id="1054" w:name="_Toc521695773"/>
      <w:bookmarkStart w:id="1055" w:name="_Toc521686237"/>
      <w:bookmarkStart w:id="1056" w:name="_Toc4487"/>
      <w:bookmarkStart w:id="1057" w:name="_Toc16497"/>
      <w:bookmarkStart w:id="1058" w:name="_Toc12400"/>
      <w:bookmarkStart w:id="1059" w:name="_Toc3497"/>
    </w:p>
    <w:p>
      <w:pPr>
        <w:pStyle w:val="25"/>
        <w:rPr>
          <w:color w:val="auto"/>
          <w:highlight w:val="none"/>
        </w:rPr>
      </w:pPr>
    </w:p>
    <w:p>
      <w:pPr>
        <w:rPr>
          <w:color w:val="auto"/>
          <w:highlight w:val="none"/>
        </w:rPr>
      </w:pPr>
    </w:p>
    <w:p>
      <w:pPr>
        <w:pStyle w:val="25"/>
        <w:rPr>
          <w:color w:val="auto"/>
          <w:highlight w:val="none"/>
        </w:rPr>
      </w:pPr>
    </w:p>
    <w:p>
      <w:pPr>
        <w:spacing w:line="360" w:lineRule="auto"/>
        <w:jc w:val="center"/>
        <w:rPr>
          <w:rFonts w:hint="eastAsia" w:ascii="宋体" w:hAnsi="宋体"/>
          <w:b/>
          <w:color w:val="auto"/>
          <w:szCs w:val="21"/>
          <w:highlight w:val="none"/>
          <w:lang w:bidi="ar"/>
        </w:rPr>
      </w:pPr>
      <w:r>
        <w:rPr>
          <w:rFonts w:hint="eastAsia" w:ascii="宋体" w:hAnsi="宋体"/>
          <w:b/>
          <w:color w:val="auto"/>
          <w:szCs w:val="21"/>
          <w:highlight w:val="none"/>
          <w:lang w:bidi="ar"/>
        </w:rPr>
        <w:t>注：若以联合体形式投标的，允许只盖联合体牵头单位的章。</w:t>
      </w:r>
    </w:p>
    <w:p>
      <w:pPr>
        <w:rPr>
          <w:rFonts w:hint="eastAsia" w:ascii="宋体" w:hAnsi="宋体"/>
          <w:b/>
          <w:color w:val="auto"/>
          <w:szCs w:val="21"/>
          <w:highlight w:val="none"/>
          <w:lang w:bidi="ar"/>
        </w:rPr>
      </w:pPr>
      <w:r>
        <w:rPr>
          <w:rFonts w:hint="eastAsia" w:ascii="宋体" w:hAnsi="宋体"/>
          <w:b/>
          <w:color w:val="auto"/>
          <w:szCs w:val="21"/>
          <w:highlight w:val="none"/>
          <w:lang w:bidi="ar"/>
        </w:rPr>
        <w:br w:type="page"/>
      </w:r>
    </w:p>
    <w:p>
      <w:pPr>
        <w:pStyle w:val="25"/>
        <w:rPr>
          <w:color w:val="auto"/>
          <w:highlight w:val="none"/>
        </w:rPr>
      </w:pPr>
    </w:p>
    <w:p>
      <w:pPr>
        <w:rPr>
          <w:color w:val="auto"/>
          <w:highlight w:val="none"/>
        </w:rPr>
      </w:pPr>
    </w:p>
    <w:bookmarkEnd w:id="1049"/>
    <w:bookmarkEnd w:id="1050"/>
    <w:bookmarkEnd w:id="1051"/>
    <w:bookmarkEnd w:id="1052"/>
    <w:bookmarkEnd w:id="1053"/>
    <w:bookmarkEnd w:id="1054"/>
    <w:bookmarkEnd w:id="1055"/>
    <w:bookmarkEnd w:id="1056"/>
    <w:bookmarkEnd w:id="1057"/>
    <w:bookmarkEnd w:id="1058"/>
    <w:bookmarkEnd w:id="1059"/>
    <w:p>
      <w:pPr>
        <w:numPr>
          <w:ilvl w:val="1"/>
          <w:numId w:val="0"/>
        </w:numPr>
        <w:tabs>
          <w:tab w:val="left" w:pos="720"/>
          <w:tab w:val="left" w:pos="3600"/>
        </w:tabs>
        <w:spacing w:line="360" w:lineRule="auto"/>
        <w:jc w:val="both"/>
        <w:rPr>
          <w:color w:val="auto"/>
          <w:highlight w:val="none"/>
        </w:rPr>
      </w:pPr>
    </w:p>
    <w:p>
      <w:pPr>
        <w:jc w:val="center"/>
        <w:rPr>
          <w:rFonts w:hint="default" w:eastAsia="宋体"/>
          <w:b/>
          <w:bCs/>
          <w:color w:val="auto"/>
          <w:sz w:val="32"/>
          <w:szCs w:val="32"/>
          <w:highlight w:val="none"/>
          <w:lang w:val="en-US" w:eastAsia="zh-CN"/>
        </w:rPr>
      </w:pPr>
      <w:r>
        <w:rPr>
          <w:rFonts w:hint="eastAsia"/>
          <w:b/>
          <w:bCs/>
          <w:color w:val="auto"/>
          <w:sz w:val="32"/>
          <w:szCs w:val="32"/>
          <w:highlight w:val="none"/>
          <w:lang w:val="en-US" w:eastAsia="zh-CN"/>
        </w:rPr>
        <w:t>一</w:t>
      </w:r>
      <w:r>
        <w:rPr>
          <w:rFonts w:hint="eastAsia"/>
          <w:b/>
          <w:bCs/>
          <w:color w:val="auto"/>
          <w:sz w:val="32"/>
          <w:szCs w:val="32"/>
          <w:highlight w:val="none"/>
        </w:rPr>
        <w:t>、</w:t>
      </w:r>
      <w:r>
        <w:rPr>
          <w:rFonts w:hint="eastAsia"/>
          <w:b/>
          <w:bCs/>
          <w:color w:val="auto"/>
          <w:sz w:val="32"/>
          <w:szCs w:val="32"/>
          <w:highlight w:val="none"/>
          <w:lang w:val="en-US" w:eastAsia="zh-CN"/>
        </w:rPr>
        <w:t>技术方案</w:t>
      </w:r>
    </w:p>
    <w:p>
      <w:pPr>
        <w:spacing w:line="540" w:lineRule="exact"/>
        <w:ind w:firstLine="480" w:firstLineChars="200"/>
        <w:rPr>
          <w:rFonts w:ascii="宋体" w:hAnsi="宋体"/>
          <w:color w:val="auto"/>
          <w:kern w:val="2"/>
          <w:sz w:val="24"/>
          <w:szCs w:val="24"/>
          <w:highlight w:val="none"/>
        </w:rPr>
      </w:pPr>
    </w:p>
    <w:p>
      <w:pPr>
        <w:numPr>
          <w:ilvl w:val="0"/>
          <w:numId w:val="0"/>
        </w:numPr>
        <w:spacing w:line="540" w:lineRule="exact"/>
        <w:jc w:val="left"/>
        <w:rPr>
          <w:rFonts w:ascii="宋体" w:hAnsi="宋体"/>
          <w:color w:val="auto"/>
          <w:kern w:val="2"/>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主要内容详见技术标（评分标准）</w:t>
      </w:r>
      <w:r>
        <w:rPr>
          <w:rFonts w:ascii="宋体" w:hAnsi="宋体"/>
          <w:color w:val="auto"/>
          <w:kern w:val="2"/>
          <w:sz w:val="24"/>
          <w:szCs w:val="24"/>
          <w:highlight w:val="none"/>
        </w:rPr>
        <w:t>；</w:t>
      </w:r>
    </w:p>
    <w:p>
      <w:pPr>
        <w:numPr>
          <w:ilvl w:val="0"/>
          <w:numId w:val="0"/>
        </w:numPr>
        <w:spacing w:line="54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2.其他需补充的资料。</w:t>
      </w:r>
    </w:p>
    <w:p>
      <w:pPr>
        <w:numPr>
          <w:ilvl w:val="0"/>
          <w:numId w:val="9"/>
        </w:numPr>
        <w:spacing w:line="540" w:lineRule="exact"/>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rPr>
        <w:br w:type="page"/>
      </w:r>
    </w:p>
    <w:p>
      <w:pPr>
        <w:pStyle w:val="25"/>
        <w:rPr>
          <w:rFonts w:hint="eastAsia"/>
          <w:color w:val="auto"/>
          <w:highlight w:val="none"/>
        </w:rPr>
      </w:pPr>
    </w:p>
    <w:p>
      <w:pPr>
        <w:numPr>
          <w:ilvl w:val="0"/>
          <w:numId w:val="6"/>
        </w:numPr>
        <w:ind w:left="0" w:leftChars="0" w:firstLine="321" w:firstLineChars="100"/>
        <w:jc w:val="center"/>
        <w:rPr>
          <w:rFonts w:hint="eastAsia"/>
          <w:b/>
          <w:bCs/>
          <w:color w:val="auto"/>
          <w:sz w:val="32"/>
          <w:szCs w:val="32"/>
          <w:highlight w:val="none"/>
          <w:lang w:val="en-US" w:eastAsia="zh-CN"/>
        </w:rPr>
      </w:pPr>
      <w:r>
        <w:rPr>
          <w:rFonts w:hint="eastAsia"/>
          <w:b/>
          <w:bCs/>
          <w:color w:val="auto"/>
          <w:sz w:val="32"/>
          <w:szCs w:val="32"/>
          <w:highlight w:val="none"/>
          <w:lang w:val="en-US" w:eastAsia="zh-CN"/>
        </w:rPr>
        <w:t>全过程咨询服务团队</w:t>
      </w:r>
    </w:p>
    <w:p>
      <w:pPr>
        <w:numPr>
          <w:ilvl w:val="0"/>
          <w:numId w:val="10"/>
        </w:numPr>
        <w:spacing w:line="540" w:lineRule="exact"/>
        <w:jc w:val="lef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全过程咨询服务团队（配备情况），</w:t>
      </w:r>
      <w:r>
        <w:rPr>
          <w:rFonts w:hint="eastAsia" w:ascii="宋体" w:hAnsi="宋体" w:cs="宋体"/>
          <w:color w:val="auto"/>
          <w:sz w:val="24"/>
          <w:szCs w:val="24"/>
          <w:highlight w:val="none"/>
        </w:rPr>
        <w:t>主要内容详见（评分标准）</w:t>
      </w:r>
      <w:r>
        <w:rPr>
          <w:rFonts w:hint="eastAsia" w:ascii="宋体" w:hAnsi="宋体" w:cs="宋体"/>
          <w:color w:val="auto"/>
          <w:sz w:val="24"/>
          <w:szCs w:val="24"/>
          <w:highlight w:val="none"/>
          <w:lang w:eastAsia="zh-CN"/>
        </w:rPr>
        <w:t>；</w:t>
      </w:r>
    </w:p>
    <w:p>
      <w:pPr>
        <w:spacing w:line="540" w:lineRule="exact"/>
        <w:rPr>
          <w:rFonts w:hint="eastAsia"/>
          <w:color w:val="auto"/>
          <w:highlight w:val="none"/>
          <w:lang w:val="en-US" w:eastAsia="zh-CN"/>
        </w:rPr>
      </w:pP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rPr>
        <w:t>.其他需补充的资料。</w:t>
      </w:r>
    </w:p>
    <w:p>
      <w:pPr>
        <w:spacing w:line="540" w:lineRule="exact"/>
        <w:ind w:firstLine="480" w:firstLineChars="200"/>
        <w:rPr>
          <w:rFonts w:hint="eastAsia" w:ascii="宋体" w:hAnsi="宋体" w:eastAsia="宋体" w:cs="Times New Roman"/>
          <w:color w:val="auto"/>
          <w:kern w:val="2"/>
          <w:sz w:val="24"/>
          <w:szCs w:val="24"/>
          <w:highlight w:val="none"/>
          <w:lang w:val="en-US" w:eastAsia="zh-CN"/>
        </w:rPr>
      </w:pPr>
    </w:p>
    <w:p>
      <w:pPr>
        <w:pStyle w:val="25"/>
        <w:rPr>
          <w:rFonts w:hint="eastAsia" w:ascii="宋体" w:hAnsi="宋体" w:eastAsia="宋体" w:cs="Times New Roman"/>
          <w:color w:val="auto"/>
          <w:kern w:val="2"/>
          <w:sz w:val="24"/>
          <w:szCs w:val="24"/>
          <w:highlight w:val="none"/>
          <w:lang w:val="en-US" w:eastAsia="zh-CN"/>
        </w:rPr>
      </w:pPr>
    </w:p>
    <w:p>
      <w:pPr>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br w:type="page"/>
      </w:r>
    </w:p>
    <w:p>
      <w:pPr>
        <w:pStyle w:val="25"/>
        <w:rPr>
          <w:rFonts w:hint="eastAsia"/>
          <w:color w:val="auto"/>
          <w:highlight w:val="none"/>
          <w:lang w:val="en-US" w:eastAsia="zh-CN"/>
        </w:rPr>
      </w:pPr>
    </w:p>
    <w:p>
      <w:pPr>
        <w:pStyle w:val="25"/>
        <w:rPr>
          <w:rFonts w:hint="default"/>
          <w:color w:val="auto"/>
          <w:highlight w:val="none"/>
          <w:lang w:val="en-US" w:eastAsia="zh-CN"/>
        </w:rPr>
      </w:pPr>
    </w:p>
    <w:p>
      <w:pPr>
        <w:numPr>
          <w:ilvl w:val="0"/>
          <w:numId w:val="6"/>
        </w:numPr>
        <w:ind w:left="0" w:leftChars="0" w:firstLine="321" w:firstLineChars="100"/>
        <w:jc w:val="center"/>
        <w:rPr>
          <w:rFonts w:ascii="宋体" w:hAnsi="宋体"/>
          <w:color w:val="auto"/>
          <w:kern w:val="2"/>
          <w:sz w:val="24"/>
          <w:szCs w:val="24"/>
          <w:highlight w:val="none"/>
        </w:rPr>
      </w:pPr>
      <w:r>
        <w:rPr>
          <w:rFonts w:hint="eastAsia"/>
          <w:b/>
          <w:bCs/>
          <w:color w:val="auto"/>
          <w:sz w:val="32"/>
          <w:szCs w:val="32"/>
          <w:highlight w:val="none"/>
          <w:lang w:val="en-US" w:eastAsia="zh-CN"/>
        </w:rPr>
        <w:t>企业综合实力</w:t>
      </w:r>
    </w:p>
    <w:p>
      <w:pPr>
        <w:spacing w:line="540" w:lineRule="exact"/>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rPr>
        <w:t>.</w:t>
      </w:r>
      <w:r>
        <w:rPr>
          <w:rFonts w:ascii="宋体" w:hAnsi="宋体"/>
          <w:color w:val="auto"/>
          <w:kern w:val="2"/>
          <w:sz w:val="24"/>
          <w:szCs w:val="24"/>
          <w:highlight w:val="none"/>
        </w:rPr>
        <w:t>投标人业绩情况（</w:t>
      </w:r>
      <w:r>
        <w:rPr>
          <w:color w:val="auto"/>
          <w:kern w:val="2"/>
          <w:sz w:val="24"/>
          <w:szCs w:val="24"/>
          <w:highlight w:val="none"/>
        </w:rPr>
        <w:t>相关</w:t>
      </w:r>
      <w:r>
        <w:rPr>
          <w:rFonts w:hint="eastAsia"/>
          <w:color w:val="auto"/>
          <w:kern w:val="2"/>
          <w:sz w:val="24"/>
          <w:szCs w:val="24"/>
          <w:highlight w:val="none"/>
        </w:rPr>
        <w:t>证明材料</w:t>
      </w:r>
      <w:r>
        <w:rPr>
          <w:rFonts w:hint="eastAsia" w:ascii="宋体" w:hAnsi="宋体"/>
          <w:color w:val="auto"/>
          <w:kern w:val="2"/>
          <w:sz w:val="24"/>
          <w:szCs w:val="24"/>
          <w:highlight w:val="none"/>
          <w:lang w:val="en-US" w:eastAsia="zh-CN"/>
        </w:rPr>
        <w:t>复制件</w:t>
      </w:r>
      <w:r>
        <w:rPr>
          <w:rFonts w:ascii="宋体" w:hAnsi="宋体"/>
          <w:color w:val="auto"/>
          <w:kern w:val="2"/>
          <w:sz w:val="24"/>
          <w:szCs w:val="24"/>
          <w:highlight w:val="none"/>
        </w:rPr>
        <w:t>上须加盖投标人公章）；</w:t>
      </w:r>
    </w:p>
    <w:p>
      <w:pPr>
        <w:spacing w:line="540" w:lineRule="exact"/>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rPr>
        <w:t>.</w:t>
      </w:r>
      <w:r>
        <w:rPr>
          <w:rFonts w:ascii="宋体" w:hAnsi="宋体"/>
          <w:color w:val="auto"/>
          <w:kern w:val="2"/>
          <w:sz w:val="24"/>
          <w:szCs w:val="24"/>
          <w:highlight w:val="none"/>
        </w:rPr>
        <w:t>投标人获奖情况（</w:t>
      </w:r>
      <w:r>
        <w:rPr>
          <w:color w:val="auto"/>
          <w:kern w:val="2"/>
          <w:sz w:val="24"/>
          <w:szCs w:val="24"/>
          <w:highlight w:val="none"/>
        </w:rPr>
        <w:t>相关</w:t>
      </w:r>
      <w:r>
        <w:rPr>
          <w:rFonts w:hint="eastAsia"/>
          <w:color w:val="auto"/>
          <w:kern w:val="2"/>
          <w:sz w:val="24"/>
          <w:szCs w:val="24"/>
          <w:highlight w:val="none"/>
        </w:rPr>
        <w:t>证明材料</w:t>
      </w:r>
      <w:r>
        <w:rPr>
          <w:rFonts w:hint="eastAsia" w:ascii="宋体" w:hAnsi="宋体"/>
          <w:color w:val="auto"/>
          <w:kern w:val="2"/>
          <w:sz w:val="24"/>
          <w:szCs w:val="24"/>
          <w:highlight w:val="none"/>
          <w:lang w:val="en-US" w:eastAsia="zh-CN"/>
        </w:rPr>
        <w:t>复制件</w:t>
      </w:r>
      <w:r>
        <w:rPr>
          <w:rFonts w:ascii="宋体" w:hAnsi="宋体"/>
          <w:color w:val="auto"/>
          <w:kern w:val="2"/>
          <w:sz w:val="24"/>
          <w:szCs w:val="24"/>
          <w:highlight w:val="none"/>
        </w:rPr>
        <w:t xml:space="preserve">上须加盖投标人公章）； </w:t>
      </w:r>
    </w:p>
    <w:p>
      <w:pPr>
        <w:spacing w:line="540" w:lineRule="exact"/>
        <w:ind w:right="-294" w:rightChars="-147"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rPr>
        <w:t>.项目负责人</w:t>
      </w:r>
      <w:r>
        <w:rPr>
          <w:rFonts w:hint="eastAsia" w:ascii="宋体" w:hAnsi="宋体"/>
          <w:color w:val="auto"/>
          <w:kern w:val="2"/>
          <w:sz w:val="24"/>
          <w:szCs w:val="24"/>
          <w:highlight w:val="none"/>
          <w:lang w:val="en-US" w:eastAsia="zh-CN"/>
        </w:rPr>
        <w:t>及监理负责人（总监）</w:t>
      </w:r>
      <w:r>
        <w:rPr>
          <w:rFonts w:hint="eastAsia" w:ascii="宋体" w:hAnsi="宋体"/>
          <w:color w:val="auto"/>
          <w:kern w:val="2"/>
          <w:sz w:val="24"/>
          <w:szCs w:val="24"/>
          <w:highlight w:val="none"/>
        </w:rPr>
        <w:t>业绩情况（</w:t>
      </w:r>
      <w:r>
        <w:rPr>
          <w:color w:val="auto"/>
          <w:kern w:val="2"/>
          <w:sz w:val="24"/>
          <w:szCs w:val="24"/>
          <w:highlight w:val="none"/>
        </w:rPr>
        <w:t>相关</w:t>
      </w:r>
      <w:r>
        <w:rPr>
          <w:rFonts w:hint="eastAsia"/>
          <w:color w:val="auto"/>
          <w:kern w:val="2"/>
          <w:sz w:val="24"/>
          <w:szCs w:val="24"/>
          <w:highlight w:val="none"/>
        </w:rPr>
        <w:t>证明材料</w:t>
      </w:r>
      <w:r>
        <w:rPr>
          <w:rFonts w:hint="eastAsia" w:ascii="宋体" w:hAnsi="宋体"/>
          <w:color w:val="auto"/>
          <w:kern w:val="2"/>
          <w:sz w:val="24"/>
          <w:szCs w:val="24"/>
          <w:highlight w:val="none"/>
          <w:lang w:val="en-US" w:eastAsia="zh-CN"/>
        </w:rPr>
        <w:t>复制件</w:t>
      </w:r>
      <w:r>
        <w:rPr>
          <w:rFonts w:hint="eastAsia" w:ascii="宋体" w:hAnsi="宋体"/>
          <w:color w:val="auto"/>
          <w:kern w:val="2"/>
          <w:sz w:val="24"/>
          <w:szCs w:val="24"/>
          <w:highlight w:val="none"/>
        </w:rPr>
        <w:t>上须加盖投标人公章）；</w:t>
      </w:r>
    </w:p>
    <w:p>
      <w:pPr>
        <w:spacing w:line="540" w:lineRule="exact"/>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lang w:val="en-US" w:eastAsia="zh-CN"/>
        </w:rPr>
        <w:t>4</w:t>
      </w:r>
      <w:r>
        <w:rPr>
          <w:rFonts w:hint="eastAsia" w:ascii="宋体" w:hAnsi="宋体"/>
          <w:color w:val="auto"/>
          <w:kern w:val="2"/>
          <w:sz w:val="24"/>
          <w:szCs w:val="24"/>
          <w:highlight w:val="none"/>
        </w:rPr>
        <w:t>.其他需补充的资料。</w:t>
      </w:r>
    </w:p>
    <w:p>
      <w:pPr>
        <w:rPr>
          <w:rFonts w:hint="eastAsia" w:ascii="宋体" w:hAnsi="宋体"/>
          <w:color w:val="auto"/>
          <w:kern w:val="2"/>
          <w:sz w:val="24"/>
          <w:szCs w:val="24"/>
          <w:highlight w:val="none"/>
        </w:rPr>
      </w:pPr>
      <w:r>
        <w:rPr>
          <w:rFonts w:hint="eastAsia" w:ascii="宋体" w:hAnsi="宋体"/>
          <w:color w:val="auto"/>
          <w:kern w:val="2"/>
          <w:sz w:val="24"/>
          <w:szCs w:val="24"/>
          <w:highlight w:val="none"/>
        </w:rPr>
        <w:br w:type="page"/>
      </w:r>
    </w:p>
    <w:p>
      <w:pPr>
        <w:pStyle w:val="25"/>
        <w:rPr>
          <w:rFonts w:hint="eastAsia"/>
          <w:color w:val="auto"/>
          <w:highlight w:val="none"/>
        </w:rPr>
      </w:pPr>
    </w:p>
    <w:p>
      <w:pPr>
        <w:pStyle w:val="25"/>
        <w:rPr>
          <w:color w:val="auto"/>
          <w:highlight w:val="none"/>
        </w:rPr>
      </w:pPr>
    </w:p>
    <w:bookmarkEnd w:id="1031"/>
    <w:bookmarkEnd w:id="1032"/>
    <w:bookmarkEnd w:id="1033"/>
    <w:bookmarkEnd w:id="1034"/>
    <w:bookmarkEnd w:id="1035"/>
    <w:p>
      <w:pPr>
        <w:numPr>
          <w:ilvl w:val="1"/>
          <w:numId w:val="0"/>
        </w:numPr>
        <w:tabs>
          <w:tab w:val="left" w:pos="720"/>
          <w:tab w:val="left" w:pos="3600"/>
        </w:tabs>
        <w:spacing w:line="360" w:lineRule="auto"/>
        <w:jc w:val="center"/>
        <w:rPr>
          <w:rFonts w:ascii="黑体" w:hAnsi="黑体" w:eastAsia="黑体" w:cs="黑体"/>
          <w:color w:val="auto"/>
          <w:sz w:val="32"/>
          <w:szCs w:val="32"/>
          <w:highlight w:val="none"/>
        </w:rPr>
      </w:pPr>
      <w:bookmarkStart w:id="1060" w:name="_Toc30680"/>
      <w:bookmarkStart w:id="1061" w:name="_Toc3635"/>
      <w:bookmarkStart w:id="1062" w:name="_Toc9289"/>
      <w:r>
        <w:rPr>
          <w:rFonts w:hint="eastAsia" w:ascii="黑体" w:hAnsi="黑体" w:eastAsia="黑体" w:cs="黑体"/>
          <w:color w:val="auto"/>
          <w:sz w:val="32"/>
          <w:szCs w:val="32"/>
          <w:highlight w:val="none"/>
        </w:rPr>
        <w:t>投标文件</w:t>
      </w:r>
      <w:bookmarkEnd w:id="1060"/>
      <w:bookmarkEnd w:id="1061"/>
      <w:bookmarkEnd w:id="1062"/>
    </w:p>
    <w:p>
      <w:pPr>
        <w:rPr>
          <w:color w:val="auto"/>
          <w:highlight w:val="none"/>
        </w:rPr>
      </w:pPr>
      <w:bookmarkStart w:id="1063" w:name="_Toc13042"/>
    </w:p>
    <w:p>
      <w:pPr>
        <w:rPr>
          <w:color w:val="auto"/>
          <w:highlight w:val="none"/>
        </w:rPr>
      </w:pPr>
    </w:p>
    <w:p>
      <w:pPr>
        <w:rPr>
          <w:color w:val="auto"/>
          <w:highlight w:val="none"/>
        </w:rPr>
      </w:pPr>
    </w:p>
    <w:p>
      <w:pPr>
        <w:spacing w:line="360" w:lineRule="auto"/>
        <w:jc w:val="center"/>
        <w:rPr>
          <w:rFonts w:ascii="宋体" w:hAnsi="宋体"/>
          <w:color w:val="auto"/>
          <w:sz w:val="32"/>
          <w:szCs w:val="32"/>
          <w:highlight w:val="none"/>
        </w:rPr>
      </w:pPr>
      <w:r>
        <w:rPr>
          <w:rFonts w:hint="eastAsia" w:ascii="宋体" w:hAnsi="宋体"/>
          <w:color w:val="auto"/>
          <w:sz w:val="32"/>
          <w:szCs w:val="32"/>
          <w:highlight w:val="none"/>
        </w:rPr>
        <w:t>商务文件</w:t>
      </w:r>
      <w:bookmarkEnd w:id="1063"/>
    </w:p>
    <w:p>
      <w:pPr>
        <w:spacing w:line="360" w:lineRule="auto"/>
        <w:jc w:val="center"/>
        <w:rPr>
          <w:rFonts w:ascii="宋体" w:hAnsi="宋体"/>
          <w:color w:val="auto"/>
          <w:szCs w:val="21"/>
          <w:highlight w:val="none"/>
        </w:rPr>
      </w:pPr>
      <w:bookmarkStart w:id="1064" w:name="_Toc23841"/>
      <w:r>
        <w:rPr>
          <w:rFonts w:hint="eastAsia" w:ascii="宋体" w:hAnsi="宋体"/>
          <w:color w:val="auto"/>
          <w:sz w:val="32"/>
          <w:szCs w:val="32"/>
          <w:highlight w:val="none"/>
        </w:rPr>
        <w:t>（正本、副本）封面</w:t>
      </w:r>
      <w:bookmarkEnd w:id="1064"/>
    </w:p>
    <w:p>
      <w:pPr>
        <w:spacing w:line="360" w:lineRule="auto"/>
        <w:rPr>
          <w:rFonts w:ascii="宋体" w:hAnsi="宋体"/>
          <w:color w:val="auto"/>
          <w:sz w:val="24"/>
          <w:highlight w:val="none"/>
        </w:rPr>
      </w:pPr>
    </w:p>
    <w:p>
      <w:pPr>
        <w:rPr>
          <w:color w:val="auto"/>
          <w:highlight w:val="none"/>
        </w:rPr>
      </w:pP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招标人：</w:t>
      </w:r>
      <w:r>
        <w:rPr>
          <w:rFonts w:hint="eastAsia" w:ascii="宋体" w:hAnsi="宋体"/>
          <w:color w:val="auto"/>
          <w:spacing w:val="20"/>
          <w:position w:val="2"/>
          <w:sz w:val="24"/>
          <w:szCs w:val="24"/>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pacing w:val="20"/>
          <w:position w:val="2"/>
          <w:sz w:val="24"/>
          <w:szCs w:val="24"/>
          <w:highlight w:val="none"/>
          <w:u w:val="single"/>
        </w:rPr>
        <w:t xml:space="preserve">  </w:t>
      </w:r>
    </w:p>
    <w:p>
      <w:pPr>
        <w:spacing w:line="360" w:lineRule="auto"/>
        <w:rPr>
          <w:rFonts w:ascii="宋体" w:hAnsi="宋体"/>
          <w:color w:val="auto"/>
          <w:sz w:val="24"/>
          <w:highlight w:val="none"/>
        </w:rPr>
      </w:pPr>
    </w:p>
    <w:p>
      <w:pPr>
        <w:rPr>
          <w:rFonts w:ascii="宋体" w:hAnsi="宋体"/>
          <w:color w:val="auto"/>
          <w:highlight w:val="none"/>
        </w:rPr>
      </w:pPr>
    </w:p>
    <w:p>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highlight w:val="none"/>
        </w:rPr>
        <w:t>项目名称：</w:t>
      </w:r>
      <w:r>
        <w:rPr>
          <w:rFonts w:hint="eastAsia" w:ascii="宋体" w:hAnsi="宋体"/>
          <w:color w:val="auto"/>
          <w:spacing w:val="20"/>
          <w:position w:val="2"/>
          <w:sz w:val="24"/>
          <w:szCs w:val="24"/>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pacing w:val="20"/>
          <w:position w:val="2"/>
          <w:sz w:val="24"/>
          <w:szCs w:val="24"/>
          <w:highlight w:val="none"/>
          <w:u w:val="single"/>
        </w:rPr>
        <w:t xml:space="preserve">   </w:t>
      </w:r>
    </w:p>
    <w:p>
      <w:pPr>
        <w:rPr>
          <w:rFonts w:ascii="宋体" w:hAnsi="宋体"/>
          <w:color w:val="auto"/>
          <w:highlight w:val="none"/>
        </w:rPr>
      </w:pPr>
    </w:p>
    <w:p>
      <w:pPr>
        <w:rPr>
          <w:rFonts w:ascii="宋体" w:hAnsi="宋体"/>
          <w:color w:val="auto"/>
          <w:highlight w:val="none"/>
        </w:rPr>
      </w:pP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投标人：</w:t>
      </w:r>
      <w:r>
        <w:rPr>
          <w:rFonts w:ascii="宋体" w:hAnsi="宋体"/>
          <w:color w:val="auto"/>
          <w:sz w:val="28"/>
          <w:szCs w:val="28"/>
          <w:highlight w:val="none"/>
          <w:u w:val="single"/>
        </w:rPr>
        <w:t xml:space="preserve">               </w:t>
      </w:r>
      <w:r>
        <w:rPr>
          <w:rFonts w:hint="eastAsia" w:ascii="宋体" w:hAnsi="宋体"/>
          <w:color w:val="auto"/>
          <w:sz w:val="24"/>
          <w:szCs w:val="24"/>
          <w:highlight w:val="none"/>
          <w:u w:val="single"/>
        </w:rPr>
        <w:t>（盖投标人单位公章）</w:t>
      </w:r>
    </w:p>
    <w:p>
      <w:pPr>
        <w:spacing w:line="360" w:lineRule="auto"/>
        <w:rPr>
          <w:rFonts w:ascii="宋体" w:hAnsi="宋体"/>
          <w:color w:val="auto"/>
          <w:sz w:val="24"/>
          <w:highlight w:val="none"/>
          <w:u w:val="single"/>
        </w:rPr>
      </w:pPr>
    </w:p>
    <w:p>
      <w:pPr>
        <w:spacing w:line="360" w:lineRule="auto"/>
        <w:rPr>
          <w:rFonts w:ascii="宋体" w:hAnsi="宋体"/>
          <w:color w:val="auto"/>
          <w:sz w:val="24"/>
          <w:highlight w:val="none"/>
          <w:u w:val="single"/>
        </w:rPr>
      </w:pP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法定代表人：</w:t>
      </w:r>
      <w:r>
        <w:rPr>
          <w:rFonts w:ascii="宋体" w:hAnsi="宋体"/>
          <w:color w:val="auto"/>
          <w:sz w:val="28"/>
          <w:szCs w:val="28"/>
          <w:highlight w:val="none"/>
          <w:u w:val="single"/>
        </w:rPr>
        <w:t xml:space="preserve">               </w:t>
      </w:r>
      <w:r>
        <w:rPr>
          <w:rFonts w:hint="eastAsia" w:ascii="宋体" w:hAnsi="宋体"/>
          <w:color w:val="auto"/>
          <w:sz w:val="24"/>
          <w:highlight w:val="none"/>
          <w:u w:val="single"/>
        </w:rPr>
        <w:t>（签字或盖章）</w:t>
      </w:r>
    </w:p>
    <w:p>
      <w:pPr>
        <w:spacing w:line="360" w:lineRule="auto"/>
        <w:rPr>
          <w:rFonts w:ascii="宋体" w:hAnsi="宋体"/>
          <w:color w:val="auto"/>
          <w:sz w:val="24"/>
          <w:highlight w:val="none"/>
          <w:u w:val="single"/>
        </w:rPr>
      </w:pPr>
    </w:p>
    <w:p>
      <w:pPr>
        <w:rPr>
          <w:color w:val="auto"/>
          <w:highlight w:val="none"/>
        </w:rPr>
      </w:pP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日期：</w:t>
      </w:r>
      <w:r>
        <w:rPr>
          <w:rFonts w:ascii="宋体" w:hAnsi="宋体"/>
          <w:color w:val="auto"/>
          <w:sz w:val="28"/>
          <w:szCs w:val="28"/>
          <w:highlight w:val="none"/>
          <w:u w:val="single"/>
        </w:rPr>
        <w:t xml:space="preserve">     </w:t>
      </w:r>
      <w:r>
        <w:rPr>
          <w:rFonts w:hint="eastAsia" w:ascii="宋体" w:hAnsi="宋体"/>
          <w:color w:val="auto"/>
          <w:sz w:val="24"/>
          <w:highlight w:val="none"/>
        </w:rPr>
        <w:t>年</w:t>
      </w:r>
      <w:r>
        <w:rPr>
          <w:rFonts w:ascii="宋体" w:hAnsi="宋体"/>
          <w:color w:val="auto"/>
          <w:sz w:val="28"/>
          <w:szCs w:val="28"/>
          <w:highlight w:val="none"/>
          <w:u w:val="single"/>
        </w:rPr>
        <w:t xml:space="preserve">     </w:t>
      </w:r>
      <w:r>
        <w:rPr>
          <w:rFonts w:hint="eastAsia" w:ascii="宋体" w:hAnsi="宋体"/>
          <w:color w:val="auto"/>
          <w:sz w:val="24"/>
          <w:highlight w:val="none"/>
        </w:rPr>
        <w:t>月</w:t>
      </w:r>
      <w:r>
        <w:rPr>
          <w:rFonts w:ascii="宋体" w:hAnsi="宋体"/>
          <w:color w:val="auto"/>
          <w:sz w:val="28"/>
          <w:szCs w:val="28"/>
          <w:highlight w:val="none"/>
          <w:u w:val="single"/>
        </w:rPr>
        <w:t xml:space="preserve">     </w:t>
      </w:r>
      <w:r>
        <w:rPr>
          <w:rFonts w:hint="eastAsia" w:ascii="宋体" w:hAnsi="宋体"/>
          <w:color w:val="auto"/>
          <w:sz w:val="24"/>
          <w:highlight w:val="none"/>
        </w:rPr>
        <w:t>日</w:t>
      </w:r>
    </w:p>
    <w:p>
      <w:pPr>
        <w:spacing w:line="360" w:lineRule="auto"/>
        <w:ind w:left="300" w:leftChars="150" w:firstLine="402" w:firstLineChars="200"/>
        <w:rPr>
          <w:rFonts w:hint="eastAsia" w:ascii="宋体" w:hAnsi="宋体"/>
          <w:b/>
          <w:color w:val="auto"/>
          <w:szCs w:val="21"/>
          <w:highlight w:val="none"/>
          <w:lang w:bidi="ar"/>
        </w:rPr>
      </w:pPr>
    </w:p>
    <w:p>
      <w:pPr>
        <w:spacing w:line="360" w:lineRule="auto"/>
        <w:rPr>
          <w:rFonts w:ascii="宋体" w:hAnsi="宋体"/>
          <w:b/>
          <w:color w:val="auto"/>
          <w:szCs w:val="21"/>
          <w:highlight w:val="none"/>
        </w:rPr>
      </w:pPr>
      <w:r>
        <w:rPr>
          <w:rFonts w:hint="eastAsia" w:ascii="宋体" w:hAnsi="宋体"/>
          <w:b/>
          <w:color w:val="auto"/>
          <w:szCs w:val="21"/>
          <w:highlight w:val="none"/>
          <w:lang w:bidi="ar"/>
        </w:rPr>
        <w:t>注：若以联合体形式投标的，允许只盖联合体牵头单位的章。</w:t>
      </w:r>
    </w:p>
    <w:p>
      <w:pPr>
        <w:pStyle w:val="25"/>
        <w:rPr>
          <w:rFonts w:hint="eastAsia"/>
          <w:color w:val="auto"/>
          <w:highlight w:val="none"/>
        </w:rPr>
      </w:pPr>
    </w:p>
    <w:p>
      <w:pPr>
        <w:rPr>
          <w:rFonts w:hint="eastAsia" w:ascii="宋体" w:hAnsi="宋体"/>
          <w:color w:val="auto"/>
          <w:sz w:val="24"/>
          <w:highlight w:val="none"/>
        </w:rPr>
      </w:pPr>
      <w:r>
        <w:rPr>
          <w:rFonts w:hint="eastAsia" w:ascii="宋体" w:hAnsi="宋体"/>
          <w:color w:val="auto"/>
          <w:sz w:val="24"/>
          <w:highlight w:val="none"/>
        </w:rPr>
        <w:br w:type="page"/>
      </w:r>
    </w:p>
    <w:p>
      <w:pPr>
        <w:pStyle w:val="25"/>
        <w:rPr>
          <w:color w:val="auto"/>
          <w:highlight w:val="none"/>
        </w:rPr>
      </w:pPr>
    </w:p>
    <w:p>
      <w:pPr>
        <w:pStyle w:val="34"/>
        <w:ind w:firstLine="2891" w:firstLineChars="900"/>
        <w:jc w:val="both"/>
        <w:rPr>
          <w:rFonts w:hint="eastAsia" w:ascii="黑体" w:eastAsia="黑体"/>
          <w:b/>
          <w:color w:val="auto"/>
          <w:sz w:val="36"/>
          <w:highlight w:val="none"/>
          <w:lang w:eastAsia="zh-CN"/>
        </w:rPr>
      </w:pPr>
      <w:bookmarkStart w:id="1065" w:name="_Toc28334"/>
      <w:bookmarkStart w:id="1066" w:name="_Toc23037"/>
      <w:bookmarkStart w:id="1067" w:name="_Toc7376"/>
      <w:bookmarkStart w:id="1068" w:name="_Toc5960"/>
      <w:bookmarkStart w:id="1069" w:name="_Toc21273_WPSOffice_Level2"/>
      <w:bookmarkStart w:id="1070" w:name="_Toc2468"/>
      <w:bookmarkStart w:id="1071" w:name="_Toc18765"/>
      <w:bookmarkStart w:id="1072" w:name="_Toc29813"/>
      <w:r>
        <w:rPr>
          <w:rFonts w:hint="eastAsia"/>
          <w:b/>
          <w:bCs/>
          <w:color w:val="auto"/>
          <w:sz w:val="32"/>
          <w:szCs w:val="32"/>
          <w:highlight w:val="none"/>
        </w:rPr>
        <w:t>一、</w:t>
      </w:r>
      <w:bookmarkEnd w:id="1028"/>
      <w:bookmarkEnd w:id="1036"/>
      <w:bookmarkEnd w:id="1037"/>
      <w:bookmarkEnd w:id="1038"/>
      <w:bookmarkEnd w:id="1039"/>
      <w:bookmarkEnd w:id="1065"/>
      <w:bookmarkEnd w:id="1066"/>
      <w:bookmarkEnd w:id="1067"/>
      <w:bookmarkEnd w:id="1068"/>
      <w:bookmarkEnd w:id="1069"/>
      <w:bookmarkEnd w:id="1070"/>
      <w:bookmarkEnd w:id="1071"/>
      <w:bookmarkEnd w:id="1072"/>
      <w:r>
        <w:rPr>
          <w:rFonts w:hint="eastAsia" w:ascii="黑体" w:eastAsia="黑体"/>
          <w:b/>
          <w:color w:val="auto"/>
          <w:sz w:val="36"/>
          <w:highlight w:val="none"/>
          <w:lang w:eastAsia="zh-CN"/>
        </w:rPr>
        <w:t>投标函</w:t>
      </w:r>
    </w:p>
    <w:p>
      <w:pPr>
        <w:pStyle w:val="15"/>
        <w:spacing w:line="360" w:lineRule="auto"/>
        <w:rPr>
          <w:rFonts w:ascii="宋体" w:hAnsi="宋体" w:eastAsia="宋体" w:cs="宋体"/>
          <w:snapToGrid w:val="0"/>
          <w:color w:val="auto"/>
          <w:kern w:val="0"/>
          <w:sz w:val="24"/>
          <w:szCs w:val="24"/>
          <w:highlight w:val="none"/>
        </w:rPr>
      </w:pPr>
      <w:r>
        <w:rPr>
          <w:rFonts w:hint="eastAsia" w:ascii="宋体" w:hAnsi="宋体" w:eastAsia="宋体" w:cs="宋体"/>
          <w:color w:val="auto"/>
          <w:spacing w:val="20"/>
          <w:position w:val="2"/>
          <w:sz w:val="24"/>
          <w:szCs w:val="24"/>
          <w:highlight w:val="none"/>
          <w:u w:val="single"/>
        </w:rPr>
        <w:t xml:space="preserve">                  </w:t>
      </w:r>
      <w:r>
        <w:rPr>
          <w:rFonts w:hint="eastAsia" w:ascii="宋体" w:hAnsi="宋体" w:eastAsia="宋体" w:cs="宋体"/>
          <w:snapToGrid w:val="0"/>
          <w:color w:val="auto"/>
          <w:kern w:val="0"/>
          <w:sz w:val="24"/>
          <w:szCs w:val="24"/>
          <w:highlight w:val="none"/>
        </w:rPr>
        <w:t>：</w:t>
      </w:r>
    </w:p>
    <w:p>
      <w:pPr>
        <w:numPr>
          <w:ilvl w:val="0"/>
          <w:numId w:val="11"/>
        </w:numPr>
        <w:spacing w:line="360" w:lineRule="auto"/>
        <w:ind w:firstLine="560"/>
        <w:jc w:val="left"/>
        <w:rPr>
          <w:rFonts w:ascii="宋体" w:hAnsi="宋体" w:cs="宋体"/>
          <w:bCs/>
          <w:color w:val="auto"/>
          <w:sz w:val="24"/>
          <w:szCs w:val="24"/>
          <w:highlight w:val="none"/>
          <w:u w:val="single"/>
        </w:rPr>
      </w:pPr>
      <w:r>
        <w:rPr>
          <w:rFonts w:hint="eastAsia" w:ascii="宋体" w:hAnsi="宋体" w:cs="宋体"/>
          <w:snapToGrid w:val="0"/>
          <w:color w:val="auto"/>
          <w:sz w:val="24"/>
          <w:szCs w:val="24"/>
          <w:highlight w:val="none"/>
        </w:rPr>
        <w:t>我方已全面阅读和研究了</w:t>
      </w:r>
      <w:r>
        <w:rPr>
          <w:rFonts w:hint="eastAsia" w:ascii="宋体" w:hAnsi="宋体" w:cs="宋体"/>
          <w:snapToGrid w:val="0"/>
          <w:color w:val="auto"/>
          <w:sz w:val="24"/>
          <w:szCs w:val="24"/>
          <w:highlight w:val="none"/>
          <w:u w:val="single"/>
        </w:rPr>
        <w:t>二环路智慧快速化改造工程（柯诸高速至S211省道公路连接线）全过程工程咨询</w:t>
      </w:r>
      <w:r>
        <w:rPr>
          <w:rFonts w:hint="eastAsia" w:ascii="宋体" w:hAnsi="宋体" w:cs="宋体"/>
          <w:snapToGrid w:val="0"/>
          <w:color w:val="auto"/>
          <w:sz w:val="24"/>
          <w:szCs w:val="24"/>
          <w:highlight w:val="none"/>
          <w:u w:val="single"/>
          <w:lang w:val="en-US" w:eastAsia="zh-CN"/>
        </w:rPr>
        <w:t>服务</w:t>
      </w:r>
      <w:r>
        <w:rPr>
          <w:rFonts w:hint="eastAsia" w:ascii="宋体" w:hAnsi="宋体" w:cs="宋体"/>
          <w:snapToGrid w:val="0"/>
          <w:color w:val="auto"/>
          <w:sz w:val="24"/>
          <w:szCs w:val="24"/>
          <w:highlight w:val="none"/>
        </w:rPr>
        <w:t>的</w:t>
      </w:r>
      <w:r>
        <w:rPr>
          <w:rFonts w:hint="eastAsia" w:ascii="宋体" w:hAnsi="宋体" w:cs="宋体"/>
          <w:color w:val="auto"/>
          <w:sz w:val="24"/>
          <w:szCs w:val="24"/>
          <w:highlight w:val="none"/>
        </w:rPr>
        <w:t>招</w:t>
      </w:r>
      <w:r>
        <w:rPr>
          <w:rFonts w:hint="eastAsia" w:ascii="宋体" w:hAnsi="宋体" w:cs="宋体"/>
          <w:snapToGrid w:val="0"/>
          <w:color w:val="auto"/>
          <w:sz w:val="24"/>
          <w:szCs w:val="24"/>
          <w:highlight w:val="none"/>
        </w:rPr>
        <w:t>标文件和招标补充文件，经考察现场和研究上述项目的招标文件后，愿意以全过程工程咨询服务费的投标限价为基准价下浮百分之</w:t>
      </w:r>
      <w:r>
        <w:rPr>
          <w:rFonts w:hint="eastAsia" w:ascii="宋体" w:hAnsi="宋体" w:cs="宋体"/>
          <w:snapToGrid w:val="0"/>
          <w:color w:val="auto"/>
          <w:sz w:val="24"/>
          <w:szCs w:val="24"/>
          <w:highlight w:val="none"/>
          <w:u w:val="single"/>
        </w:rPr>
        <w:t xml:space="preserve">         </w:t>
      </w:r>
      <w:r>
        <w:rPr>
          <w:rFonts w:hint="eastAsia" w:ascii="宋体" w:hAnsi="宋体" w:cs="宋体"/>
          <w:bCs/>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vertAlign w:val="subscript"/>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w:t>
      </w:r>
      <w:r>
        <w:rPr>
          <w:rFonts w:hint="eastAsia" w:ascii="宋体" w:hAnsi="宋体" w:cs="宋体"/>
          <w:snapToGrid w:val="0"/>
          <w:color w:val="auto"/>
          <w:sz w:val="24"/>
          <w:szCs w:val="24"/>
          <w:highlight w:val="none"/>
        </w:rPr>
        <w:t>的投标报价（保留二位小数），</w:t>
      </w:r>
      <w:r>
        <w:rPr>
          <w:rFonts w:hint="eastAsia" w:ascii="宋体" w:hAnsi="宋体" w:eastAsia="宋体" w:cs="宋体"/>
          <w:snapToGrid w:val="0"/>
          <w:color w:val="auto"/>
          <w:kern w:val="24"/>
          <w:sz w:val="24"/>
          <w:szCs w:val="24"/>
          <w:highlight w:val="none"/>
        </w:rPr>
        <w:t>承担并承诺完成上述全过程工程咨询合同所规定的服务工作内容，</w:t>
      </w:r>
      <w:r>
        <w:rPr>
          <w:rFonts w:hint="eastAsia" w:ascii="宋体" w:hAnsi="宋体" w:cs="宋体"/>
          <w:snapToGrid w:val="0"/>
          <w:color w:val="auto"/>
          <w:kern w:val="24"/>
          <w:sz w:val="24"/>
          <w:szCs w:val="24"/>
          <w:highlight w:val="none"/>
        </w:rPr>
        <w:t>并承担全部责任。项目负责人</w:t>
      </w:r>
      <w:r>
        <w:rPr>
          <w:rFonts w:hint="eastAsia" w:ascii="宋体" w:hAnsi="宋体" w:cs="宋体"/>
          <w:snapToGrid w:val="0"/>
          <w:color w:val="auto"/>
          <w:kern w:val="24"/>
          <w:sz w:val="24"/>
          <w:szCs w:val="24"/>
          <w:highlight w:val="none"/>
          <w:u w:val="single"/>
        </w:rPr>
        <w:t xml:space="preserve">             </w:t>
      </w:r>
      <w:r>
        <w:rPr>
          <w:rFonts w:hint="eastAsia" w:ascii="宋体" w:hAnsi="宋体" w:cs="宋体"/>
          <w:snapToGrid w:val="0"/>
          <w:color w:val="auto"/>
          <w:kern w:val="24"/>
          <w:sz w:val="24"/>
          <w:szCs w:val="24"/>
          <w:highlight w:val="none"/>
          <w:u w:val="none"/>
        </w:rPr>
        <w:t xml:space="preserve"> （身份证号码：</w:t>
      </w:r>
      <w:r>
        <w:rPr>
          <w:rFonts w:hint="eastAsia" w:ascii="宋体" w:hAnsi="宋体" w:cs="宋体"/>
          <w:snapToGrid w:val="0"/>
          <w:color w:val="auto"/>
          <w:kern w:val="24"/>
          <w:sz w:val="24"/>
          <w:szCs w:val="24"/>
          <w:highlight w:val="none"/>
          <w:u w:val="single"/>
        </w:rPr>
        <w:t xml:space="preserve">                 </w:t>
      </w:r>
      <w:r>
        <w:rPr>
          <w:rFonts w:hint="eastAsia" w:ascii="宋体" w:hAnsi="宋体" w:cs="宋体"/>
          <w:snapToGrid w:val="0"/>
          <w:color w:val="auto"/>
          <w:kern w:val="24"/>
          <w:sz w:val="24"/>
          <w:szCs w:val="24"/>
          <w:highlight w:val="none"/>
          <w:u w:val="none"/>
        </w:rPr>
        <w:t>）。</w:t>
      </w:r>
    </w:p>
    <w:p>
      <w:pPr>
        <w:numPr>
          <w:ilvl w:val="0"/>
          <w:numId w:val="11"/>
        </w:numPr>
        <w:spacing w:line="360" w:lineRule="auto"/>
        <w:ind w:left="0" w:leftChars="0" w:firstLine="560" w:firstLineChars="0"/>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rPr>
        <w:t>一旦我方中标，</w:t>
      </w:r>
      <w:r>
        <w:rPr>
          <w:rFonts w:hint="eastAsia" w:ascii="宋体" w:hAnsi="宋体" w:cs="宋体"/>
          <w:color w:val="auto"/>
          <w:sz w:val="24"/>
          <w:szCs w:val="24"/>
          <w:highlight w:val="none"/>
        </w:rPr>
        <w:t>我方</w:t>
      </w:r>
      <w:r>
        <w:rPr>
          <w:rFonts w:hint="eastAsia" w:ascii="宋体" w:hAnsi="宋体" w:cs="宋体"/>
          <w:snapToGrid w:val="0"/>
          <w:color w:val="auto"/>
          <w:sz w:val="24"/>
          <w:szCs w:val="24"/>
          <w:highlight w:val="none"/>
        </w:rPr>
        <w:t>在全部同意招标文件内容前提下，并保证人员设备按</w:t>
      </w:r>
      <w:r>
        <w:rPr>
          <w:rFonts w:hint="eastAsia" w:ascii="宋体" w:hAnsi="宋体" w:cs="宋体"/>
          <w:snapToGrid w:val="0"/>
          <w:color w:val="auto"/>
          <w:sz w:val="24"/>
          <w:szCs w:val="24"/>
          <w:highlight w:val="none"/>
          <w:lang w:val="en-GB"/>
        </w:rPr>
        <w:t>投标文件的部署</w:t>
      </w:r>
      <w:r>
        <w:rPr>
          <w:rFonts w:hint="eastAsia" w:ascii="宋体" w:hAnsi="宋体" w:cs="宋体"/>
          <w:snapToGrid w:val="0"/>
          <w:color w:val="auto"/>
          <w:sz w:val="24"/>
          <w:szCs w:val="24"/>
          <w:highlight w:val="none"/>
        </w:rPr>
        <w:t>及时到位。保证投标人员的到位率达到招标文件要求，同时</w:t>
      </w:r>
      <w:r>
        <w:rPr>
          <w:rFonts w:hint="eastAsia" w:ascii="宋体" w:hAnsi="宋体" w:eastAsia="宋体" w:cs="宋体"/>
          <w:snapToGrid w:val="0"/>
          <w:color w:val="auto"/>
          <w:sz w:val="24"/>
          <w:szCs w:val="24"/>
          <w:highlight w:val="none"/>
        </w:rPr>
        <w:t>保证本投标文件的所有资料真实有效，如有虚假成份，愿承担一切后果。</w:t>
      </w:r>
    </w:p>
    <w:p>
      <w:pPr>
        <w:spacing w:line="360" w:lineRule="auto"/>
        <w:ind w:firstLine="480"/>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三、除非另外达成协议并生效，你方的中标通知书和本投标文件将构成约束我们双方的合同。</w:t>
      </w:r>
    </w:p>
    <w:p>
      <w:pPr>
        <w:spacing w:line="360" w:lineRule="auto"/>
        <w:ind w:firstLine="480"/>
        <w:rPr>
          <w:rFonts w:hint="eastAsia" w:ascii="宋体" w:hAnsi="宋体" w:eastAsia="宋体" w:cs="宋体"/>
          <w:snapToGrid w:val="0"/>
          <w:color w:val="auto"/>
          <w:sz w:val="24"/>
          <w:szCs w:val="24"/>
          <w:highlight w:val="none"/>
          <w:lang w:eastAsia="zh-CN"/>
        </w:rPr>
      </w:pPr>
      <w:r>
        <w:rPr>
          <w:rFonts w:hint="eastAsia" w:ascii="宋体" w:hAnsi="宋体" w:cs="宋体"/>
          <w:snapToGrid w:val="0"/>
          <w:color w:val="auto"/>
          <w:sz w:val="24"/>
          <w:szCs w:val="24"/>
          <w:highlight w:val="none"/>
        </w:rPr>
        <w:t>四、</w:t>
      </w:r>
      <w:r>
        <w:rPr>
          <w:rFonts w:hint="eastAsia" w:ascii="宋体" w:hAnsi="宋体" w:cs="宋体"/>
          <w:color w:val="auto"/>
          <w:sz w:val="24"/>
          <w:szCs w:val="24"/>
          <w:highlight w:val="none"/>
        </w:rPr>
        <w:t>我方的投标</w:t>
      </w:r>
      <w:r>
        <w:rPr>
          <w:rFonts w:hint="eastAsia" w:ascii="宋体" w:hAnsi="宋体" w:cs="宋体"/>
          <w:color w:val="auto"/>
          <w:sz w:val="24"/>
          <w:szCs w:val="24"/>
          <w:highlight w:val="none"/>
          <w:lang w:val="en-US" w:eastAsia="zh-CN"/>
        </w:rPr>
        <w:t>保证金</w:t>
      </w:r>
      <w:r>
        <w:rPr>
          <w:rFonts w:hint="eastAsia" w:ascii="宋体" w:hAnsi="宋体" w:cs="宋体"/>
          <w:color w:val="auto"/>
          <w:sz w:val="24"/>
          <w:szCs w:val="24"/>
          <w:highlight w:val="none"/>
        </w:rPr>
        <w:t>已按招标文件的要求递交</w:t>
      </w:r>
      <w:r>
        <w:rPr>
          <w:rFonts w:hint="eastAsia" w:ascii="宋体" w:hAnsi="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承诺按照招标文件规定向你方递交履约担保。</w:t>
      </w:r>
    </w:p>
    <w:p>
      <w:pPr>
        <w:ind w:firstLine="480"/>
        <w:jc w:val="right"/>
        <w:rPr>
          <w:rFonts w:ascii="宋体" w:hAnsi="宋体" w:cs="宋体"/>
          <w:color w:val="auto"/>
          <w:sz w:val="24"/>
          <w:szCs w:val="24"/>
          <w:highlight w:val="none"/>
        </w:rPr>
      </w:pPr>
    </w:p>
    <w:p>
      <w:pPr>
        <w:rPr>
          <w:rFonts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（签字或盖章）：</w:t>
      </w:r>
    </w:p>
    <w:p>
      <w:pPr>
        <w:rPr>
          <w:rFonts w:ascii="宋体" w:hAnsi="宋体" w:cs="宋体"/>
          <w:color w:val="auto"/>
          <w:sz w:val="24"/>
          <w:szCs w:val="24"/>
          <w:highlight w:val="none"/>
        </w:rPr>
      </w:pPr>
    </w:p>
    <w:p>
      <w:pPr>
        <w:rPr>
          <w:rFonts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（盖</w:t>
      </w:r>
      <w:r>
        <w:rPr>
          <w:rFonts w:hint="eastAsia" w:ascii="宋体" w:hAnsi="宋体" w:cs="宋体"/>
          <w:color w:val="auto"/>
          <w:sz w:val="24"/>
          <w:szCs w:val="24"/>
          <w:highlight w:val="none"/>
          <w:lang w:val="en-US" w:eastAsia="zh-CN"/>
        </w:rPr>
        <w:t>单位公</w:t>
      </w:r>
      <w:r>
        <w:rPr>
          <w:rFonts w:hint="eastAsia" w:ascii="宋体" w:hAnsi="宋体" w:cs="宋体"/>
          <w:color w:val="auto"/>
          <w:sz w:val="24"/>
          <w:szCs w:val="24"/>
          <w:highlight w:val="none"/>
        </w:rPr>
        <w:t>章）：</w:t>
      </w:r>
    </w:p>
    <w:p>
      <w:pPr>
        <w:jc w:val="right"/>
        <w:rPr>
          <w:rFonts w:ascii="宋体" w:hAnsi="宋体" w:cs="宋体"/>
          <w:color w:val="auto"/>
          <w:sz w:val="24"/>
          <w:szCs w:val="24"/>
          <w:highlight w:val="none"/>
        </w:rPr>
      </w:pPr>
    </w:p>
    <w:p>
      <w:pPr>
        <w:spacing w:line="540" w:lineRule="exact"/>
        <w:ind w:firstLine="480" w:firstLineChars="200"/>
        <w:rPr>
          <w:rFonts w:ascii="宋体" w:hAnsi="宋体" w:cs="宋体"/>
          <w:color w:val="auto"/>
          <w:kern w:val="2"/>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pPr>
        <w:spacing w:line="540" w:lineRule="exact"/>
        <w:ind w:firstLine="480" w:firstLineChars="200"/>
        <w:rPr>
          <w:rFonts w:ascii="宋体" w:hAnsi="宋体" w:cs="宋体"/>
          <w:color w:val="auto"/>
          <w:kern w:val="2"/>
          <w:sz w:val="24"/>
          <w:szCs w:val="24"/>
          <w:highlight w:val="none"/>
        </w:rPr>
      </w:pPr>
    </w:p>
    <w:p>
      <w:pPr>
        <w:rPr>
          <w:rFonts w:ascii="宋体" w:hAnsi="宋体" w:cs="宋体"/>
          <w:color w:val="auto"/>
          <w:sz w:val="24"/>
          <w:szCs w:val="24"/>
          <w:highlight w:val="none"/>
        </w:rPr>
      </w:pPr>
      <w:r>
        <w:rPr>
          <w:rFonts w:hint="eastAsia" w:ascii="宋体" w:hAnsi="宋体" w:cs="宋体"/>
          <w:color w:val="auto"/>
          <w:sz w:val="24"/>
          <w:szCs w:val="24"/>
          <w:highlight w:val="none"/>
        </w:rPr>
        <w:t>注：投标函中的大写和小写不一致的，以大写为准。</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rPr>
        <w:t>投标人下浮率报价最多只能精确到小数点后两位，否则做</w:t>
      </w:r>
      <w:r>
        <w:rPr>
          <w:rFonts w:hint="eastAsia" w:ascii="宋体" w:hAnsi="宋体" w:cs="宋体"/>
          <w:color w:val="auto"/>
          <w:kern w:val="2"/>
          <w:sz w:val="24"/>
          <w:szCs w:val="24"/>
          <w:highlight w:val="none"/>
          <w:lang w:val="en-US" w:eastAsia="zh-CN"/>
        </w:rPr>
        <w:t>无效标</w:t>
      </w:r>
      <w:r>
        <w:rPr>
          <w:rFonts w:hint="eastAsia" w:ascii="宋体" w:hAnsi="宋体" w:cs="宋体"/>
          <w:color w:val="auto"/>
          <w:kern w:val="2"/>
          <w:sz w:val="24"/>
          <w:szCs w:val="24"/>
          <w:highlight w:val="none"/>
        </w:rPr>
        <w:t>处理</w:t>
      </w:r>
      <w:r>
        <w:rPr>
          <w:rFonts w:hint="eastAsia" w:ascii="宋体" w:hAnsi="宋体" w:cs="宋体"/>
          <w:color w:val="auto"/>
          <w:kern w:val="2"/>
          <w:sz w:val="24"/>
          <w:szCs w:val="24"/>
          <w:highlight w:val="none"/>
          <w:lang w:eastAsia="zh-CN"/>
        </w:rPr>
        <w:t>。</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535"/>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left" w:pos="7771"/>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00620747"/>
                          </w:sdtPr>
                          <w:sdtContent>
                            <w:p>
                              <w:pPr>
                                <w:pStyle w:val="16"/>
                                <w:jc w:val="center"/>
                              </w:pPr>
                              <w:r>
                                <w:fldChar w:fldCharType="begin"/>
                              </w:r>
                              <w:r>
                                <w:instrText xml:space="preserve">PAGE   \* MERGEFORMAT</w:instrText>
                              </w:r>
                              <w:r>
                                <w:fldChar w:fldCharType="separate"/>
                              </w:r>
                              <w:r>
                                <w:rPr>
                                  <w:lang w:val="zh-CN"/>
                                </w:rPr>
                                <w:t>22</w:t>
                              </w:r>
                              <w:r>
                                <w:fldChar w:fldCharType="end"/>
                              </w:r>
                            </w:p>
                          </w:sdtContent>
                        </w:sdt>
                        <w:p>
                          <w:pPr>
                            <w:pStyle w:val="1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2000620747"/>
                    </w:sdtPr>
                    <w:sdtContent>
                      <w:p>
                        <w:pPr>
                          <w:pStyle w:val="16"/>
                          <w:jc w:val="center"/>
                        </w:pPr>
                        <w:r>
                          <w:fldChar w:fldCharType="begin"/>
                        </w:r>
                        <w:r>
                          <w:instrText xml:space="preserve">PAGE   \* MERGEFORMAT</w:instrText>
                        </w:r>
                        <w:r>
                          <w:fldChar w:fldCharType="separate"/>
                        </w:r>
                        <w:r>
                          <w:rPr>
                            <w:lang w:val="zh-CN"/>
                          </w:rPr>
                          <w:t>22</w:t>
                        </w:r>
                        <w:r>
                          <w:fldChar w:fldCharType="end"/>
                        </w:r>
                      </w:p>
                    </w:sdtContent>
                  </w:sdt>
                  <w:p>
                    <w:pPr>
                      <w:pStyle w:val="19"/>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lear" w:pos="4153"/>
      </w:tabs>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szCs w:val="1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20" w:line="14" w:lineRule="auto"/>
      <w:rPr>
        <w:rFonts w:ascii="宋体" w:hAnsi="宋体"/>
        <w:sz w:val="12"/>
        <w:szCs w:val="28"/>
      </w:rPr>
    </w:pPr>
    <w:r>
      <w:rPr>
        <w:sz w:val="1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478"/>
      </w:tabs>
      <w:rPr>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60</w:t>
                    </w:r>
                    <w:r>
                      <w:fldChar w:fldCharType="end"/>
                    </w:r>
                  </w:p>
                </w:txbxContent>
              </v:textbox>
            </v:shape>
          </w:pict>
        </mc:Fallback>
      </mc:AlternateContent>
    </w:r>
    <w:r>
      <w:rPr>
        <w:sz w:val="21"/>
        <w:szCs w:val="21"/>
      </w:rPr>
      <w:tab/>
    </w:r>
  </w:p>
  <w:p>
    <w:pPr>
      <w:spacing w:after="120" w:line="14" w:lineRule="auto"/>
      <w:rPr>
        <w:rFonts w:ascii="宋体" w:hAnsi="宋体"/>
        <w:sz w:val="12"/>
        <w:szCs w:val="2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478"/>
      </w:tabs>
      <w:rPr>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rPr>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rPr>
        <w:szCs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color w:val="000000"/>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8A31FF"/>
    <w:multiLevelType w:val="singleLevel"/>
    <w:tmpl w:val="E28A31FF"/>
    <w:lvl w:ilvl="0" w:tentative="0">
      <w:start w:val="2"/>
      <w:numFmt w:val="decimal"/>
      <w:suff w:val="nothing"/>
      <w:lvlText w:val="（%1）"/>
      <w:lvlJc w:val="left"/>
    </w:lvl>
  </w:abstractNum>
  <w:abstractNum w:abstractNumId="1">
    <w:nsid w:val="00000013"/>
    <w:multiLevelType w:val="multilevel"/>
    <w:tmpl w:val="00000013"/>
    <w:lvl w:ilvl="0" w:tentative="0">
      <w:start w:val="1"/>
      <w:numFmt w:val="decimal"/>
      <w:pStyle w:val="2"/>
      <w:lvlText w:val="第 %1 章"/>
      <w:lvlJc w:val="left"/>
      <w:pPr>
        <w:tabs>
          <w:tab w:val="left" w:pos="2291"/>
        </w:tabs>
        <w:ind w:left="851" w:firstLine="0"/>
      </w:pPr>
      <w:rPr>
        <w:rFonts w:hint="eastAsia" w:eastAsia="宋体"/>
        <w:b/>
        <w:i w:val="0"/>
        <w:sz w:val="44"/>
      </w:rPr>
    </w:lvl>
    <w:lvl w:ilvl="1" w:tentative="0">
      <w:start w:val="1"/>
      <w:numFmt w:val="decimal"/>
      <w:pStyle w:val="3"/>
      <w:lvlText w:val="第%2节 "/>
      <w:lvlJc w:val="left"/>
      <w:pPr>
        <w:tabs>
          <w:tab w:val="left" w:pos="3600"/>
        </w:tabs>
        <w:ind w:left="2880" w:firstLine="0"/>
      </w:pPr>
      <w:rPr>
        <w:rFonts w:hint="eastAsia" w:eastAsia="宋体" w:cs="Times New Roman"/>
        <w:b/>
        <w:i w:val="0"/>
        <w:iCs w:val="0"/>
        <w:caps w:val="0"/>
        <w:smallCaps w:val="0"/>
        <w:strike w:val="0"/>
        <w:dstrike w:val="0"/>
        <w:vanish w:val="0"/>
        <w:spacing w:val="0"/>
        <w:kern w:val="0"/>
        <w:position w:val="0"/>
        <w:sz w:val="32"/>
        <w:u w:val="none"/>
        <w:vertAlign w:val="baseline"/>
      </w:rPr>
    </w:lvl>
    <w:lvl w:ilvl="2" w:tentative="0">
      <w:start w:val="1"/>
      <w:numFmt w:val="chineseCountingThousand"/>
      <w:lvlText w:val="%3."/>
      <w:lvlJc w:val="left"/>
      <w:pPr>
        <w:tabs>
          <w:tab w:val="left" w:pos="720"/>
        </w:tabs>
        <w:ind w:left="0" w:firstLine="0"/>
      </w:pPr>
      <w:rPr>
        <w:rFonts w:hint="eastAsia" w:eastAsia="宋体"/>
        <w:b/>
        <w:i w:val="0"/>
        <w:sz w:val="30"/>
      </w:rPr>
    </w:lvl>
    <w:lvl w:ilvl="3" w:tentative="0">
      <w:start w:val="1"/>
      <w:numFmt w:val="chineseCountingThousand"/>
      <w:lvlText w:val="(%4)  "/>
      <w:lvlJc w:val="right"/>
      <w:pPr>
        <w:tabs>
          <w:tab w:val="left" w:pos="0"/>
        </w:tabs>
        <w:ind w:left="0" w:firstLine="0"/>
      </w:pPr>
      <w:rPr>
        <w:rFonts w:hint="eastAsia"/>
      </w:rPr>
    </w:lvl>
    <w:lvl w:ilvl="4" w:tentative="0">
      <w:start w:val="1"/>
      <w:numFmt w:val="decimal"/>
      <w:lvlText w:val="%5."/>
      <w:lvlJc w:val="left"/>
      <w:pPr>
        <w:tabs>
          <w:tab w:val="left" w:pos="578"/>
        </w:tabs>
        <w:ind w:left="0" w:firstLine="576"/>
      </w:pPr>
      <w:rPr>
        <w:rFonts w:hint="eastAsia" w:eastAsia="宋体"/>
        <w:b/>
        <w:i w:val="0"/>
        <w:sz w:val="28"/>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2">
    <w:nsid w:val="00000016"/>
    <w:multiLevelType w:val="multilevel"/>
    <w:tmpl w:val="00000016"/>
    <w:lvl w:ilvl="0" w:tentative="0">
      <w:start w:val="1"/>
      <w:numFmt w:val="decimal"/>
      <w:pStyle w:val="6"/>
      <w:lvlText w:val="%1."/>
      <w:lvlJc w:val="left"/>
      <w:pPr>
        <w:tabs>
          <w:tab w:val="left" w:pos="510"/>
        </w:tabs>
        <w:ind w:left="0" w:firstLine="510"/>
      </w:pPr>
      <w:rPr>
        <w:rFonts w:hint="eastAsia"/>
      </w:rPr>
    </w:lvl>
    <w:lvl w:ilvl="1" w:tentative="0">
      <w:start w:val="1"/>
      <w:numFmt w:val="decimal"/>
      <w:lvlText w:val="%1.%2."/>
      <w:lvlJc w:val="left"/>
      <w:pPr>
        <w:tabs>
          <w:tab w:val="left" w:pos="567"/>
        </w:tabs>
        <w:ind w:left="0" w:firstLine="510"/>
      </w:pPr>
      <w:rPr>
        <w:rFonts w:hint="eastAsia"/>
        <w:b w:val="0"/>
        <w:sz w:val="24"/>
        <w:szCs w:val="24"/>
      </w:rPr>
    </w:lvl>
    <w:lvl w:ilvl="2" w:tentative="0">
      <w:start w:val="1"/>
      <w:numFmt w:val="decimal"/>
      <w:lvlText w:val="%1.%2.%3."/>
      <w:lvlJc w:val="left"/>
      <w:pPr>
        <w:tabs>
          <w:tab w:val="left" w:pos="510"/>
        </w:tabs>
        <w:ind w:left="90" w:firstLine="510"/>
      </w:pPr>
      <w:rPr>
        <w:rFonts w:hint="eastAsia"/>
      </w:rPr>
    </w:lvl>
    <w:lvl w:ilvl="3" w:tentative="0">
      <w:start w:val="1"/>
      <w:numFmt w:val="decimal"/>
      <w:lvlText w:val="%1.%2.%3.%4."/>
      <w:lvlJc w:val="left"/>
      <w:pPr>
        <w:tabs>
          <w:tab w:val="left" w:pos="510"/>
        </w:tabs>
        <w:ind w:left="0" w:firstLine="51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17"/>
    <w:multiLevelType w:val="multilevel"/>
    <w:tmpl w:val="00000017"/>
    <w:lvl w:ilvl="0" w:tentative="0">
      <w:start w:val="1"/>
      <w:numFmt w:val="chineseCountingThousand"/>
      <w:lvlText w:val="%1."/>
      <w:lvlJc w:val="left"/>
      <w:pPr>
        <w:tabs>
          <w:tab w:val="left" w:pos="0"/>
        </w:tabs>
        <w:ind w:left="0" w:firstLine="0"/>
      </w:pPr>
      <w:rPr>
        <w:rFonts w:hint="eastAsia"/>
        <w:b/>
        <w:i w:val="0"/>
        <w:sz w:val="32"/>
        <w:szCs w:val="32"/>
      </w:rPr>
    </w:lvl>
    <w:lvl w:ilvl="1" w:tentative="0">
      <w:start w:val="1"/>
      <w:numFmt w:val="decimal"/>
      <w:lvlRestart w:val="0"/>
      <w:lvlText w:val="%2."/>
      <w:lvlJc w:val="left"/>
      <w:pPr>
        <w:tabs>
          <w:tab w:val="left" w:pos="510"/>
        </w:tabs>
        <w:ind w:left="0" w:firstLine="510"/>
      </w:pPr>
      <w:rPr>
        <w:rFonts w:hint="eastAsia" w:ascii="宋体" w:hAnsi="宋体" w:eastAsia="宋体"/>
        <w:b/>
        <w:sz w:val="21"/>
        <w:szCs w:val="21"/>
      </w:rPr>
    </w:lvl>
    <w:lvl w:ilvl="2" w:tentative="0">
      <w:start w:val="1"/>
      <w:numFmt w:val="decimal"/>
      <w:lvlText w:val="%2.%3."/>
      <w:lvlJc w:val="left"/>
      <w:pPr>
        <w:tabs>
          <w:tab w:val="left" w:pos="510"/>
        </w:tabs>
        <w:ind w:left="0" w:firstLine="510"/>
      </w:pPr>
      <w:rPr>
        <w:rFonts w:hint="eastAsia" w:ascii="宋体" w:hAnsi="宋体" w:eastAsia="宋体"/>
        <w:b/>
        <w:i w:val="0"/>
        <w:sz w:val="24"/>
        <w:szCs w:val="24"/>
      </w:rPr>
    </w:lvl>
    <w:lvl w:ilvl="3" w:tentative="0">
      <w:start w:val="1"/>
      <w:numFmt w:val="decimal"/>
      <w:lvlText w:val="%2.%3.%4"/>
      <w:lvlJc w:val="left"/>
      <w:pPr>
        <w:tabs>
          <w:tab w:val="left" w:pos="510"/>
        </w:tabs>
        <w:ind w:left="0" w:firstLine="510"/>
      </w:pPr>
      <w:rPr>
        <w:rFonts w:hint="eastAsia" w:ascii="宋体" w:hAnsi="宋体" w:eastAsia="宋体"/>
        <w:b/>
        <w:sz w:val="24"/>
        <w:szCs w:val="24"/>
      </w:rPr>
    </w:lvl>
    <w:lvl w:ilvl="4" w:tentative="0">
      <w:start w:val="1"/>
      <w:numFmt w:val="decimal"/>
      <w:lvlText w:val="%2.%3.%4.%5"/>
      <w:lvlJc w:val="left"/>
      <w:pPr>
        <w:tabs>
          <w:tab w:val="left" w:pos="510"/>
        </w:tabs>
        <w:ind w:left="0" w:firstLine="510"/>
      </w:pPr>
      <w:rPr>
        <w:rFonts w:hint="eastAsia" w:ascii="宋体" w:hAnsi="宋体" w:eastAsia="宋体"/>
        <w:b w:val="0"/>
      </w:rPr>
    </w:lvl>
    <w:lvl w:ilvl="5" w:tentative="0">
      <w:start w:val="1"/>
      <w:numFmt w:val="decimal"/>
      <w:lvlText w:val="（%6）"/>
      <w:lvlJc w:val="left"/>
      <w:pPr>
        <w:tabs>
          <w:tab w:val="left" w:pos="510"/>
        </w:tabs>
        <w:ind w:left="0" w:firstLine="510"/>
      </w:pPr>
      <w:rPr>
        <w:rFonts w:ascii="Times New Roman" w:hAnsi="Times New Roman" w:eastAsia="宋体" w:cs="Times New Roman"/>
      </w:rPr>
    </w:lvl>
    <w:lvl w:ilvl="6" w:tentative="0">
      <w:start w:val="1"/>
      <w:numFmt w:val="decimal"/>
      <w:lvlText w:val="%7."/>
      <w:lvlJc w:val="left"/>
      <w:pPr>
        <w:tabs>
          <w:tab w:val="left" w:pos="624"/>
        </w:tabs>
        <w:ind w:left="0" w:firstLine="624"/>
      </w:pPr>
      <w:rPr>
        <w:rFonts w:hint="eastAsia" w:ascii="宋体" w:hAnsi="宋体" w:eastAsia="宋体"/>
        <w:b/>
        <w:i w:val="0"/>
        <w:sz w:val="24"/>
        <w:szCs w:val="24"/>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
    <w:nsid w:val="008D2EE0"/>
    <w:multiLevelType w:val="singleLevel"/>
    <w:tmpl w:val="008D2EE0"/>
    <w:lvl w:ilvl="0" w:tentative="0">
      <w:start w:val="1"/>
      <w:numFmt w:val="chineseCounting"/>
      <w:suff w:val="nothing"/>
      <w:lvlText w:val="%1、"/>
      <w:lvlJc w:val="left"/>
      <w:rPr>
        <w:rFonts w:hint="eastAsia" w:cs="Times New Roman"/>
      </w:rPr>
    </w:lvl>
  </w:abstractNum>
  <w:abstractNum w:abstractNumId="5">
    <w:nsid w:val="05FBCB1A"/>
    <w:multiLevelType w:val="singleLevel"/>
    <w:tmpl w:val="05FBCB1A"/>
    <w:lvl w:ilvl="0" w:tentative="0">
      <w:start w:val="4"/>
      <w:numFmt w:val="chineseCounting"/>
      <w:suff w:val="space"/>
      <w:lvlText w:val="第%1章"/>
      <w:lvlJc w:val="left"/>
      <w:rPr>
        <w:rFonts w:hint="eastAsia"/>
      </w:rPr>
    </w:lvl>
  </w:abstractNum>
  <w:abstractNum w:abstractNumId="6">
    <w:nsid w:val="1720EA65"/>
    <w:multiLevelType w:val="singleLevel"/>
    <w:tmpl w:val="1720EA65"/>
    <w:lvl w:ilvl="0" w:tentative="0">
      <w:start w:val="7"/>
      <w:numFmt w:val="chineseCounting"/>
      <w:suff w:val="nothing"/>
      <w:lvlText w:val="%1、"/>
      <w:lvlJc w:val="left"/>
      <w:rPr>
        <w:rFonts w:hint="eastAsia"/>
      </w:rPr>
    </w:lvl>
  </w:abstractNum>
  <w:abstractNum w:abstractNumId="7">
    <w:nsid w:val="22095193"/>
    <w:multiLevelType w:val="singleLevel"/>
    <w:tmpl w:val="22095193"/>
    <w:lvl w:ilvl="0" w:tentative="0">
      <w:start w:val="1"/>
      <w:numFmt w:val="decimal"/>
      <w:lvlText w:val="%1."/>
      <w:lvlJc w:val="left"/>
      <w:pPr>
        <w:tabs>
          <w:tab w:val="left" w:pos="312"/>
        </w:tabs>
      </w:pPr>
    </w:lvl>
  </w:abstractNum>
  <w:abstractNum w:abstractNumId="8">
    <w:nsid w:val="4E45458A"/>
    <w:multiLevelType w:val="singleLevel"/>
    <w:tmpl w:val="4E45458A"/>
    <w:lvl w:ilvl="0" w:tentative="0">
      <w:start w:val="3"/>
      <w:numFmt w:val="chineseCounting"/>
      <w:suff w:val="nothing"/>
      <w:lvlText w:val="（%1）"/>
      <w:lvlJc w:val="left"/>
      <w:rPr>
        <w:rFonts w:hint="eastAsia"/>
      </w:rPr>
    </w:lvl>
  </w:abstractNum>
  <w:abstractNum w:abstractNumId="9">
    <w:nsid w:val="52BCA942"/>
    <w:multiLevelType w:val="singleLevel"/>
    <w:tmpl w:val="52BCA942"/>
    <w:lvl w:ilvl="0" w:tentative="0">
      <w:start w:val="1"/>
      <w:numFmt w:val="chineseCounting"/>
      <w:suff w:val="nothing"/>
      <w:lvlText w:val="%1、"/>
      <w:lvlJc w:val="left"/>
      <w:rPr>
        <w:rFonts w:hint="eastAsia"/>
      </w:rPr>
    </w:lvl>
  </w:abstractNum>
  <w:abstractNum w:abstractNumId="10">
    <w:nsid w:val="7B7AA63F"/>
    <w:multiLevelType w:val="singleLevel"/>
    <w:tmpl w:val="7B7AA63F"/>
    <w:lvl w:ilvl="0" w:tentative="0">
      <w:start w:val="1"/>
      <w:numFmt w:val="decimal"/>
      <w:lvlText w:val="%1."/>
      <w:lvlJc w:val="left"/>
      <w:pPr>
        <w:tabs>
          <w:tab w:val="left" w:pos="312"/>
        </w:tabs>
      </w:pPr>
    </w:lvl>
  </w:abstractNum>
  <w:num w:numId="1">
    <w:abstractNumId w:val="1"/>
  </w:num>
  <w:num w:numId="2">
    <w:abstractNumId w:val="2"/>
  </w:num>
  <w:num w:numId="3">
    <w:abstractNumId w:val="0"/>
  </w:num>
  <w:num w:numId="4">
    <w:abstractNumId w:val="3"/>
  </w:num>
  <w:num w:numId="5">
    <w:abstractNumId w:val="5"/>
  </w:num>
  <w:num w:numId="6">
    <w:abstractNumId w:val="9"/>
  </w:num>
  <w:num w:numId="7">
    <w:abstractNumId w:val="8"/>
  </w:num>
  <w:num w:numId="8">
    <w:abstractNumId w:val="6"/>
  </w:num>
  <w:num w:numId="9">
    <w:abstractNumId w:val="7"/>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E5Y2JiOWZjMjFiNGIzMzZiMjQ2ZGRiNGFhZTY1ZDIifQ=="/>
  </w:docVars>
  <w:rsids>
    <w:rsidRoot w:val="002E60FF"/>
    <w:rsid w:val="00001B47"/>
    <w:rsid w:val="000136CC"/>
    <w:rsid w:val="000346A1"/>
    <w:rsid w:val="00085150"/>
    <w:rsid w:val="000B1698"/>
    <w:rsid w:val="000B6936"/>
    <w:rsid w:val="000E227F"/>
    <w:rsid w:val="001D7D62"/>
    <w:rsid w:val="0022181C"/>
    <w:rsid w:val="00274EEB"/>
    <w:rsid w:val="002B6923"/>
    <w:rsid w:val="002E60FF"/>
    <w:rsid w:val="0031380D"/>
    <w:rsid w:val="00340C6C"/>
    <w:rsid w:val="003428A4"/>
    <w:rsid w:val="0037082F"/>
    <w:rsid w:val="004552EC"/>
    <w:rsid w:val="0046741B"/>
    <w:rsid w:val="00483463"/>
    <w:rsid w:val="00513C24"/>
    <w:rsid w:val="0075194C"/>
    <w:rsid w:val="00767033"/>
    <w:rsid w:val="008F447A"/>
    <w:rsid w:val="00AD6EB8"/>
    <w:rsid w:val="00B2258A"/>
    <w:rsid w:val="00C229CA"/>
    <w:rsid w:val="00CA7EEA"/>
    <w:rsid w:val="00CD79DA"/>
    <w:rsid w:val="00D12D2E"/>
    <w:rsid w:val="00D533D0"/>
    <w:rsid w:val="00D94A6B"/>
    <w:rsid w:val="00E45F79"/>
    <w:rsid w:val="00E7164D"/>
    <w:rsid w:val="00F224C9"/>
    <w:rsid w:val="00F24865"/>
    <w:rsid w:val="010D7DD7"/>
    <w:rsid w:val="011C44BE"/>
    <w:rsid w:val="012A7A1C"/>
    <w:rsid w:val="01317F69"/>
    <w:rsid w:val="01424DE5"/>
    <w:rsid w:val="015B4FE6"/>
    <w:rsid w:val="015E4AD6"/>
    <w:rsid w:val="016466F7"/>
    <w:rsid w:val="01D363CA"/>
    <w:rsid w:val="01F107E4"/>
    <w:rsid w:val="01FB2325"/>
    <w:rsid w:val="024E68F9"/>
    <w:rsid w:val="029D518A"/>
    <w:rsid w:val="02BC1AB4"/>
    <w:rsid w:val="02C026E1"/>
    <w:rsid w:val="03022BC6"/>
    <w:rsid w:val="03045D76"/>
    <w:rsid w:val="03321F7E"/>
    <w:rsid w:val="03591C0A"/>
    <w:rsid w:val="03830824"/>
    <w:rsid w:val="03AE265E"/>
    <w:rsid w:val="03D8291E"/>
    <w:rsid w:val="03FA477C"/>
    <w:rsid w:val="04605C70"/>
    <w:rsid w:val="0479484D"/>
    <w:rsid w:val="0490162B"/>
    <w:rsid w:val="04B0389B"/>
    <w:rsid w:val="04C410F4"/>
    <w:rsid w:val="04C42EA2"/>
    <w:rsid w:val="04C74740"/>
    <w:rsid w:val="04E66DC0"/>
    <w:rsid w:val="05145525"/>
    <w:rsid w:val="05283431"/>
    <w:rsid w:val="053B1A72"/>
    <w:rsid w:val="05E11832"/>
    <w:rsid w:val="06146648"/>
    <w:rsid w:val="061816F7"/>
    <w:rsid w:val="06292B01"/>
    <w:rsid w:val="063A1A16"/>
    <w:rsid w:val="067130A6"/>
    <w:rsid w:val="067A5F0E"/>
    <w:rsid w:val="069D39AB"/>
    <w:rsid w:val="06D174C6"/>
    <w:rsid w:val="06EE06AA"/>
    <w:rsid w:val="073D0232"/>
    <w:rsid w:val="074C211D"/>
    <w:rsid w:val="07921036"/>
    <w:rsid w:val="079528D4"/>
    <w:rsid w:val="07A31495"/>
    <w:rsid w:val="07BC4FBB"/>
    <w:rsid w:val="07D17DB0"/>
    <w:rsid w:val="07E775D3"/>
    <w:rsid w:val="07F817E1"/>
    <w:rsid w:val="08000EE5"/>
    <w:rsid w:val="081E315D"/>
    <w:rsid w:val="08502AF4"/>
    <w:rsid w:val="086E3AEE"/>
    <w:rsid w:val="08986169"/>
    <w:rsid w:val="08B066E1"/>
    <w:rsid w:val="08E41879"/>
    <w:rsid w:val="08E677FF"/>
    <w:rsid w:val="08F51BAF"/>
    <w:rsid w:val="093C74AB"/>
    <w:rsid w:val="09912AD4"/>
    <w:rsid w:val="09AA04A0"/>
    <w:rsid w:val="09DB5391"/>
    <w:rsid w:val="09E644D3"/>
    <w:rsid w:val="09E87633"/>
    <w:rsid w:val="0A157E7C"/>
    <w:rsid w:val="0A3E36F7"/>
    <w:rsid w:val="0A641EE1"/>
    <w:rsid w:val="0A7D03A1"/>
    <w:rsid w:val="0A9D041D"/>
    <w:rsid w:val="0AD77566"/>
    <w:rsid w:val="0ADA6AD0"/>
    <w:rsid w:val="0AE27B5E"/>
    <w:rsid w:val="0AEE023D"/>
    <w:rsid w:val="0AFA3217"/>
    <w:rsid w:val="0B2476AB"/>
    <w:rsid w:val="0B715A25"/>
    <w:rsid w:val="0C1666D9"/>
    <w:rsid w:val="0C2F779B"/>
    <w:rsid w:val="0C467E9A"/>
    <w:rsid w:val="0C654F6B"/>
    <w:rsid w:val="0C6D76FB"/>
    <w:rsid w:val="0C7358DA"/>
    <w:rsid w:val="0C8E78F0"/>
    <w:rsid w:val="0CBA7393"/>
    <w:rsid w:val="0CE916F8"/>
    <w:rsid w:val="0D5406D0"/>
    <w:rsid w:val="0D7A4A46"/>
    <w:rsid w:val="0DB93D54"/>
    <w:rsid w:val="0DCA265D"/>
    <w:rsid w:val="0DE6032D"/>
    <w:rsid w:val="0E7B0A75"/>
    <w:rsid w:val="0EA2438B"/>
    <w:rsid w:val="0EA855E3"/>
    <w:rsid w:val="0EAF2A15"/>
    <w:rsid w:val="0ED75AF3"/>
    <w:rsid w:val="0F3330FE"/>
    <w:rsid w:val="0F3A3543"/>
    <w:rsid w:val="0F584FF8"/>
    <w:rsid w:val="0FA364D6"/>
    <w:rsid w:val="0FEB1C2B"/>
    <w:rsid w:val="0FEF319B"/>
    <w:rsid w:val="0FF94348"/>
    <w:rsid w:val="0FFD203D"/>
    <w:rsid w:val="10172A20"/>
    <w:rsid w:val="102313C5"/>
    <w:rsid w:val="1025370F"/>
    <w:rsid w:val="102D73BE"/>
    <w:rsid w:val="10340B00"/>
    <w:rsid w:val="10462E22"/>
    <w:rsid w:val="108F0808"/>
    <w:rsid w:val="10AD4481"/>
    <w:rsid w:val="10C333EF"/>
    <w:rsid w:val="10C407A1"/>
    <w:rsid w:val="10E34671"/>
    <w:rsid w:val="10FB40F0"/>
    <w:rsid w:val="11327489"/>
    <w:rsid w:val="113A22D2"/>
    <w:rsid w:val="11800151"/>
    <w:rsid w:val="11901322"/>
    <w:rsid w:val="11955682"/>
    <w:rsid w:val="11AC2651"/>
    <w:rsid w:val="12034953"/>
    <w:rsid w:val="12617F82"/>
    <w:rsid w:val="128F6DDE"/>
    <w:rsid w:val="12A6008B"/>
    <w:rsid w:val="12AA1929"/>
    <w:rsid w:val="12CB315F"/>
    <w:rsid w:val="12E7520F"/>
    <w:rsid w:val="12FD5757"/>
    <w:rsid w:val="12FE598A"/>
    <w:rsid w:val="13086650"/>
    <w:rsid w:val="13390660"/>
    <w:rsid w:val="13402A37"/>
    <w:rsid w:val="13407A72"/>
    <w:rsid w:val="134C29E0"/>
    <w:rsid w:val="137A0DDB"/>
    <w:rsid w:val="13822481"/>
    <w:rsid w:val="13854144"/>
    <w:rsid w:val="1399374C"/>
    <w:rsid w:val="13C92283"/>
    <w:rsid w:val="14333BA0"/>
    <w:rsid w:val="143516C6"/>
    <w:rsid w:val="14832432"/>
    <w:rsid w:val="14D64C58"/>
    <w:rsid w:val="14E81FD5"/>
    <w:rsid w:val="14EE4955"/>
    <w:rsid w:val="15393438"/>
    <w:rsid w:val="15910B7E"/>
    <w:rsid w:val="15A50A7A"/>
    <w:rsid w:val="16336B70"/>
    <w:rsid w:val="163F682C"/>
    <w:rsid w:val="166354F3"/>
    <w:rsid w:val="167D5B33"/>
    <w:rsid w:val="1684100F"/>
    <w:rsid w:val="16AF2A24"/>
    <w:rsid w:val="16EA2C3C"/>
    <w:rsid w:val="171750B3"/>
    <w:rsid w:val="17190E2C"/>
    <w:rsid w:val="17221E8C"/>
    <w:rsid w:val="1754712B"/>
    <w:rsid w:val="176D5E03"/>
    <w:rsid w:val="17A857FA"/>
    <w:rsid w:val="17BF0469"/>
    <w:rsid w:val="180D1E0E"/>
    <w:rsid w:val="18433C0E"/>
    <w:rsid w:val="184E0FA9"/>
    <w:rsid w:val="186B1B5B"/>
    <w:rsid w:val="189C6921"/>
    <w:rsid w:val="18D70F9E"/>
    <w:rsid w:val="18DC6F37"/>
    <w:rsid w:val="191626EA"/>
    <w:rsid w:val="191A24DE"/>
    <w:rsid w:val="191E4E1F"/>
    <w:rsid w:val="195720DF"/>
    <w:rsid w:val="19595E57"/>
    <w:rsid w:val="19AD5800"/>
    <w:rsid w:val="19F54DCA"/>
    <w:rsid w:val="1A012B45"/>
    <w:rsid w:val="1A0A0EFF"/>
    <w:rsid w:val="1A0F7123"/>
    <w:rsid w:val="1A5A1E87"/>
    <w:rsid w:val="1A66082C"/>
    <w:rsid w:val="1ACC74DC"/>
    <w:rsid w:val="1ADE46B5"/>
    <w:rsid w:val="1AF37BE5"/>
    <w:rsid w:val="1AF57CC6"/>
    <w:rsid w:val="1B2D733D"/>
    <w:rsid w:val="1B3A75C2"/>
    <w:rsid w:val="1B6F1305"/>
    <w:rsid w:val="1B7A20B5"/>
    <w:rsid w:val="1BF718C8"/>
    <w:rsid w:val="1C051A9C"/>
    <w:rsid w:val="1C2350D4"/>
    <w:rsid w:val="1C7A236C"/>
    <w:rsid w:val="1C820FFE"/>
    <w:rsid w:val="1C856F63"/>
    <w:rsid w:val="1C8862B3"/>
    <w:rsid w:val="1C992D0E"/>
    <w:rsid w:val="1C9F0025"/>
    <w:rsid w:val="1CA56EAB"/>
    <w:rsid w:val="1CA732C5"/>
    <w:rsid w:val="1CAE6DE8"/>
    <w:rsid w:val="1CBF5FD1"/>
    <w:rsid w:val="1CD83537"/>
    <w:rsid w:val="1D480E36"/>
    <w:rsid w:val="1D547061"/>
    <w:rsid w:val="1D8B25AF"/>
    <w:rsid w:val="1E0C3728"/>
    <w:rsid w:val="1E4075E6"/>
    <w:rsid w:val="1E62130A"/>
    <w:rsid w:val="1E6856AE"/>
    <w:rsid w:val="1E6B1C30"/>
    <w:rsid w:val="1E763007"/>
    <w:rsid w:val="1E960FB4"/>
    <w:rsid w:val="1E982F7E"/>
    <w:rsid w:val="1E987A14"/>
    <w:rsid w:val="1EA359AA"/>
    <w:rsid w:val="1EB23704"/>
    <w:rsid w:val="1ECB5101"/>
    <w:rsid w:val="1ECE2E43"/>
    <w:rsid w:val="1EEB22F8"/>
    <w:rsid w:val="1F360A08"/>
    <w:rsid w:val="1F6D440A"/>
    <w:rsid w:val="1F74141C"/>
    <w:rsid w:val="1F74787F"/>
    <w:rsid w:val="1F8A6E42"/>
    <w:rsid w:val="1FAD6229"/>
    <w:rsid w:val="206122BB"/>
    <w:rsid w:val="20DA5ACF"/>
    <w:rsid w:val="20E313D3"/>
    <w:rsid w:val="21155C47"/>
    <w:rsid w:val="2119596F"/>
    <w:rsid w:val="215C5451"/>
    <w:rsid w:val="21611D4D"/>
    <w:rsid w:val="2172184E"/>
    <w:rsid w:val="2198368A"/>
    <w:rsid w:val="21A23AE7"/>
    <w:rsid w:val="21D50045"/>
    <w:rsid w:val="225418B2"/>
    <w:rsid w:val="22813D29"/>
    <w:rsid w:val="22A46CE7"/>
    <w:rsid w:val="22B30384"/>
    <w:rsid w:val="22B93BD1"/>
    <w:rsid w:val="22DA6326"/>
    <w:rsid w:val="22ED17B9"/>
    <w:rsid w:val="2305495A"/>
    <w:rsid w:val="231338B2"/>
    <w:rsid w:val="231B5F2B"/>
    <w:rsid w:val="231C5B5D"/>
    <w:rsid w:val="2322375E"/>
    <w:rsid w:val="234C4337"/>
    <w:rsid w:val="23584B1B"/>
    <w:rsid w:val="236778A5"/>
    <w:rsid w:val="23847F75"/>
    <w:rsid w:val="23D208E0"/>
    <w:rsid w:val="23F46EA8"/>
    <w:rsid w:val="23FA5EFD"/>
    <w:rsid w:val="2435126F"/>
    <w:rsid w:val="24761137"/>
    <w:rsid w:val="24981900"/>
    <w:rsid w:val="24A0493A"/>
    <w:rsid w:val="24A26904"/>
    <w:rsid w:val="24B228BF"/>
    <w:rsid w:val="24B91EA0"/>
    <w:rsid w:val="24F46A34"/>
    <w:rsid w:val="24FB44AA"/>
    <w:rsid w:val="25106A1D"/>
    <w:rsid w:val="25487FEA"/>
    <w:rsid w:val="258068C4"/>
    <w:rsid w:val="259E450F"/>
    <w:rsid w:val="25C74149"/>
    <w:rsid w:val="25D671B0"/>
    <w:rsid w:val="25EF7868"/>
    <w:rsid w:val="25FF3A9E"/>
    <w:rsid w:val="2601749B"/>
    <w:rsid w:val="260450DB"/>
    <w:rsid w:val="261310D6"/>
    <w:rsid w:val="26323246"/>
    <w:rsid w:val="265956E8"/>
    <w:rsid w:val="26864004"/>
    <w:rsid w:val="26A21910"/>
    <w:rsid w:val="26AB3340"/>
    <w:rsid w:val="26BF4C8B"/>
    <w:rsid w:val="26C12A8A"/>
    <w:rsid w:val="26C703C3"/>
    <w:rsid w:val="2702368A"/>
    <w:rsid w:val="270C4509"/>
    <w:rsid w:val="273B7038"/>
    <w:rsid w:val="273C7507"/>
    <w:rsid w:val="27414EE3"/>
    <w:rsid w:val="27634853"/>
    <w:rsid w:val="279427B7"/>
    <w:rsid w:val="2805142F"/>
    <w:rsid w:val="281008CE"/>
    <w:rsid w:val="281B0222"/>
    <w:rsid w:val="28976054"/>
    <w:rsid w:val="28A21898"/>
    <w:rsid w:val="28B46C06"/>
    <w:rsid w:val="28E637DA"/>
    <w:rsid w:val="28F434A6"/>
    <w:rsid w:val="29080D00"/>
    <w:rsid w:val="29143B49"/>
    <w:rsid w:val="2920429C"/>
    <w:rsid w:val="29240015"/>
    <w:rsid w:val="29653C22"/>
    <w:rsid w:val="296D02DD"/>
    <w:rsid w:val="29706AE6"/>
    <w:rsid w:val="2976035F"/>
    <w:rsid w:val="297F66ED"/>
    <w:rsid w:val="29932CBF"/>
    <w:rsid w:val="299627B0"/>
    <w:rsid w:val="299C223C"/>
    <w:rsid w:val="29B0340E"/>
    <w:rsid w:val="29C015DB"/>
    <w:rsid w:val="29DB3CEA"/>
    <w:rsid w:val="29E83790"/>
    <w:rsid w:val="29FF2103"/>
    <w:rsid w:val="2A0E4AA9"/>
    <w:rsid w:val="2A2C0A1E"/>
    <w:rsid w:val="2A383867"/>
    <w:rsid w:val="2A41096D"/>
    <w:rsid w:val="2A524929"/>
    <w:rsid w:val="2A6B1546"/>
    <w:rsid w:val="2AD57308"/>
    <w:rsid w:val="2B1F1910"/>
    <w:rsid w:val="2B5324E2"/>
    <w:rsid w:val="2B532937"/>
    <w:rsid w:val="2B940F71"/>
    <w:rsid w:val="2BA411B4"/>
    <w:rsid w:val="2BC77AB5"/>
    <w:rsid w:val="2BEC45D5"/>
    <w:rsid w:val="2C22657D"/>
    <w:rsid w:val="2C412EA7"/>
    <w:rsid w:val="2C504E98"/>
    <w:rsid w:val="2C680433"/>
    <w:rsid w:val="2C7566AC"/>
    <w:rsid w:val="2C9A4365"/>
    <w:rsid w:val="2C9D156B"/>
    <w:rsid w:val="2CA23219"/>
    <w:rsid w:val="2CA23B6F"/>
    <w:rsid w:val="2CE2075A"/>
    <w:rsid w:val="2CE656F5"/>
    <w:rsid w:val="2CF63BDB"/>
    <w:rsid w:val="2D0839C4"/>
    <w:rsid w:val="2D3A16A4"/>
    <w:rsid w:val="2D60735C"/>
    <w:rsid w:val="2D7B4196"/>
    <w:rsid w:val="2D885FB0"/>
    <w:rsid w:val="2D91227C"/>
    <w:rsid w:val="2D9E1FEC"/>
    <w:rsid w:val="2DB651CE"/>
    <w:rsid w:val="2DC518B5"/>
    <w:rsid w:val="2DEA131C"/>
    <w:rsid w:val="2DF31F7F"/>
    <w:rsid w:val="2E42114A"/>
    <w:rsid w:val="2E5F7614"/>
    <w:rsid w:val="2E884C40"/>
    <w:rsid w:val="2ECB12C2"/>
    <w:rsid w:val="2EE7165C"/>
    <w:rsid w:val="2F0913C9"/>
    <w:rsid w:val="2F0C1427"/>
    <w:rsid w:val="2F45680A"/>
    <w:rsid w:val="2F877CE6"/>
    <w:rsid w:val="2F964D79"/>
    <w:rsid w:val="2FA234A6"/>
    <w:rsid w:val="2FB57BB5"/>
    <w:rsid w:val="2FE10EC0"/>
    <w:rsid w:val="30034C81"/>
    <w:rsid w:val="300E12F2"/>
    <w:rsid w:val="301306B6"/>
    <w:rsid w:val="30444D13"/>
    <w:rsid w:val="305963E9"/>
    <w:rsid w:val="305F0BBF"/>
    <w:rsid w:val="30705D23"/>
    <w:rsid w:val="308839CA"/>
    <w:rsid w:val="309612E7"/>
    <w:rsid w:val="30AF41F2"/>
    <w:rsid w:val="30E402A4"/>
    <w:rsid w:val="30FB67C9"/>
    <w:rsid w:val="31077AEF"/>
    <w:rsid w:val="315A562B"/>
    <w:rsid w:val="315D02F0"/>
    <w:rsid w:val="31633C98"/>
    <w:rsid w:val="318105D7"/>
    <w:rsid w:val="319A4BC0"/>
    <w:rsid w:val="319B4B70"/>
    <w:rsid w:val="31BC1961"/>
    <w:rsid w:val="31F65F3B"/>
    <w:rsid w:val="32096215"/>
    <w:rsid w:val="320F6B6F"/>
    <w:rsid w:val="32161ADA"/>
    <w:rsid w:val="32180206"/>
    <w:rsid w:val="323C3CAE"/>
    <w:rsid w:val="324A76D9"/>
    <w:rsid w:val="324F5BF1"/>
    <w:rsid w:val="32BF4B25"/>
    <w:rsid w:val="32FB5E71"/>
    <w:rsid w:val="33347D85"/>
    <w:rsid w:val="33401660"/>
    <w:rsid w:val="3341378C"/>
    <w:rsid w:val="334E3F0D"/>
    <w:rsid w:val="3358247E"/>
    <w:rsid w:val="335C2374"/>
    <w:rsid w:val="335E6981"/>
    <w:rsid w:val="3381002D"/>
    <w:rsid w:val="33953AD8"/>
    <w:rsid w:val="33E34843"/>
    <w:rsid w:val="33EE6D96"/>
    <w:rsid w:val="343230D5"/>
    <w:rsid w:val="344918B1"/>
    <w:rsid w:val="34616B2B"/>
    <w:rsid w:val="346E6803"/>
    <w:rsid w:val="348F4E29"/>
    <w:rsid w:val="35014728"/>
    <w:rsid w:val="3509652C"/>
    <w:rsid w:val="35223149"/>
    <w:rsid w:val="353C420B"/>
    <w:rsid w:val="35523A2F"/>
    <w:rsid w:val="355D23D3"/>
    <w:rsid w:val="35AF70D3"/>
    <w:rsid w:val="35B57822"/>
    <w:rsid w:val="35F458C2"/>
    <w:rsid w:val="36020721"/>
    <w:rsid w:val="360516FF"/>
    <w:rsid w:val="3616624B"/>
    <w:rsid w:val="36320DCE"/>
    <w:rsid w:val="36363350"/>
    <w:rsid w:val="36380975"/>
    <w:rsid w:val="36767C83"/>
    <w:rsid w:val="36A160C6"/>
    <w:rsid w:val="36BF3106"/>
    <w:rsid w:val="36E16BA3"/>
    <w:rsid w:val="36F667BF"/>
    <w:rsid w:val="36FB7F50"/>
    <w:rsid w:val="36FF7BE6"/>
    <w:rsid w:val="378B76CC"/>
    <w:rsid w:val="37B74BE2"/>
    <w:rsid w:val="37C8622A"/>
    <w:rsid w:val="37E16AFE"/>
    <w:rsid w:val="37E312B6"/>
    <w:rsid w:val="384F1BE8"/>
    <w:rsid w:val="38683569"/>
    <w:rsid w:val="38DC7FC7"/>
    <w:rsid w:val="39030A9D"/>
    <w:rsid w:val="391060DB"/>
    <w:rsid w:val="391F00CC"/>
    <w:rsid w:val="399E70AA"/>
    <w:rsid w:val="39BB2C07"/>
    <w:rsid w:val="39C27E61"/>
    <w:rsid w:val="39F44D6F"/>
    <w:rsid w:val="3A0E1EEE"/>
    <w:rsid w:val="3A1B42E4"/>
    <w:rsid w:val="3A1D283C"/>
    <w:rsid w:val="3A296D28"/>
    <w:rsid w:val="3A3629F8"/>
    <w:rsid w:val="3A410516"/>
    <w:rsid w:val="3A5169AB"/>
    <w:rsid w:val="3A6C5593"/>
    <w:rsid w:val="3AA16A20"/>
    <w:rsid w:val="3AA5376D"/>
    <w:rsid w:val="3AF85078"/>
    <w:rsid w:val="3AF9494C"/>
    <w:rsid w:val="3B1D3410"/>
    <w:rsid w:val="3B3155DC"/>
    <w:rsid w:val="3B7A5A8D"/>
    <w:rsid w:val="3C326368"/>
    <w:rsid w:val="3C3A2B63"/>
    <w:rsid w:val="3C7F173A"/>
    <w:rsid w:val="3CB3102E"/>
    <w:rsid w:val="3CBE5E4E"/>
    <w:rsid w:val="3CDB07AE"/>
    <w:rsid w:val="3CDD0BD9"/>
    <w:rsid w:val="3CF64F7F"/>
    <w:rsid w:val="3D4203D1"/>
    <w:rsid w:val="3D6F0EF6"/>
    <w:rsid w:val="3D7A7FC6"/>
    <w:rsid w:val="3D881E13"/>
    <w:rsid w:val="3D961D12"/>
    <w:rsid w:val="3D9848F1"/>
    <w:rsid w:val="3D9C1EDB"/>
    <w:rsid w:val="3DA061FF"/>
    <w:rsid w:val="3DAE7C70"/>
    <w:rsid w:val="3DBD69BF"/>
    <w:rsid w:val="3DD627B8"/>
    <w:rsid w:val="3DE1589F"/>
    <w:rsid w:val="3DEC2546"/>
    <w:rsid w:val="3E2B12C1"/>
    <w:rsid w:val="3E3B5A26"/>
    <w:rsid w:val="3E505D03"/>
    <w:rsid w:val="3E633898"/>
    <w:rsid w:val="3E6B623F"/>
    <w:rsid w:val="3E8A74EE"/>
    <w:rsid w:val="3ECD0BC6"/>
    <w:rsid w:val="3EEB1BC2"/>
    <w:rsid w:val="3F123BF2"/>
    <w:rsid w:val="3F215DF4"/>
    <w:rsid w:val="3F350979"/>
    <w:rsid w:val="3F4F3C54"/>
    <w:rsid w:val="3F5C41A9"/>
    <w:rsid w:val="3F650098"/>
    <w:rsid w:val="3F742888"/>
    <w:rsid w:val="3FB44350"/>
    <w:rsid w:val="3FBB6674"/>
    <w:rsid w:val="3FBF3129"/>
    <w:rsid w:val="3FD440E4"/>
    <w:rsid w:val="3FF12096"/>
    <w:rsid w:val="3FF163A3"/>
    <w:rsid w:val="3FF83425"/>
    <w:rsid w:val="400618A3"/>
    <w:rsid w:val="400871E9"/>
    <w:rsid w:val="402D4FC1"/>
    <w:rsid w:val="40537A7D"/>
    <w:rsid w:val="4061546E"/>
    <w:rsid w:val="407C3B73"/>
    <w:rsid w:val="408E5B37"/>
    <w:rsid w:val="4092048B"/>
    <w:rsid w:val="40923879"/>
    <w:rsid w:val="409805E1"/>
    <w:rsid w:val="40A208CF"/>
    <w:rsid w:val="40A62E81"/>
    <w:rsid w:val="40AF611A"/>
    <w:rsid w:val="40C1415E"/>
    <w:rsid w:val="40C66EA9"/>
    <w:rsid w:val="40E045E4"/>
    <w:rsid w:val="40E77DF5"/>
    <w:rsid w:val="41275142"/>
    <w:rsid w:val="41341FFC"/>
    <w:rsid w:val="41354204"/>
    <w:rsid w:val="413C37E5"/>
    <w:rsid w:val="414F397C"/>
    <w:rsid w:val="41502DFD"/>
    <w:rsid w:val="41704753"/>
    <w:rsid w:val="418D4476"/>
    <w:rsid w:val="4194717D"/>
    <w:rsid w:val="419E624E"/>
    <w:rsid w:val="41AF1F3C"/>
    <w:rsid w:val="41C87C39"/>
    <w:rsid w:val="41C952EA"/>
    <w:rsid w:val="41D47C4E"/>
    <w:rsid w:val="41F37470"/>
    <w:rsid w:val="42271941"/>
    <w:rsid w:val="42312FD3"/>
    <w:rsid w:val="42463782"/>
    <w:rsid w:val="425608D6"/>
    <w:rsid w:val="42A96637"/>
    <w:rsid w:val="42DD20F0"/>
    <w:rsid w:val="42E058A1"/>
    <w:rsid w:val="436314FD"/>
    <w:rsid w:val="442073EE"/>
    <w:rsid w:val="4424344F"/>
    <w:rsid w:val="443861E9"/>
    <w:rsid w:val="445B0426"/>
    <w:rsid w:val="446036C0"/>
    <w:rsid w:val="44623562"/>
    <w:rsid w:val="44855318"/>
    <w:rsid w:val="44DA57EF"/>
    <w:rsid w:val="450A316B"/>
    <w:rsid w:val="451A5BEB"/>
    <w:rsid w:val="45315AC5"/>
    <w:rsid w:val="45725A27"/>
    <w:rsid w:val="45D16BF2"/>
    <w:rsid w:val="45E67159"/>
    <w:rsid w:val="45F73327"/>
    <w:rsid w:val="46003033"/>
    <w:rsid w:val="464E1FF0"/>
    <w:rsid w:val="467B7E94"/>
    <w:rsid w:val="468974CC"/>
    <w:rsid w:val="468E156D"/>
    <w:rsid w:val="46BF2EEE"/>
    <w:rsid w:val="46CB0361"/>
    <w:rsid w:val="46F04F57"/>
    <w:rsid w:val="46F07ED9"/>
    <w:rsid w:val="471072A6"/>
    <w:rsid w:val="471A6376"/>
    <w:rsid w:val="473D0A98"/>
    <w:rsid w:val="473D3E13"/>
    <w:rsid w:val="476656C7"/>
    <w:rsid w:val="477A0BC3"/>
    <w:rsid w:val="47857C94"/>
    <w:rsid w:val="4793592B"/>
    <w:rsid w:val="47F72214"/>
    <w:rsid w:val="48223734"/>
    <w:rsid w:val="482374AD"/>
    <w:rsid w:val="482C6361"/>
    <w:rsid w:val="483F6EFA"/>
    <w:rsid w:val="48452D6C"/>
    <w:rsid w:val="484A67E7"/>
    <w:rsid w:val="485215F2"/>
    <w:rsid w:val="48586F89"/>
    <w:rsid w:val="48622F24"/>
    <w:rsid w:val="48684EBF"/>
    <w:rsid w:val="4871646A"/>
    <w:rsid w:val="487B5A68"/>
    <w:rsid w:val="489760B1"/>
    <w:rsid w:val="48C4659A"/>
    <w:rsid w:val="48E7672C"/>
    <w:rsid w:val="490B2122"/>
    <w:rsid w:val="49216CD9"/>
    <w:rsid w:val="494178AD"/>
    <w:rsid w:val="49A14B2D"/>
    <w:rsid w:val="49A308A5"/>
    <w:rsid w:val="49AB2384"/>
    <w:rsid w:val="49B06B4B"/>
    <w:rsid w:val="49EA2030"/>
    <w:rsid w:val="4A034073"/>
    <w:rsid w:val="4A091E94"/>
    <w:rsid w:val="4A0F4E4C"/>
    <w:rsid w:val="4A466751"/>
    <w:rsid w:val="4AB43EBA"/>
    <w:rsid w:val="4ADB7BCB"/>
    <w:rsid w:val="4B072126"/>
    <w:rsid w:val="4B157243"/>
    <w:rsid w:val="4B58220E"/>
    <w:rsid w:val="4B726781"/>
    <w:rsid w:val="4B84784A"/>
    <w:rsid w:val="4B854A98"/>
    <w:rsid w:val="4B935D54"/>
    <w:rsid w:val="4B93790F"/>
    <w:rsid w:val="4C06511B"/>
    <w:rsid w:val="4C2061DD"/>
    <w:rsid w:val="4C2F01CE"/>
    <w:rsid w:val="4C435ED2"/>
    <w:rsid w:val="4C443B19"/>
    <w:rsid w:val="4C6B4F7E"/>
    <w:rsid w:val="4C87000A"/>
    <w:rsid w:val="4CE90CC5"/>
    <w:rsid w:val="4D6471EF"/>
    <w:rsid w:val="4DB017E2"/>
    <w:rsid w:val="4DE04731"/>
    <w:rsid w:val="4DE374C2"/>
    <w:rsid w:val="4E2D3C20"/>
    <w:rsid w:val="4E3939B0"/>
    <w:rsid w:val="4E3E294A"/>
    <w:rsid w:val="4EB33338"/>
    <w:rsid w:val="4EC56FA5"/>
    <w:rsid w:val="4ECD2067"/>
    <w:rsid w:val="4F3124AF"/>
    <w:rsid w:val="4F397F85"/>
    <w:rsid w:val="4F3B7C8A"/>
    <w:rsid w:val="4F7B372A"/>
    <w:rsid w:val="4F9547EC"/>
    <w:rsid w:val="4F9A7C33"/>
    <w:rsid w:val="4FA418DA"/>
    <w:rsid w:val="4FC14613"/>
    <w:rsid w:val="4FE43A21"/>
    <w:rsid w:val="4FEC63D6"/>
    <w:rsid w:val="4FF5420C"/>
    <w:rsid w:val="4FF754A7"/>
    <w:rsid w:val="4FF90498"/>
    <w:rsid w:val="5002763D"/>
    <w:rsid w:val="5039139F"/>
    <w:rsid w:val="503C735D"/>
    <w:rsid w:val="50574197"/>
    <w:rsid w:val="50597F0F"/>
    <w:rsid w:val="505C7A00"/>
    <w:rsid w:val="50813805"/>
    <w:rsid w:val="50A656AB"/>
    <w:rsid w:val="50C47696"/>
    <w:rsid w:val="50CF3B19"/>
    <w:rsid w:val="50D13F4A"/>
    <w:rsid w:val="50FD59A5"/>
    <w:rsid w:val="51113138"/>
    <w:rsid w:val="511B5E16"/>
    <w:rsid w:val="512A365A"/>
    <w:rsid w:val="518B234A"/>
    <w:rsid w:val="51AD55EC"/>
    <w:rsid w:val="51B67A2B"/>
    <w:rsid w:val="520A1576"/>
    <w:rsid w:val="521560B8"/>
    <w:rsid w:val="5216638D"/>
    <w:rsid w:val="523025AC"/>
    <w:rsid w:val="523A78CD"/>
    <w:rsid w:val="52556AA9"/>
    <w:rsid w:val="5268443A"/>
    <w:rsid w:val="52711B3A"/>
    <w:rsid w:val="527531F5"/>
    <w:rsid w:val="52BC4786"/>
    <w:rsid w:val="52C348D3"/>
    <w:rsid w:val="52EF4B5B"/>
    <w:rsid w:val="53105470"/>
    <w:rsid w:val="53636FF1"/>
    <w:rsid w:val="53A3641F"/>
    <w:rsid w:val="53AB6CD4"/>
    <w:rsid w:val="53D13102"/>
    <w:rsid w:val="541008E5"/>
    <w:rsid w:val="543A0058"/>
    <w:rsid w:val="543C06D1"/>
    <w:rsid w:val="544F3B03"/>
    <w:rsid w:val="547F2161"/>
    <w:rsid w:val="54B27BEE"/>
    <w:rsid w:val="54B63A9E"/>
    <w:rsid w:val="54B73AEE"/>
    <w:rsid w:val="54BC29B0"/>
    <w:rsid w:val="54D46404"/>
    <w:rsid w:val="5507618C"/>
    <w:rsid w:val="550B0CA4"/>
    <w:rsid w:val="55661910"/>
    <w:rsid w:val="556F788D"/>
    <w:rsid w:val="5590636B"/>
    <w:rsid w:val="55BD502A"/>
    <w:rsid w:val="55DA73FC"/>
    <w:rsid w:val="55F14746"/>
    <w:rsid w:val="55F66200"/>
    <w:rsid w:val="55F83D27"/>
    <w:rsid w:val="5612303A"/>
    <w:rsid w:val="56306DFD"/>
    <w:rsid w:val="56436AEF"/>
    <w:rsid w:val="56576C9F"/>
    <w:rsid w:val="565D1DDC"/>
    <w:rsid w:val="56F35006"/>
    <w:rsid w:val="56FC6617"/>
    <w:rsid w:val="571C1C97"/>
    <w:rsid w:val="574D2A94"/>
    <w:rsid w:val="57A45D68"/>
    <w:rsid w:val="57AA150D"/>
    <w:rsid w:val="57B82F39"/>
    <w:rsid w:val="57C57C38"/>
    <w:rsid w:val="57DD1426"/>
    <w:rsid w:val="57F353A8"/>
    <w:rsid w:val="57F369C2"/>
    <w:rsid w:val="57F549C2"/>
    <w:rsid w:val="5827444F"/>
    <w:rsid w:val="58781D99"/>
    <w:rsid w:val="587F5EC6"/>
    <w:rsid w:val="589216DC"/>
    <w:rsid w:val="58B02697"/>
    <w:rsid w:val="58CC714C"/>
    <w:rsid w:val="58F72073"/>
    <w:rsid w:val="591C3A30"/>
    <w:rsid w:val="5925050F"/>
    <w:rsid w:val="59260BAB"/>
    <w:rsid w:val="5974689D"/>
    <w:rsid w:val="5987789B"/>
    <w:rsid w:val="59CB13A7"/>
    <w:rsid w:val="59D10B16"/>
    <w:rsid w:val="59D80DE7"/>
    <w:rsid w:val="59DB7BE7"/>
    <w:rsid w:val="59DD49B8"/>
    <w:rsid w:val="5A1645DA"/>
    <w:rsid w:val="5A185E0E"/>
    <w:rsid w:val="5A2F1CE1"/>
    <w:rsid w:val="5A3522A7"/>
    <w:rsid w:val="5A6D462F"/>
    <w:rsid w:val="5AB45A4B"/>
    <w:rsid w:val="5ABF12B7"/>
    <w:rsid w:val="5AF72A21"/>
    <w:rsid w:val="5AF76254"/>
    <w:rsid w:val="5AFF7905"/>
    <w:rsid w:val="5B0B1E06"/>
    <w:rsid w:val="5B113CE9"/>
    <w:rsid w:val="5B5B6779"/>
    <w:rsid w:val="5B835E40"/>
    <w:rsid w:val="5B8B1199"/>
    <w:rsid w:val="5B9C33A6"/>
    <w:rsid w:val="5BBB1A7E"/>
    <w:rsid w:val="5BCA76EC"/>
    <w:rsid w:val="5BEA1B8B"/>
    <w:rsid w:val="5BFB00CD"/>
    <w:rsid w:val="5BFF3339"/>
    <w:rsid w:val="5C1C5E87"/>
    <w:rsid w:val="5C4E2FFA"/>
    <w:rsid w:val="5C69772C"/>
    <w:rsid w:val="5C7D486D"/>
    <w:rsid w:val="5C974299"/>
    <w:rsid w:val="5CAE15E3"/>
    <w:rsid w:val="5CB56C33"/>
    <w:rsid w:val="5CC61884"/>
    <w:rsid w:val="5CD01BD7"/>
    <w:rsid w:val="5CD32DF8"/>
    <w:rsid w:val="5D3258FD"/>
    <w:rsid w:val="5D373386"/>
    <w:rsid w:val="5D3E4715"/>
    <w:rsid w:val="5D423AD9"/>
    <w:rsid w:val="5D4E247E"/>
    <w:rsid w:val="5D8B5480"/>
    <w:rsid w:val="5D8D744A"/>
    <w:rsid w:val="5DCA41FA"/>
    <w:rsid w:val="5DD35E1A"/>
    <w:rsid w:val="5DF272AD"/>
    <w:rsid w:val="5E824AD5"/>
    <w:rsid w:val="5E93283E"/>
    <w:rsid w:val="5EA507D5"/>
    <w:rsid w:val="5EB32EE1"/>
    <w:rsid w:val="5EB81C90"/>
    <w:rsid w:val="5EFF27A5"/>
    <w:rsid w:val="5F7A728F"/>
    <w:rsid w:val="5F9E0F56"/>
    <w:rsid w:val="5FA6034F"/>
    <w:rsid w:val="5FDB02EB"/>
    <w:rsid w:val="5FFA21A4"/>
    <w:rsid w:val="5FFB4B3F"/>
    <w:rsid w:val="600B024A"/>
    <w:rsid w:val="60194FC5"/>
    <w:rsid w:val="604F3F63"/>
    <w:rsid w:val="605759E1"/>
    <w:rsid w:val="60791F08"/>
    <w:rsid w:val="60883EF9"/>
    <w:rsid w:val="608A5EC3"/>
    <w:rsid w:val="60AA1FD2"/>
    <w:rsid w:val="60CB38E5"/>
    <w:rsid w:val="60E761CA"/>
    <w:rsid w:val="60EA6514"/>
    <w:rsid w:val="6119480C"/>
    <w:rsid w:val="614918DA"/>
    <w:rsid w:val="61897F29"/>
    <w:rsid w:val="61A66D2D"/>
    <w:rsid w:val="620D0B5A"/>
    <w:rsid w:val="6210776D"/>
    <w:rsid w:val="621719D8"/>
    <w:rsid w:val="6247406C"/>
    <w:rsid w:val="625B3673"/>
    <w:rsid w:val="625C7F38"/>
    <w:rsid w:val="62894684"/>
    <w:rsid w:val="628B3EE3"/>
    <w:rsid w:val="629B43B7"/>
    <w:rsid w:val="62F9131B"/>
    <w:rsid w:val="634A36E8"/>
    <w:rsid w:val="63741F3F"/>
    <w:rsid w:val="63765563"/>
    <w:rsid w:val="63B239CC"/>
    <w:rsid w:val="63B2431B"/>
    <w:rsid w:val="63FC70D8"/>
    <w:rsid w:val="64153768"/>
    <w:rsid w:val="641A755E"/>
    <w:rsid w:val="645D117C"/>
    <w:rsid w:val="6482513B"/>
    <w:rsid w:val="649F5DBF"/>
    <w:rsid w:val="64C25C2B"/>
    <w:rsid w:val="64DD4BD5"/>
    <w:rsid w:val="650C09D2"/>
    <w:rsid w:val="65424019"/>
    <w:rsid w:val="6572648B"/>
    <w:rsid w:val="65735178"/>
    <w:rsid w:val="65764C68"/>
    <w:rsid w:val="65A814E0"/>
    <w:rsid w:val="65BF7D57"/>
    <w:rsid w:val="66025228"/>
    <w:rsid w:val="663B734C"/>
    <w:rsid w:val="665054B9"/>
    <w:rsid w:val="667A3D1D"/>
    <w:rsid w:val="669E6224"/>
    <w:rsid w:val="66BC3814"/>
    <w:rsid w:val="66C7589F"/>
    <w:rsid w:val="66F61BBC"/>
    <w:rsid w:val="66F9557C"/>
    <w:rsid w:val="670D1ED5"/>
    <w:rsid w:val="67241800"/>
    <w:rsid w:val="67285213"/>
    <w:rsid w:val="67447FBE"/>
    <w:rsid w:val="67AA29A7"/>
    <w:rsid w:val="67BA4008"/>
    <w:rsid w:val="67C35F6E"/>
    <w:rsid w:val="67CC7965"/>
    <w:rsid w:val="67CE2B39"/>
    <w:rsid w:val="67DD4B2A"/>
    <w:rsid w:val="67E1461B"/>
    <w:rsid w:val="6828218F"/>
    <w:rsid w:val="68483424"/>
    <w:rsid w:val="68790CF7"/>
    <w:rsid w:val="688431F8"/>
    <w:rsid w:val="688A3028"/>
    <w:rsid w:val="68B45115"/>
    <w:rsid w:val="68DE3FE6"/>
    <w:rsid w:val="6960646D"/>
    <w:rsid w:val="69670B4F"/>
    <w:rsid w:val="69830AD1"/>
    <w:rsid w:val="69974BC0"/>
    <w:rsid w:val="699B2906"/>
    <w:rsid w:val="69CF4947"/>
    <w:rsid w:val="69D56401"/>
    <w:rsid w:val="69F92144"/>
    <w:rsid w:val="69FD0C0E"/>
    <w:rsid w:val="6A1507F1"/>
    <w:rsid w:val="6A7259FE"/>
    <w:rsid w:val="6A7B7D68"/>
    <w:rsid w:val="6AB04778"/>
    <w:rsid w:val="6AF82C05"/>
    <w:rsid w:val="6B1C3BBC"/>
    <w:rsid w:val="6B4355EC"/>
    <w:rsid w:val="6B5C220A"/>
    <w:rsid w:val="6B9876E6"/>
    <w:rsid w:val="6BA77061"/>
    <w:rsid w:val="6BE72930"/>
    <w:rsid w:val="6C2D3499"/>
    <w:rsid w:val="6C315445"/>
    <w:rsid w:val="6C4A2186"/>
    <w:rsid w:val="6C65128F"/>
    <w:rsid w:val="6C6B6BA9"/>
    <w:rsid w:val="6C9C037F"/>
    <w:rsid w:val="6CA4030D"/>
    <w:rsid w:val="6CA67BE1"/>
    <w:rsid w:val="6CCB7647"/>
    <w:rsid w:val="6CD26C28"/>
    <w:rsid w:val="6CE12D4B"/>
    <w:rsid w:val="6CE626D3"/>
    <w:rsid w:val="6D042B59"/>
    <w:rsid w:val="6D075EA7"/>
    <w:rsid w:val="6D08089B"/>
    <w:rsid w:val="6D604192"/>
    <w:rsid w:val="6DB93944"/>
    <w:rsid w:val="6DC522E8"/>
    <w:rsid w:val="6DDD0FA9"/>
    <w:rsid w:val="6DE10395"/>
    <w:rsid w:val="6E3B6A4F"/>
    <w:rsid w:val="6E4D6F68"/>
    <w:rsid w:val="6E6D6BF9"/>
    <w:rsid w:val="6E7574CD"/>
    <w:rsid w:val="6E8757F0"/>
    <w:rsid w:val="6ED20C37"/>
    <w:rsid w:val="6EDD3662"/>
    <w:rsid w:val="6EE8610F"/>
    <w:rsid w:val="6F0B4673"/>
    <w:rsid w:val="6F4B2CC1"/>
    <w:rsid w:val="6F801900"/>
    <w:rsid w:val="6F8F6696"/>
    <w:rsid w:val="6FCA2A16"/>
    <w:rsid w:val="6FD66A2F"/>
    <w:rsid w:val="6FD902CD"/>
    <w:rsid w:val="70251764"/>
    <w:rsid w:val="702A0B29"/>
    <w:rsid w:val="702A5D52"/>
    <w:rsid w:val="703306A0"/>
    <w:rsid w:val="70455963"/>
    <w:rsid w:val="705B0CE2"/>
    <w:rsid w:val="7078268C"/>
    <w:rsid w:val="70C325D0"/>
    <w:rsid w:val="70C423C5"/>
    <w:rsid w:val="70C85617"/>
    <w:rsid w:val="70FF7E44"/>
    <w:rsid w:val="71132867"/>
    <w:rsid w:val="714C07A8"/>
    <w:rsid w:val="717007BD"/>
    <w:rsid w:val="71704C61"/>
    <w:rsid w:val="718A7AD1"/>
    <w:rsid w:val="71922E29"/>
    <w:rsid w:val="719D1089"/>
    <w:rsid w:val="71A642B3"/>
    <w:rsid w:val="71AB7A47"/>
    <w:rsid w:val="71AF12E6"/>
    <w:rsid w:val="71F15DA2"/>
    <w:rsid w:val="71FA67B7"/>
    <w:rsid w:val="724A5115"/>
    <w:rsid w:val="724E1DA3"/>
    <w:rsid w:val="7289422C"/>
    <w:rsid w:val="72BE56E7"/>
    <w:rsid w:val="72EA3A76"/>
    <w:rsid w:val="72EE6D2E"/>
    <w:rsid w:val="73131D74"/>
    <w:rsid w:val="73206093"/>
    <w:rsid w:val="73213AF7"/>
    <w:rsid w:val="73243CAF"/>
    <w:rsid w:val="73395DC5"/>
    <w:rsid w:val="73397A01"/>
    <w:rsid w:val="733F48EB"/>
    <w:rsid w:val="73907E54"/>
    <w:rsid w:val="73CE6F8A"/>
    <w:rsid w:val="73D3636D"/>
    <w:rsid w:val="73D9089C"/>
    <w:rsid w:val="73F94492"/>
    <w:rsid w:val="74BD37CC"/>
    <w:rsid w:val="74D55507"/>
    <w:rsid w:val="74FD2BE4"/>
    <w:rsid w:val="75095B14"/>
    <w:rsid w:val="750E298B"/>
    <w:rsid w:val="753732B1"/>
    <w:rsid w:val="75693EA1"/>
    <w:rsid w:val="75720FA8"/>
    <w:rsid w:val="7590371F"/>
    <w:rsid w:val="75937E8D"/>
    <w:rsid w:val="759B3E2D"/>
    <w:rsid w:val="75C34086"/>
    <w:rsid w:val="75FA235F"/>
    <w:rsid w:val="76285B0A"/>
    <w:rsid w:val="76312C11"/>
    <w:rsid w:val="763D7801"/>
    <w:rsid w:val="768865A9"/>
    <w:rsid w:val="769204BA"/>
    <w:rsid w:val="76984A3E"/>
    <w:rsid w:val="769B3F4A"/>
    <w:rsid w:val="76BA0E58"/>
    <w:rsid w:val="76BC740B"/>
    <w:rsid w:val="76BF021D"/>
    <w:rsid w:val="76C9109B"/>
    <w:rsid w:val="76EC4D8A"/>
    <w:rsid w:val="76EE465E"/>
    <w:rsid w:val="76FE0619"/>
    <w:rsid w:val="775E369A"/>
    <w:rsid w:val="776261AB"/>
    <w:rsid w:val="77707769"/>
    <w:rsid w:val="77972F48"/>
    <w:rsid w:val="77F76B70"/>
    <w:rsid w:val="78054858"/>
    <w:rsid w:val="783764D9"/>
    <w:rsid w:val="78813C5A"/>
    <w:rsid w:val="78BF069D"/>
    <w:rsid w:val="78CC4A95"/>
    <w:rsid w:val="78E21FA1"/>
    <w:rsid w:val="790B3567"/>
    <w:rsid w:val="79212CBB"/>
    <w:rsid w:val="7928007C"/>
    <w:rsid w:val="79B24069"/>
    <w:rsid w:val="79BF1D1F"/>
    <w:rsid w:val="79E55CBA"/>
    <w:rsid w:val="7A2E1215"/>
    <w:rsid w:val="7A3E38E9"/>
    <w:rsid w:val="7A403276"/>
    <w:rsid w:val="7A472BA5"/>
    <w:rsid w:val="7A4F232C"/>
    <w:rsid w:val="7A511B1E"/>
    <w:rsid w:val="7A5F5873"/>
    <w:rsid w:val="7A69288E"/>
    <w:rsid w:val="7A8F43F6"/>
    <w:rsid w:val="7A8F7F06"/>
    <w:rsid w:val="7AA15ACB"/>
    <w:rsid w:val="7AA31C03"/>
    <w:rsid w:val="7AAA2F92"/>
    <w:rsid w:val="7B212CD8"/>
    <w:rsid w:val="7B3700EA"/>
    <w:rsid w:val="7B4B2BDE"/>
    <w:rsid w:val="7B784E3E"/>
    <w:rsid w:val="7B7B492E"/>
    <w:rsid w:val="7B937ECA"/>
    <w:rsid w:val="7B9603CF"/>
    <w:rsid w:val="7B9C3FB5"/>
    <w:rsid w:val="7BAA1B68"/>
    <w:rsid w:val="7BDF101D"/>
    <w:rsid w:val="7BE91898"/>
    <w:rsid w:val="7C0D1A2A"/>
    <w:rsid w:val="7C3149F4"/>
    <w:rsid w:val="7C635013"/>
    <w:rsid w:val="7C6F05E1"/>
    <w:rsid w:val="7C7B2E38"/>
    <w:rsid w:val="7CB974BC"/>
    <w:rsid w:val="7CC12092"/>
    <w:rsid w:val="7CD350EB"/>
    <w:rsid w:val="7CE85FF3"/>
    <w:rsid w:val="7CEC3F21"/>
    <w:rsid w:val="7D3D1E9B"/>
    <w:rsid w:val="7D6B4F26"/>
    <w:rsid w:val="7D796FE5"/>
    <w:rsid w:val="7D8A4F8D"/>
    <w:rsid w:val="7D8B601E"/>
    <w:rsid w:val="7D9D2EDF"/>
    <w:rsid w:val="7DA45182"/>
    <w:rsid w:val="7DA57A41"/>
    <w:rsid w:val="7E334C04"/>
    <w:rsid w:val="7E7C69F3"/>
    <w:rsid w:val="7E926217"/>
    <w:rsid w:val="7EA36676"/>
    <w:rsid w:val="7EB453D6"/>
    <w:rsid w:val="7EDC1B88"/>
    <w:rsid w:val="7EDD251F"/>
    <w:rsid w:val="7EEC1DCB"/>
    <w:rsid w:val="7F21759B"/>
    <w:rsid w:val="7F685CF2"/>
    <w:rsid w:val="7F8813C8"/>
    <w:rsid w:val="7FA40571"/>
    <w:rsid w:val="7FB55BCC"/>
    <w:rsid w:val="7FC543CA"/>
    <w:rsid w:val="7FF020A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lang w:val="en-US" w:eastAsia="zh-CN" w:bidi="ar-SA"/>
    </w:rPr>
  </w:style>
  <w:style w:type="paragraph" w:styleId="2">
    <w:name w:val="heading 1"/>
    <w:basedOn w:val="1"/>
    <w:next w:val="1"/>
    <w:qFormat/>
    <w:uiPriority w:val="0"/>
    <w:pPr>
      <w:keepNext/>
      <w:keepLines/>
      <w:numPr>
        <w:ilvl w:val="0"/>
        <w:numId w:val="1"/>
      </w:numPr>
      <w:tabs>
        <w:tab w:val="left" w:pos="1440"/>
      </w:tabs>
      <w:spacing w:before="340" w:after="330" w:line="578" w:lineRule="atLeast"/>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720"/>
        <w:tab w:val="clear" w:pos="3600"/>
      </w:tabs>
      <w:spacing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spacing w:line="416" w:lineRule="atLeast"/>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0"/>
        <w:numId w:val="2"/>
      </w:numPr>
      <w:spacing w:line="376" w:lineRule="atLeast"/>
      <w:outlineLvl w:val="4"/>
    </w:pPr>
    <w:rPr>
      <w:b/>
      <w:bCs/>
      <w:sz w:val="28"/>
      <w:szCs w:val="28"/>
    </w:rPr>
  </w:style>
  <w:style w:type="paragraph" w:styleId="7">
    <w:name w:val="heading 7"/>
    <w:basedOn w:val="1"/>
    <w:next w:val="1"/>
    <w:qFormat/>
    <w:uiPriority w:val="1"/>
    <w:pPr>
      <w:ind w:left="1383"/>
      <w:outlineLvl w:val="6"/>
    </w:pPr>
    <w:rPr>
      <w:rFonts w:ascii="宋体" w:hAnsi="宋体" w:cs="宋体"/>
      <w:b/>
      <w:bCs/>
      <w:sz w:val="24"/>
      <w:szCs w:val="24"/>
      <w:lang w:val="zh-CN" w:bidi="zh-CN"/>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pPr>
    <w:rPr>
      <w:kern w:val="2"/>
      <w:sz w:val="21"/>
    </w:rPr>
  </w:style>
  <w:style w:type="paragraph" w:styleId="9">
    <w:name w:val="annotation text"/>
    <w:basedOn w:val="1"/>
    <w:qFormat/>
    <w:uiPriority w:val="0"/>
    <w:pPr>
      <w:jc w:val="left"/>
    </w:pPr>
  </w:style>
  <w:style w:type="paragraph" w:styleId="10">
    <w:name w:val="Body Text"/>
    <w:basedOn w:val="1"/>
    <w:qFormat/>
    <w:uiPriority w:val="0"/>
    <w:pPr>
      <w:adjustRightInd/>
      <w:spacing w:line="460" w:lineRule="atLeast"/>
      <w:ind w:right="322"/>
      <w:textAlignment w:val="auto"/>
    </w:pPr>
    <w:rPr>
      <w:rFonts w:ascii="宋体"/>
      <w:kern w:val="2"/>
      <w:sz w:val="28"/>
    </w:rPr>
  </w:style>
  <w:style w:type="paragraph" w:styleId="11">
    <w:name w:val="Body Text Indent"/>
    <w:basedOn w:val="1"/>
    <w:next w:val="12"/>
    <w:qFormat/>
    <w:uiPriority w:val="0"/>
    <w:pPr>
      <w:widowControl/>
      <w:tabs>
        <w:tab w:val="left" w:pos="0"/>
        <w:tab w:val="left" w:pos="993"/>
        <w:tab w:val="left" w:pos="1134"/>
      </w:tabs>
      <w:adjustRightInd/>
      <w:spacing w:line="500" w:lineRule="exact"/>
      <w:ind w:firstLine="567"/>
      <w:textAlignment w:val="auto"/>
    </w:pPr>
    <w:rPr>
      <w:rFonts w:ascii="宋体"/>
      <w:sz w:val="28"/>
    </w:rPr>
  </w:style>
  <w:style w:type="paragraph" w:styleId="12">
    <w:name w:val="Body Text First Indent 2"/>
    <w:basedOn w:val="11"/>
    <w:qFormat/>
    <w:uiPriority w:val="0"/>
    <w:pPr>
      <w:spacing w:line="312" w:lineRule="auto"/>
      <w:ind w:firstLine="420" w:firstLineChars="200"/>
    </w:pPr>
    <w:rPr>
      <w:rFonts w:ascii="Times New Roman"/>
      <w:sz w:val="22"/>
    </w:rPr>
  </w:style>
  <w:style w:type="paragraph" w:styleId="13">
    <w:name w:val="toc 3"/>
    <w:basedOn w:val="1"/>
    <w:next w:val="1"/>
    <w:qFormat/>
    <w:uiPriority w:val="39"/>
    <w:pPr>
      <w:ind w:left="840" w:leftChars="400"/>
    </w:pPr>
    <w:rPr>
      <w:sz w:val="21"/>
    </w:rPr>
  </w:style>
  <w:style w:type="paragraph" w:styleId="14">
    <w:name w:val="Plain Text"/>
    <w:basedOn w:val="1"/>
    <w:qFormat/>
    <w:uiPriority w:val="0"/>
    <w:rPr>
      <w:rFonts w:ascii="宋体" w:hAnsi="Courier New"/>
      <w:kern w:val="2"/>
      <w:sz w:val="21"/>
    </w:rPr>
  </w:style>
  <w:style w:type="paragraph" w:styleId="15">
    <w:name w:val="Date"/>
    <w:basedOn w:val="1"/>
    <w:next w:val="1"/>
    <w:qFormat/>
    <w:uiPriority w:val="0"/>
    <w:rPr>
      <w:rFonts w:ascii="黑体" w:eastAsia="黑体"/>
      <w:kern w:val="2"/>
      <w:sz w:val="32"/>
    </w:rPr>
  </w:style>
  <w:style w:type="paragraph" w:styleId="16">
    <w:name w:val="footer"/>
    <w:basedOn w:val="1"/>
    <w:qFormat/>
    <w:uiPriority w:val="99"/>
    <w:pPr>
      <w:tabs>
        <w:tab w:val="center" w:pos="4153"/>
        <w:tab w:val="right" w:pos="8306"/>
      </w:tabs>
      <w:snapToGrid w:val="0"/>
    </w:pPr>
    <w:rPr>
      <w:kern w:val="2"/>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kern w:val="2"/>
      <w:sz w:val="21"/>
    </w:rPr>
  </w:style>
  <w:style w:type="paragraph" w:styleId="18">
    <w:name w:val="toc 1"/>
    <w:basedOn w:val="1"/>
    <w:next w:val="1"/>
    <w:qFormat/>
    <w:uiPriority w:val="39"/>
    <w:pPr>
      <w:spacing w:line="360" w:lineRule="auto"/>
    </w:pPr>
    <w:rPr>
      <w:b/>
      <w:sz w:val="24"/>
    </w:rPr>
  </w:style>
  <w:style w:type="paragraph" w:styleId="19">
    <w:name w:val="Subtitle"/>
    <w:basedOn w:val="1"/>
    <w:next w:val="1"/>
    <w:qFormat/>
    <w:uiPriority w:val="11"/>
    <w:pPr>
      <w:adjustRightInd/>
      <w:spacing w:before="240" w:after="60" w:line="312" w:lineRule="auto"/>
      <w:jc w:val="center"/>
      <w:outlineLvl w:val="1"/>
    </w:pPr>
    <w:rPr>
      <w:rFonts w:ascii="Cambria" w:hAnsi="Cambria"/>
      <w:b/>
      <w:bCs/>
      <w:kern w:val="28"/>
      <w:sz w:val="32"/>
      <w:szCs w:val="32"/>
    </w:rPr>
  </w:style>
  <w:style w:type="paragraph" w:styleId="20">
    <w:name w:val="toc 6"/>
    <w:basedOn w:val="1"/>
    <w:next w:val="1"/>
    <w:qFormat/>
    <w:uiPriority w:val="0"/>
    <w:pPr>
      <w:adjustRightInd/>
      <w:ind w:left="2100" w:leftChars="1000"/>
    </w:pPr>
    <w:rPr>
      <w:kern w:val="2"/>
      <w:sz w:val="21"/>
      <w:szCs w:val="22"/>
    </w:rPr>
  </w:style>
  <w:style w:type="paragraph" w:styleId="21">
    <w:name w:val="Body Text Indent 3"/>
    <w:basedOn w:val="1"/>
    <w:qFormat/>
    <w:uiPriority w:val="0"/>
    <w:pPr>
      <w:widowControl/>
      <w:tabs>
        <w:tab w:val="left" w:pos="0"/>
        <w:tab w:val="left" w:pos="1134"/>
      </w:tabs>
      <w:snapToGrid w:val="0"/>
      <w:spacing w:line="360" w:lineRule="auto"/>
      <w:ind w:left="567"/>
      <w:jc w:val="left"/>
      <w:textAlignment w:val="auto"/>
    </w:pPr>
    <w:rPr>
      <w:rFonts w:ascii="仿宋_GB2312" w:eastAsia="仿宋_GB2312"/>
      <w:sz w:val="28"/>
    </w:rPr>
  </w:style>
  <w:style w:type="paragraph" w:styleId="22">
    <w:name w:val="toc 2"/>
    <w:basedOn w:val="1"/>
    <w:next w:val="1"/>
    <w:qFormat/>
    <w:uiPriority w:val="39"/>
    <w:pPr>
      <w:spacing w:line="240" w:lineRule="auto"/>
      <w:ind w:left="420" w:leftChars="200"/>
    </w:pPr>
    <w:rPr>
      <w:b/>
      <w:sz w:val="21"/>
    </w:rPr>
  </w:style>
  <w:style w:type="paragraph" w:styleId="23">
    <w:name w:val="Normal (Web)"/>
    <w:basedOn w:val="1"/>
    <w:qFormat/>
    <w:uiPriority w:val="0"/>
    <w:pPr>
      <w:jc w:val="left"/>
    </w:pPr>
    <w:rPr>
      <w:sz w:val="24"/>
    </w:rPr>
  </w:style>
  <w:style w:type="paragraph" w:styleId="24">
    <w:name w:val="Title"/>
    <w:basedOn w:val="1"/>
    <w:next w:val="1"/>
    <w:qFormat/>
    <w:uiPriority w:val="10"/>
    <w:pPr>
      <w:jc w:val="center"/>
      <w:outlineLvl w:val="0"/>
    </w:pPr>
    <w:rPr>
      <w:b/>
      <w:sz w:val="32"/>
    </w:rPr>
  </w:style>
  <w:style w:type="paragraph" w:styleId="25">
    <w:name w:val="Body Text First Indent"/>
    <w:basedOn w:val="1"/>
    <w:next w:val="1"/>
    <w:qFormat/>
    <w:uiPriority w:val="0"/>
    <w:pPr>
      <w:tabs>
        <w:tab w:val="left" w:pos="574"/>
      </w:tabs>
      <w:ind w:firstLine="420" w:firstLineChars="1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FollowedHyperlink"/>
    <w:basedOn w:val="28"/>
    <w:qFormat/>
    <w:uiPriority w:val="0"/>
    <w:rPr>
      <w:color w:val="800080"/>
      <w:u w:val="none"/>
    </w:rPr>
  </w:style>
  <w:style w:type="character" w:styleId="31">
    <w:name w:val="Hyperlink"/>
    <w:basedOn w:val="28"/>
    <w:qFormat/>
    <w:uiPriority w:val="0"/>
    <w:rPr>
      <w:color w:val="0000FF"/>
      <w:u w:val="none"/>
    </w:rPr>
  </w:style>
  <w:style w:type="paragraph" w:customStyle="1" w:styleId="32">
    <w:name w:val="BodyText1I"/>
    <w:basedOn w:val="1"/>
    <w:qFormat/>
    <w:uiPriority w:val="0"/>
    <w:pPr>
      <w:ind w:firstLine="420" w:firstLineChars="100"/>
    </w:pPr>
  </w:style>
  <w:style w:type="paragraph" w:customStyle="1" w:styleId="33">
    <w:name w:val="xl31"/>
    <w:basedOn w:val="1"/>
    <w:qFormat/>
    <w:uiPriority w:val="0"/>
    <w:pPr>
      <w:widowControl/>
      <w:pBdr>
        <w:bottom w:val="single" w:color="auto" w:sz="4" w:space="0"/>
      </w:pBdr>
      <w:adjustRightInd/>
      <w:spacing w:beforeAutospacing="1" w:afterAutospacing="1" w:line="240" w:lineRule="auto"/>
      <w:jc w:val="center"/>
      <w:textAlignment w:val="auto"/>
    </w:pPr>
    <w:rPr>
      <w:rFonts w:hint="eastAsia" w:ascii="黑体" w:hAnsi="宋体" w:eastAsia="黑体"/>
      <w:sz w:val="24"/>
      <w:szCs w:val="22"/>
    </w:rPr>
  </w:style>
  <w:style w:type="paragraph" w:customStyle="1" w:styleId="34">
    <w:name w:val="￥正文"/>
    <w:basedOn w:val="1"/>
    <w:qFormat/>
    <w:uiPriority w:val="0"/>
    <w:pPr>
      <w:adjustRightInd/>
      <w:spacing w:line="360" w:lineRule="auto"/>
      <w:ind w:firstLine="200" w:firstLineChars="200"/>
      <w:textAlignment w:val="auto"/>
    </w:pPr>
    <w:rPr>
      <w:rFonts w:ascii="Calibri" w:hAnsi="Calibri"/>
      <w:kern w:val="2"/>
      <w:lang w:eastAsia="en-US"/>
    </w:rPr>
  </w:style>
  <w:style w:type="paragraph" w:customStyle="1" w:styleId="35">
    <w:name w:val="样式3"/>
    <w:basedOn w:val="14"/>
    <w:qFormat/>
    <w:uiPriority w:val="0"/>
    <w:pPr>
      <w:spacing w:line="0" w:lineRule="atLeast"/>
      <w:outlineLvl w:val="0"/>
    </w:pPr>
    <w:rPr>
      <w:sz w:val="28"/>
    </w:rPr>
  </w:style>
  <w:style w:type="paragraph" w:customStyle="1" w:styleId="36">
    <w:name w:val="列表段落1"/>
    <w:basedOn w:val="1"/>
    <w:qFormat/>
    <w:uiPriority w:val="1"/>
    <w:pPr>
      <w:ind w:left="902" w:firstLine="480"/>
    </w:pPr>
    <w:rPr>
      <w:rFonts w:ascii="宋体" w:hAnsi="宋体" w:cs="宋体"/>
      <w:lang w:val="zh-CN" w:bidi="zh-CN"/>
    </w:rPr>
  </w:style>
  <w:style w:type="paragraph" w:customStyle="1" w:styleId="37">
    <w:name w:val="Table Paragraph"/>
    <w:basedOn w:val="1"/>
    <w:qFormat/>
    <w:uiPriority w:val="1"/>
    <w:rPr>
      <w:rFonts w:ascii="宋体" w:hAnsi="宋体" w:cs="宋体"/>
      <w:lang w:val="zh-CN" w:bidi="zh-CN"/>
    </w:rPr>
  </w:style>
  <w:style w:type="paragraph" w:styleId="38">
    <w:name w:val="List Paragraph"/>
    <w:basedOn w:val="1"/>
    <w:unhideWhenUsed/>
    <w:qFormat/>
    <w:uiPriority w:val="99"/>
    <w:pPr>
      <w:ind w:firstLine="420" w:firstLineChars="200"/>
    </w:pPr>
  </w:style>
  <w:style w:type="paragraph" w:customStyle="1" w:styleId="39">
    <w:name w:val="[Normal]"/>
    <w:qFormat/>
    <w:uiPriority w:val="0"/>
    <w:rPr>
      <w:rFonts w:ascii="宋体" w:hAnsi="宋体" w:eastAsia="宋体" w:cs="Times New Roman"/>
      <w:sz w:val="24"/>
      <w:szCs w:val="22"/>
      <w:lang w:val="zh-CN" w:eastAsia="zh-CN" w:bidi="ar-SA"/>
    </w:rPr>
  </w:style>
  <w:style w:type="paragraph" w:customStyle="1" w:styleId="40">
    <w:name w:val="正文_0_0"/>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113</Pages>
  <Words>65064</Words>
  <Characters>68728</Characters>
  <Lines>557</Lines>
  <Paragraphs>156</Paragraphs>
  <TotalTime>48</TotalTime>
  <ScaleCrop>false</ScaleCrop>
  <LinksUpToDate>false</LinksUpToDate>
  <CharactersWithSpaces>71862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2023-08-31T02:46:00Z</dcterms:created>
  <dc:creator>DELL</dc:creator>
  <cp:lastModifiedBy>熊熊</cp:lastModifiedBy>
  <cp:lastPrinted>2023-10-27T04:59:00Z</cp:lastPrinted>
  <dcterms:modified xsi:type="dcterms:W3CDTF">2023-11-21T08:05:00Z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297A1867512A41D090E664A56CF2AEAA_13</vt:lpwstr>
  </property>
</Properties>
</file>