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auto"/>
        <w:jc w:val="center"/>
        <w:rPr>
          <w:rFonts w:hint="eastAsia"/>
          <w:b/>
          <w:bCs/>
          <w:sz w:val="32"/>
          <w:szCs w:val="32"/>
          <w:u w:val="none"/>
          <w:lang w:eastAsia="zh-CN"/>
        </w:rPr>
      </w:pPr>
      <w:r>
        <w:rPr>
          <w:rFonts w:hint="eastAsia"/>
          <w:b/>
          <w:bCs/>
          <w:sz w:val="32"/>
          <w:szCs w:val="32"/>
          <w:u w:val="none"/>
        </w:rPr>
        <w:t>诸暨市青少年体育场馆建设工程</w:t>
      </w:r>
      <w:r>
        <w:rPr>
          <w:rFonts w:hint="eastAsia"/>
          <w:b/>
          <w:bCs/>
          <w:sz w:val="32"/>
          <w:szCs w:val="32"/>
          <w:u w:val="none"/>
          <w:lang w:eastAsia="zh-CN"/>
        </w:rPr>
        <w:t>（施工）</w:t>
      </w:r>
    </w:p>
    <w:p>
      <w:pPr>
        <w:spacing w:line="600" w:lineRule="auto"/>
        <w:jc w:val="center"/>
        <w:rPr>
          <w:rFonts w:hint="eastAsia"/>
          <w:b/>
          <w:bCs/>
          <w:sz w:val="32"/>
          <w:szCs w:val="32"/>
          <w:u w:val="single"/>
        </w:rPr>
      </w:pPr>
      <w:r>
        <w:rPr>
          <w:rFonts w:hint="eastAsia"/>
          <w:b/>
          <w:bCs/>
          <w:sz w:val="32"/>
          <w:szCs w:val="32"/>
          <w:u w:val="none"/>
        </w:rPr>
        <w:t>招标答疑纪要</w:t>
      </w:r>
    </w:p>
    <w:p>
      <w:pPr>
        <w:pStyle w:val="8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/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</w:rPr>
        <w:t>各潜在投标人：</w:t>
      </w:r>
    </w:p>
    <w:p>
      <w:pPr>
        <w:pStyle w:val="8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480"/>
        <w:rPr>
          <w:rFonts w:hint="eastAsia" w:eastAsia="宋体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</w:rPr>
        <w:t>诸暨市青少年体育场馆建设工程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  <w:lang w:eastAsia="zh-CN"/>
        </w:rPr>
        <w:t>（施工）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</w:rPr>
        <w:t>已于</w:t>
      </w:r>
      <w:r>
        <w:rPr>
          <w:rFonts w:ascii="Calibri" w:hAnsi="Calibri" w:eastAsia="宋体" w:cs="Calibri"/>
          <w:b w:val="0"/>
          <w:bCs w:val="0"/>
          <w:color w:val="000000"/>
          <w:sz w:val="24"/>
          <w:szCs w:val="24"/>
          <w:shd w:val="clear" w:fill="FFFFFF"/>
        </w:rPr>
        <w:t>202</w:t>
      </w:r>
      <w:r>
        <w:rPr>
          <w:rFonts w:hint="default" w:ascii="Calibri" w:hAnsi="Calibri" w:eastAsia="宋体" w:cs="Calibri"/>
          <w:b w:val="0"/>
          <w:bCs w:val="0"/>
          <w:color w:val="000000"/>
          <w:sz w:val="24"/>
          <w:szCs w:val="24"/>
          <w:shd w:val="clear" w:fill="FFFFFF"/>
        </w:rPr>
        <w:t>3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</w:rPr>
        <w:t>年</w:t>
      </w:r>
      <w:r>
        <w:rPr>
          <w:rFonts w:hint="eastAsia" w:ascii="Calibri" w:hAnsi="Calibri" w:cs="Calibri"/>
          <w:b w:val="0"/>
          <w:bCs w:val="0"/>
          <w:color w:val="000000"/>
          <w:sz w:val="24"/>
          <w:szCs w:val="24"/>
          <w:shd w:val="clear" w:fill="FFFFFF"/>
          <w:lang w:val="en-US" w:eastAsia="zh-CN"/>
        </w:rPr>
        <w:t>8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</w:rPr>
        <w:t>月</w:t>
      </w:r>
      <w:r>
        <w:rPr>
          <w:rFonts w:hint="eastAsia" w:ascii="Calibri" w:hAnsi="Calibri" w:cs="Calibri"/>
          <w:b w:val="0"/>
          <w:bCs w:val="0"/>
          <w:color w:val="000000"/>
          <w:sz w:val="24"/>
          <w:szCs w:val="24"/>
          <w:shd w:val="clear" w:fill="FFFFFF"/>
          <w:lang w:val="en-US" w:eastAsia="zh-CN"/>
        </w:rPr>
        <w:t>11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</w:rPr>
        <w:t>日通过诸暨市公共资源交易平台发布招标公告</w:t>
      </w:r>
      <w:r>
        <w:rPr>
          <w:rFonts w:hint="eastAsia" w:ascii="宋体" w:hAnsi="宋体" w:cs="宋体"/>
          <w:b w:val="0"/>
          <w:bCs w:val="0"/>
          <w:color w:val="000000"/>
          <w:sz w:val="24"/>
          <w:szCs w:val="24"/>
          <w:shd w:val="clear" w:fill="FFFFFF"/>
          <w:lang w:eastAsia="zh-CN"/>
        </w:rPr>
        <w:t>。</w:t>
      </w:r>
    </w:p>
    <w:p>
      <w:pPr>
        <w:pStyle w:val="8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</w:rPr>
        <w:t>一、现针对投标人的提疑作如下回复：</w:t>
      </w:r>
    </w:p>
    <w:p>
      <w:pPr>
        <w:numPr>
          <w:ilvl w:val="0"/>
          <w:numId w:val="0"/>
        </w:numPr>
        <w:tabs>
          <w:tab w:val="left" w:pos="9360"/>
        </w:tabs>
        <w:spacing w:line="360" w:lineRule="auto"/>
        <w:ind w:firstLine="480" w:firstLineChars="200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招标文件前附表10.6.4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价款结算方式：竣工后一次性结算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。第四章12.4.2 进度付款申请单的编制，关于进度付款申请单编制的约定： 按通用条款12.4.2-（1）、（2）、（5）、（6）、（7）执行，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u w:val="single"/>
          <w:lang w:eastAsia="zh-CN"/>
          <w14:textFill>
            <w14:solidFill>
              <w14:schemeClr w14:val="tx1"/>
            </w14:solidFill>
          </w14:textFill>
        </w:rPr>
        <w:t>1、本工程进度款按月结算与支付，发包人按月工程计量价款（暂列金额除外）的85%向承包人支付工程进度款，累计进度款支付不得超过合同签约价的85%，剩余部分可选择以下一种支付方式：①经有关部门审计后，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u w:val="single"/>
          <w:lang w:val="en-US" w:eastAsia="zh-CN"/>
          <w14:textFill>
            <w14:solidFill>
              <w14:schemeClr w14:val="tx1"/>
            </w14:solidFill>
          </w14:textFill>
        </w:rPr>
        <w:t>28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u w:val="single"/>
          <w:lang w:eastAsia="zh-CN"/>
          <w14:textFill>
            <w14:solidFill>
              <w14:schemeClr w14:val="tx1"/>
            </w14:solidFill>
          </w14:textFill>
        </w:rPr>
        <w:t>日内付至审定结算价款的98.5%，余下的1.5%作为工程质量保证（修）金，待工程竣工验收合格满两年后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u w:val="single"/>
          <w:lang w:val="en-US" w:eastAsia="zh-CN"/>
          <w14:textFill>
            <w14:solidFill>
              <w14:schemeClr w14:val="tx1"/>
            </w14:solidFill>
          </w14:textFill>
        </w:rPr>
        <w:t>28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u w:val="single"/>
          <w:lang w:eastAsia="zh-CN"/>
          <w14:textFill>
            <w14:solidFill>
              <w14:schemeClr w14:val="tx1"/>
            </w14:solidFill>
          </w14:textFill>
        </w:rPr>
        <w:t>日内一次性付清（无息）。②发包人接受结算价款1.5%的质量保证金的工程保函，经有关部门审计后，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u w:val="single"/>
          <w:lang w:val="en-US" w:eastAsia="zh-CN"/>
          <w14:textFill>
            <w14:solidFill>
              <w14:schemeClr w14:val="tx1"/>
            </w14:solidFill>
          </w14:textFill>
        </w:rPr>
        <w:t>28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u w:val="single"/>
          <w:lang w:eastAsia="zh-CN"/>
          <w14:textFill>
            <w14:solidFill>
              <w14:schemeClr w14:val="tx1"/>
            </w14:solidFill>
          </w14:textFill>
        </w:rPr>
        <w:t>日内付至审定结算价款的100%，待工程竣工验收合格满两年后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u w:val="single"/>
          <w:lang w:val="en-US" w:eastAsia="zh-CN"/>
          <w14:textFill>
            <w14:solidFill>
              <w14:schemeClr w14:val="tx1"/>
            </w14:solidFill>
          </w14:textFill>
        </w:rPr>
        <w:t>28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u w:val="single"/>
          <w:lang w:eastAsia="zh-CN"/>
          <w14:textFill>
            <w14:solidFill>
              <w14:schemeClr w14:val="tx1"/>
            </w14:solidFill>
          </w14:textFill>
        </w:rPr>
        <w:t>日内退还工程保函。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u w:val="none"/>
          <w:lang w:eastAsia="zh-CN"/>
          <w14:textFill>
            <w14:solidFill>
              <w14:schemeClr w14:val="tx1"/>
            </w14:solidFill>
          </w14:textFill>
        </w:rPr>
        <w:t>以哪个为准？</w:t>
      </w:r>
    </w:p>
    <w:p>
      <w:pPr>
        <w:pStyle w:val="9"/>
        <w:ind w:left="0" w:leftChars="0"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u w:val="none"/>
          <w:lang w:eastAsia="zh-CN"/>
          <w14:textFill>
            <w14:solidFill>
              <w14:schemeClr w14:val="tx1"/>
            </w14:solidFill>
          </w14:textFill>
        </w:rPr>
        <w:t>答：两处并不矛盾，月进度付款是在竣工验收前执行的，剩下的在竣工验收合格后一次性结算。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  <w:lang w:val="en-US" w:eastAsia="zh-CN"/>
        </w:rPr>
        <w:t>因</w:t>
      </w:r>
      <w:r>
        <w:rPr>
          <w:rFonts w:hint="eastAsia" w:ascii="宋体" w:hAnsi="宋体" w:cs="宋体"/>
          <w:b w:val="0"/>
          <w:bCs w:val="0"/>
          <w:color w:val="000000"/>
          <w:sz w:val="24"/>
          <w:szCs w:val="24"/>
          <w:shd w:val="clear" w:fill="FFFFFF"/>
          <w:lang w:val="en-US" w:eastAsia="zh-CN"/>
        </w:rPr>
        <w:t>公告期间模板调整，导致电子稿招标文件中的投标函与系统生成的投标函不一致，现明确该二个版本的投标函均予以认可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  <w:lang w:val="en-US" w:eastAsia="zh-CN"/>
        </w:rPr>
        <w:t>。</w:t>
      </w:r>
      <w:bookmarkStart w:id="0" w:name="_GoBack"/>
      <w:bookmarkEnd w:id="0"/>
    </w:p>
    <w:p>
      <w:pPr>
        <w:pStyle w:val="8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</w:rPr>
        <w:t>未作出相应解答的相关疑问，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shd w:val="clear" w:fill="FFFFFF"/>
          <w14:textFill>
            <w14:solidFill>
              <w14:schemeClr w14:val="tx1"/>
            </w14:solidFill>
          </w14:textFill>
        </w:rPr>
        <w:t>均按招标文件执行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</w:rPr>
        <w:t>本答疑纪要作为招标文件的组成部分，与招标文件具有同等效力。</w:t>
      </w:r>
    </w:p>
    <w:p>
      <w:pPr>
        <w:spacing w:line="600" w:lineRule="auto"/>
        <w:ind w:left="-840" w:leftChars="-400" w:right="-512" w:rightChars="-244" w:firstLine="0" w:firstLineChars="0"/>
        <w:jc w:val="center"/>
        <w:rPr>
          <w:rFonts w:hint="eastAsia"/>
          <w:b/>
          <w:bCs/>
          <w:sz w:val="40"/>
          <w:szCs w:val="40"/>
          <w:u w:val="single"/>
        </w:rPr>
      </w:pPr>
    </w:p>
    <w:p>
      <w:pPr>
        <w:jc w:val="center"/>
        <w:rPr>
          <w:rFonts w:hint="eastAsia"/>
          <w:b/>
          <w:sz w:val="18"/>
          <w:szCs w:val="18"/>
        </w:rPr>
      </w:pPr>
    </w:p>
    <w:p>
      <w:pPr>
        <w:spacing w:line="480" w:lineRule="exact"/>
        <w:ind w:right="560"/>
        <w:jc w:val="right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诸暨市城乡投资集团有限公司 </w:t>
      </w:r>
    </w:p>
    <w:p>
      <w:pPr>
        <w:spacing w:line="480" w:lineRule="exact"/>
        <w:ind w:right="560"/>
        <w:jc w:val="right"/>
        <w:rPr>
          <w:rFonts w:hint="eastAsia"/>
          <w:sz w:val="18"/>
          <w:szCs w:val="28"/>
        </w:rPr>
      </w:pPr>
      <w:r>
        <w:rPr>
          <w:rFonts w:hint="eastAsia"/>
          <w:sz w:val="28"/>
          <w:szCs w:val="28"/>
          <w:lang w:eastAsia="zh-CN"/>
        </w:rPr>
        <w:t>浙江明业项目管理有限公司</w:t>
      </w:r>
    </w:p>
    <w:p>
      <w:pPr>
        <w:spacing w:line="480" w:lineRule="exact"/>
        <w:ind w:right="560"/>
        <w:jc w:val="right"/>
        <w:rPr>
          <w:rFonts w:hint="eastAsia" w:eastAsiaTheme="minorEastAsia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2023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  <w:lang w:val="en-US" w:eastAsia="zh-CN"/>
        </w:rPr>
        <w:t xml:space="preserve"> 8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  <w:lang w:val="en-US" w:eastAsia="zh-CN"/>
        </w:rPr>
        <w:t xml:space="preserve">21 </w:t>
      </w:r>
      <w:r>
        <w:rPr>
          <w:rFonts w:hint="eastAsia"/>
          <w:sz w:val="28"/>
          <w:szCs w:val="28"/>
        </w:rPr>
        <w:t>日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417" w:bottom="1440" w:left="141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862253"/>
    <w:multiLevelType w:val="singleLevel"/>
    <w:tmpl w:val="39862253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g5N2EyMDEyZjk1OTMyMGZlNDllYjFhNWEwMTAyZjUifQ=="/>
  </w:docVars>
  <w:rsids>
    <w:rsidRoot w:val="63A310C2"/>
    <w:rsid w:val="14AC7802"/>
    <w:rsid w:val="19AB6606"/>
    <w:rsid w:val="19CF1591"/>
    <w:rsid w:val="1A743423"/>
    <w:rsid w:val="27F0056F"/>
    <w:rsid w:val="2CC13C6C"/>
    <w:rsid w:val="32853997"/>
    <w:rsid w:val="335C2374"/>
    <w:rsid w:val="4B1D34A7"/>
    <w:rsid w:val="5B9462A0"/>
    <w:rsid w:val="5EBF1216"/>
    <w:rsid w:val="63A310C2"/>
    <w:rsid w:val="64B27796"/>
    <w:rsid w:val="679A2E90"/>
    <w:rsid w:val="740F5F6B"/>
    <w:rsid w:val="7541683D"/>
    <w:rsid w:val="79E96E34"/>
    <w:rsid w:val="7FBD3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9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qFormat/>
    <w:uiPriority w:val="99"/>
    <w:pPr>
      <w:spacing w:before="100" w:beforeAutospacing="1" w:after="100" w:afterAutospacing="1"/>
      <w:ind w:left="237"/>
      <w:outlineLvl w:val="3"/>
    </w:pPr>
    <w:rPr>
      <w:rFonts w:ascii="Cambria" w:hAnsi="Cambria"/>
      <w:b/>
      <w:bCs/>
      <w:sz w:val="28"/>
      <w:szCs w:val="28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0"/>
    <w:pPr>
      <w:ind w:left="520"/>
    </w:pPr>
    <w:rPr>
      <w:rFonts w:ascii="Times New Roman" w:hAnsi="Times New Roman"/>
    </w:rPr>
  </w:style>
  <w:style w:type="paragraph" w:styleId="4">
    <w:name w:val="Plain Text"/>
    <w:basedOn w:val="1"/>
    <w:qFormat/>
    <w:uiPriority w:val="0"/>
    <w:rPr>
      <w:rFonts w:ascii="宋体" w:hAnsi="Courier New"/>
      <w:kern w:val="2"/>
      <w:sz w:val="21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6"/>
    <w:basedOn w:val="1"/>
    <w:next w:val="1"/>
    <w:qFormat/>
    <w:uiPriority w:val="0"/>
    <w:pPr>
      <w:autoSpaceDE/>
      <w:autoSpaceDN/>
      <w:adjustRightInd/>
      <w:ind w:left="2100" w:leftChars="1000"/>
      <w:jc w:val="both"/>
    </w:pPr>
    <w:rPr>
      <w:kern w:val="2"/>
      <w:sz w:val="21"/>
      <w:szCs w:val="22"/>
    </w:rPr>
  </w:style>
  <w:style w:type="paragraph" w:styleId="8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Body Text First Indent"/>
    <w:basedOn w:val="3"/>
    <w:next w:val="7"/>
    <w:qFormat/>
    <w:uiPriority w:val="0"/>
    <w:pPr>
      <w:tabs>
        <w:tab w:val="left" w:pos="9360"/>
      </w:tabs>
      <w:adjustRightInd/>
      <w:ind w:firstLine="420" w:firstLineChars="100"/>
    </w:pPr>
    <w:rPr>
      <w:sz w:val="21"/>
    </w:rPr>
  </w:style>
  <w:style w:type="character" w:styleId="12">
    <w:name w:val="Strong"/>
    <w:basedOn w:val="11"/>
    <w:qFormat/>
    <w:uiPriority w:val="0"/>
    <w:rPr>
      <w:b/>
      <w:bCs/>
    </w:rPr>
  </w:style>
  <w:style w:type="character" w:styleId="13">
    <w:name w:val="FollowedHyperlink"/>
    <w:basedOn w:val="11"/>
    <w:qFormat/>
    <w:uiPriority w:val="0"/>
    <w:rPr>
      <w:color w:val="800080"/>
      <w:u w:val="none"/>
    </w:rPr>
  </w:style>
  <w:style w:type="character" w:styleId="14">
    <w:name w:val="Hyperlink"/>
    <w:basedOn w:val="11"/>
    <w:qFormat/>
    <w:uiPriority w:val="0"/>
    <w:rPr>
      <w:color w:val="0000FF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583</Words>
  <Characters>628</Characters>
  <Lines>0</Lines>
  <Paragraphs>0</Paragraphs>
  <TotalTime>19</TotalTime>
  <ScaleCrop>false</ScaleCrop>
  <LinksUpToDate>false</LinksUpToDate>
  <CharactersWithSpaces>635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2023-05-29T08:08:00Z</dcterms:created>
  <dc:creator>猫猫虫(｢･ω･)｢</dc:creator>
  <cp:lastModifiedBy>Lenovo</cp:lastModifiedBy>
  <cp:lastPrinted>2023-06-05T07:03:00Z</cp:lastPrinted>
  <dcterms:modified xsi:type="dcterms:W3CDTF">2023-08-21T08:23:26Z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88788AA8F53A495FAD3A93C6E684FFB7_13</vt:lpwstr>
  </property>
</Properties>
</file>