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暨阳街道应山片区环城东路以东地块</w:t>
      </w:r>
    </w:p>
    <w:p>
      <w:pPr>
        <w:ind w:firstLine="640" w:firstLineChars="0"/>
        <w:jc w:val="center"/>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土建安装工程补充答疑</w:t>
      </w:r>
    </w:p>
    <w:p>
      <w:pP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各潜在投标人：</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暨阳街道应山片区环城东路以东地块土建安装工程（施工）项目已于2023年7月18日通过诸暨市公共资源交易平台发布招标公告，现招标文件内容作如下调整及补充：</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招标文件中专用合同条款中第38条“需要满足诸暨当地开盘要求”，具体要求明确如下：在保持每批次预售建筑面积不少于1万平方米（或不少于5幢）的基础上，低、多层住宅：无地下室的，需完成地上总层数的1/3；有地下室的，需完成一层及以上。高层住宅：12层及以下的需完成地上总层数的1/4；12层以上，需完成地上总层数1/5。</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二、根据提疑要求补充地勘报告，见本补充公告附件。</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三、招标文件前附表（一）序号18招标控制价原“41224.0413万元”，现调整为“41226.2319万元”。</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四、招标文件前附表（一）序号19其他项目中相关金额调整，原：</w:t>
      </w:r>
    </w:p>
    <w:tbl>
      <w:tblPr>
        <w:tblStyle w:val="8"/>
        <w:tblW w:w="0" w:type="auto"/>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8"/>
        <w:gridCol w:w="1276"/>
        <w:gridCol w:w="5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8" w:type="dxa"/>
            <w:noWrap w:val="0"/>
            <w:vAlign w:val="center"/>
          </w:tcPr>
          <w:p>
            <w:pPr>
              <w:spacing w:line="280" w:lineRule="exact"/>
              <w:jc w:val="center"/>
              <w:rPr>
                <w:rFonts w:hint="default" w:ascii="仿宋_GB2312" w:hAnsi="仿宋_GB2312" w:eastAsia="仿宋_GB2312" w:cs="Times New Roman"/>
                <w:kern w:val="2"/>
                <w:sz w:val="24"/>
                <w:szCs w:val="22"/>
                <w:lang w:val="en-US" w:eastAsia="zh-CN" w:bidi="ar-SA"/>
              </w:rPr>
            </w:pPr>
            <w:r>
              <w:rPr>
                <w:rFonts w:hint="eastAsia" w:ascii="仿宋_GB2312" w:hAnsi="仿宋_GB2312" w:eastAsia="仿宋_GB2312"/>
                <w:sz w:val="24"/>
              </w:rPr>
              <w:t>19</w:t>
            </w:r>
          </w:p>
        </w:tc>
        <w:tc>
          <w:tcPr>
            <w:tcW w:w="1276" w:type="dxa"/>
            <w:noWrap w:val="0"/>
            <w:vAlign w:val="center"/>
          </w:tcPr>
          <w:p>
            <w:pPr>
              <w:spacing w:line="280" w:lineRule="exact"/>
              <w:jc w:val="center"/>
              <w:rPr>
                <w:rFonts w:hint="default" w:ascii="仿宋_GB2312" w:hAnsi="仿宋_GB2312" w:eastAsia="仿宋_GB2312" w:cs="Times New Roman"/>
                <w:kern w:val="2"/>
                <w:sz w:val="24"/>
                <w:szCs w:val="22"/>
                <w:lang w:val="en-US" w:eastAsia="zh-CN" w:bidi="ar-SA"/>
              </w:rPr>
            </w:pPr>
            <w:r>
              <w:rPr>
                <w:rFonts w:hint="eastAsia" w:ascii="仿宋_GB2312" w:hAnsi="宋体" w:eastAsia="仿宋_GB2312"/>
                <w:sz w:val="24"/>
              </w:rPr>
              <w:t>其他项目费</w:t>
            </w:r>
          </w:p>
        </w:tc>
        <w:tc>
          <w:tcPr>
            <w:tcW w:w="5881" w:type="dxa"/>
            <w:noWrap w:val="0"/>
            <w:vAlign w:val="center"/>
          </w:tcPr>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1、</w:t>
            </w:r>
            <w:r>
              <w:rPr>
                <w:rFonts w:hint="eastAsia" w:ascii="仿宋_GB2312" w:hAnsi="仿宋_GB2312" w:eastAsia="仿宋_GB2312" w:cs="仿宋_GB2312"/>
                <w:color w:val="auto"/>
                <w:sz w:val="24"/>
                <w:szCs w:val="24"/>
                <w:highlight w:val="none"/>
              </w:rPr>
              <w:t>暂列金额</w:t>
            </w:r>
            <w:r>
              <w:rPr>
                <w:rFonts w:hint="eastAsia" w:ascii="仿宋_GB2312" w:hAnsi="仿宋_GB2312" w:eastAsia="仿宋_GB2312" w:cs="仿宋_GB2312"/>
                <w:color w:val="auto"/>
                <w:sz w:val="24"/>
                <w:szCs w:val="24"/>
                <w:highlight w:val="none"/>
                <w:u w:val="single"/>
                <w:lang w:val="en-US" w:eastAsia="zh-CN"/>
              </w:rPr>
              <w:t>1956.6513</w:t>
            </w:r>
            <w:r>
              <w:rPr>
                <w:rFonts w:hint="eastAsia" w:ascii="仿宋_GB2312" w:hAnsi="仿宋_GB2312" w:eastAsia="仿宋_GB2312" w:cs="仿宋_GB2312"/>
                <w:color w:val="auto"/>
                <w:sz w:val="24"/>
                <w:szCs w:val="24"/>
                <w:highlight w:val="none"/>
              </w:rPr>
              <w:t>万元（含税金）（其中标化工地增加费含税金</w:t>
            </w:r>
            <w:r>
              <w:rPr>
                <w:rFonts w:hint="eastAsia" w:ascii="仿宋_GB2312" w:hAnsi="仿宋_GB2312" w:eastAsia="仿宋_GB2312" w:cs="仿宋_GB2312"/>
                <w:color w:val="auto"/>
                <w:sz w:val="24"/>
                <w:szCs w:val="24"/>
                <w:highlight w:val="none"/>
                <w:u w:val="single"/>
                <w:lang w:val="en-US" w:eastAsia="zh-CN"/>
              </w:rPr>
              <w:t>212.6513</w:t>
            </w:r>
            <w:r>
              <w:rPr>
                <w:rFonts w:hint="eastAsia" w:ascii="仿宋_GB2312" w:hAnsi="仿宋_GB2312" w:eastAsia="仿宋_GB2312" w:cs="仿宋_GB2312"/>
                <w:color w:val="auto"/>
                <w:sz w:val="24"/>
                <w:szCs w:val="24"/>
                <w:highlight w:val="none"/>
              </w:rPr>
              <w:t>万元、优质工程增加费含税金</w:t>
            </w:r>
            <w:r>
              <w:rPr>
                <w:rFonts w:hint="eastAsia" w:ascii="仿宋_GB2312" w:hAnsi="仿宋_GB2312" w:eastAsia="仿宋_GB2312" w:cs="仿宋_GB2312"/>
                <w:color w:val="auto"/>
                <w:sz w:val="24"/>
                <w:szCs w:val="24"/>
                <w:highlight w:val="none"/>
                <w:u w:val="single"/>
                <w:lang w:val="en-US" w:eastAsia="zh-CN"/>
              </w:rPr>
              <w:t xml:space="preserve"> / </w:t>
            </w:r>
            <w:r>
              <w:rPr>
                <w:rFonts w:hint="eastAsia" w:ascii="仿宋_GB2312" w:hAnsi="仿宋_GB2312" w:eastAsia="仿宋_GB2312" w:cs="仿宋_GB2312"/>
                <w:color w:val="auto"/>
                <w:sz w:val="24"/>
                <w:szCs w:val="24"/>
                <w:highlight w:val="none"/>
              </w:rPr>
              <w:t>万元、其他暂列金额含税金</w:t>
            </w:r>
            <w:r>
              <w:rPr>
                <w:rFonts w:hint="eastAsia" w:ascii="仿宋_GB2312" w:hAnsi="仿宋_GB2312" w:eastAsia="仿宋_GB2312" w:cs="仿宋_GB2312"/>
                <w:color w:val="auto"/>
                <w:sz w:val="24"/>
                <w:szCs w:val="24"/>
                <w:highlight w:val="none"/>
                <w:u w:val="single"/>
                <w:lang w:val="en-US" w:eastAsia="zh-CN"/>
              </w:rPr>
              <w:t>1744</w:t>
            </w:r>
            <w:r>
              <w:rPr>
                <w:rFonts w:hint="eastAsia" w:ascii="仿宋_GB2312" w:hAnsi="仿宋_GB2312" w:eastAsia="仿宋_GB2312" w:cs="仿宋_GB2312"/>
                <w:color w:val="auto"/>
                <w:sz w:val="24"/>
                <w:szCs w:val="24"/>
                <w:highlight w:val="none"/>
              </w:rPr>
              <w:t>万元）；</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2、</w:t>
            </w:r>
            <w:r>
              <w:rPr>
                <w:rFonts w:hint="eastAsia" w:ascii="仿宋_GB2312" w:hAnsi="仿宋_GB2312" w:eastAsia="仿宋_GB2312" w:cs="仿宋_GB2312"/>
                <w:color w:val="auto"/>
                <w:sz w:val="24"/>
                <w:szCs w:val="24"/>
                <w:highlight w:val="none"/>
              </w:rPr>
              <w:t>暂估价含税金</w:t>
            </w:r>
            <w:r>
              <w:rPr>
                <w:rFonts w:hint="eastAsia" w:ascii="仿宋_GB2312" w:hAnsi="仿宋_GB2312" w:eastAsia="仿宋_GB2312" w:cs="仿宋_GB2312"/>
                <w:color w:val="auto"/>
                <w:sz w:val="24"/>
                <w:szCs w:val="24"/>
                <w:highlight w:val="none"/>
                <w:u w:val="single"/>
                <w:lang w:val="en-US" w:eastAsia="zh-CN"/>
              </w:rPr>
              <w:t>536.5744</w:t>
            </w:r>
            <w:r>
              <w:rPr>
                <w:rFonts w:hint="eastAsia" w:ascii="仿宋_GB2312" w:hAnsi="仿宋_GB2312" w:eastAsia="仿宋_GB2312" w:cs="仿宋_GB2312"/>
                <w:color w:val="auto"/>
                <w:sz w:val="24"/>
                <w:szCs w:val="24"/>
                <w:highlight w:val="none"/>
              </w:rPr>
              <w:t>万元（其中材料及工程设备暂估价含税金</w:t>
            </w:r>
            <w:r>
              <w:rPr>
                <w:rFonts w:hint="eastAsia" w:ascii="仿宋_GB2312" w:hAnsi="仿宋_GB2312" w:eastAsia="仿宋_GB2312" w:cs="仿宋_GB2312"/>
                <w:color w:val="auto"/>
                <w:sz w:val="24"/>
                <w:szCs w:val="24"/>
                <w:highlight w:val="none"/>
                <w:u w:val="single"/>
                <w:lang w:val="en-US" w:eastAsia="zh-CN"/>
              </w:rPr>
              <w:t>100.5744</w:t>
            </w:r>
            <w:r>
              <w:rPr>
                <w:rFonts w:hint="eastAsia" w:ascii="仿宋_GB2312" w:hAnsi="仿宋_GB2312" w:eastAsia="仿宋_GB2312" w:cs="仿宋_GB2312"/>
                <w:color w:val="auto"/>
                <w:sz w:val="24"/>
                <w:szCs w:val="24"/>
                <w:highlight w:val="none"/>
              </w:rPr>
              <w:t>万元、专业工程暂估价含税金</w:t>
            </w:r>
            <w:r>
              <w:rPr>
                <w:rFonts w:hint="eastAsia" w:ascii="仿宋_GB2312" w:hAnsi="仿宋_GB2312" w:eastAsia="仿宋_GB2312" w:cs="仿宋_GB2312"/>
                <w:color w:val="auto"/>
                <w:sz w:val="24"/>
                <w:szCs w:val="24"/>
                <w:highlight w:val="none"/>
                <w:u w:val="single"/>
                <w:lang w:val="en-US" w:eastAsia="zh-CN"/>
              </w:rPr>
              <w:t>436</w:t>
            </w:r>
            <w:r>
              <w:rPr>
                <w:rFonts w:hint="eastAsia" w:ascii="仿宋_GB2312" w:hAnsi="仿宋_GB2312" w:eastAsia="仿宋_GB2312" w:cs="仿宋_GB2312"/>
                <w:color w:val="auto"/>
                <w:sz w:val="24"/>
                <w:szCs w:val="24"/>
                <w:highlight w:val="none"/>
              </w:rPr>
              <w:t>万元、专项措施暂估价含税金</w:t>
            </w:r>
            <w:r>
              <w:rPr>
                <w:rFonts w:hint="eastAsia" w:ascii="仿宋_GB2312" w:hAnsi="仿宋_GB2312" w:eastAsia="仿宋_GB2312" w:cs="仿宋_GB2312"/>
                <w:color w:val="auto"/>
                <w:sz w:val="24"/>
                <w:szCs w:val="24"/>
                <w:highlight w:val="none"/>
                <w:u w:val="single"/>
                <w:lang w:val="en-US" w:eastAsia="zh-CN"/>
              </w:rPr>
              <w:t xml:space="preserve"> / </w:t>
            </w:r>
            <w:r>
              <w:rPr>
                <w:rFonts w:hint="eastAsia" w:ascii="仿宋_GB2312" w:hAnsi="仿宋_GB2312" w:eastAsia="仿宋_GB2312" w:cs="仿宋_GB2312"/>
                <w:color w:val="auto"/>
                <w:sz w:val="24"/>
                <w:szCs w:val="24"/>
                <w:highlight w:val="none"/>
              </w:rPr>
              <w:t>万元）；</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3、</w:t>
            </w:r>
            <w:r>
              <w:rPr>
                <w:rFonts w:hint="eastAsia" w:ascii="仿宋_GB2312" w:hAnsi="仿宋_GB2312" w:eastAsia="仿宋_GB2312" w:cs="仿宋_GB2312"/>
                <w:color w:val="auto"/>
                <w:sz w:val="24"/>
                <w:szCs w:val="24"/>
                <w:highlight w:val="none"/>
              </w:rPr>
              <w:t>计日工</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万元（含税金）；</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4、</w:t>
            </w:r>
            <w:r>
              <w:rPr>
                <w:rFonts w:hint="eastAsia" w:ascii="仿宋_GB2312" w:hAnsi="仿宋_GB2312" w:eastAsia="仿宋_GB2312" w:cs="仿宋_GB2312"/>
                <w:color w:val="auto"/>
                <w:sz w:val="24"/>
                <w:szCs w:val="24"/>
                <w:highlight w:val="none"/>
              </w:rPr>
              <w:t>施工总承包服务费</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58.8600</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万元（含税金）；</w:t>
            </w:r>
          </w:p>
          <w:p>
            <w:pPr>
              <w:rPr>
                <w:rFonts w:hint="default" w:ascii="仿宋_GB2312" w:hAnsi="仿宋_GB2312" w:eastAsia="仿宋_GB2312" w:cs="Times New Roman"/>
                <w:kern w:val="2"/>
                <w:sz w:val="24"/>
                <w:szCs w:val="22"/>
                <w:lang w:val="en-US" w:eastAsia="zh-CN" w:bidi="ar-SA"/>
              </w:rPr>
            </w:pPr>
            <w:r>
              <w:rPr>
                <w:rFonts w:hint="eastAsia" w:ascii="仿宋_GB2312" w:hAnsi="仿宋_GB2312" w:eastAsia="仿宋_GB2312" w:cs="仿宋_GB2312"/>
                <w:color w:val="auto"/>
                <w:sz w:val="24"/>
                <w:szCs w:val="24"/>
                <w:highlight w:val="none"/>
              </w:rPr>
              <w:t>合计</w:t>
            </w:r>
            <w:r>
              <w:rPr>
                <w:rFonts w:hint="eastAsia" w:ascii="仿宋_GB2312" w:hAnsi="仿宋_GB2312" w:eastAsia="仿宋_GB2312" w:cs="仿宋_GB2312"/>
                <w:color w:val="auto"/>
                <w:sz w:val="24"/>
                <w:szCs w:val="24"/>
                <w:highlight w:val="none"/>
                <w:u w:val="single"/>
                <w:lang w:val="en-US" w:eastAsia="zh-CN"/>
              </w:rPr>
              <w:t xml:space="preserve">2493.2257 </w:t>
            </w:r>
            <w:r>
              <w:rPr>
                <w:rFonts w:hint="eastAsia" w:ascii="仿宋_GB2312" w:hAnsi="仿宋_GB2312" w:eastAsia="仿宋_GB2312" w:cs="仿宋_GB2312"/>
                <w:color w:val="auto"/>
                <w:sz w:val="24"/>
                <w:szCs w:val="24"/>
                <w:highlight w:val="none"/>
              </w:rPr>
              <w:t>万元。</w:t>
            </w:r>
          </w:p>
        </w:tc>
      </w:tr>
    </w:tbl>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现</w:t>
      </w:r>
      <w:bookmarkStart w:id="0" w:name="_GoBack"/>
      <w:bookmarkEnd w:id="0"/>
      <w:r>
        <w:rPr>
          <w:rFonts w:hint="eastAsia" w:ascii="仿宋" w:hAnsi="仿宋" w:eastAsia="仿宋" w:cs="仿宋"/>
          <w:sz w:val="32"/>
          <w:szCs w:val="32"/>
          <w:lang w:val="en-US" w:eastAsia="zh-CN"/>
        </w:rPr>
        <w:t>调整为</w:t>
      </w:r>
    </w:p>
    <w:tbl>
      <w:tblPr>
        <w:tblStyle w:val="8"/>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1276"/>
        <w:gridCol w:w="5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noWrap w:val="0"/>
            <w:vAlign w:val="center"/>
          </w:tcPr>
          <w:p>
            <w:pPr>
              <w:spacing w:line="280" w:lineRule="exact"/>
              <w:jc w:val="center"/>
              <w:rPr>
                <w:rFonts w:hint="default" w:ascii="仿宋_GB2312" w:hAnsi="仿宋_GB2312" w:eastAsia="仿宋_GB2312" w:cs="Times New Roman"/>
                <w:kern w:val="2"/>
                <w:sz w:val="24"/>
                <w:szCs w:val="22"/>
                <w:lang w:val="en-US" w:eastAsia="zh-CN" w:bidi="ar-SA"/>
              </w:rPr>
            </w:pPr>
            <w:r>
              <w:rPr>
                <w:rFonts w:hint="eastAsia" w:ascii="仿宋_GB2312" w:hAnsi="仿宋_GB2312" w:eastAsia="仿宋_GB2312"/>
                <w:sz w:val="24"/>
              </w:rPr>
              <w:t>19</w:t>
            </w:r>
          </w:p>
        </w:tc>
        <w:tc>
          <w:tcPr>
            <w:tcW w:w="1276" w:type="dxa"/>
            <w:noWrap w:val="0"/>
            <w:vAlign w:val="center"/>
          </w:tcPr>
          <w:p>
            <w:pPr>
              <w:spacing w:line="280" w:lineRule="exact"/>
              <w:jc w:val="center"/>
              <w:rPr>
                <w:rFonts w:hint="default" w:ascii="仿宋_GB2312" w:hAnsi="仿宋_GB2312" w:eastAsia="仿宋_GB2312" w:cs="Times New Roman"/>
                <w:kern w:val="2"/>
                <w:sz w:val="24"/>
                <w:szCs w:val="22"/>
                <w:lang w:val="en-US" w:eastAsia="zh-CN" w:bidi="ar-SA"/>
              </w:rPr>
            </w:pPr>
            <w:r>
              <w:rPr>
                <w:rFonts w:hint="eastAsia" w:ascii="仿宋_GB2312" w:hAnsi="宋体" w:eastAsia="仿宋_GB2312"/>
                <w:sz w:val="24"/>
              </w:rPr>
              <w:t>其他项目费</w:t>
            </w:r>
          </w:p>
        </w:tc>
        <w:tc>
          <w:tcPr>
            <w:tcW w:w="5881" w:type="dxa"/>
            <w:noWrap w:val="0"/>
            <w:vAlign w:val="center"/>
          </w:tcPr>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1、</w:t>
            </w:r>
            <w:r>
              <w:rPr>
                <w:rFonts w:hint="eastAsia" w:ascii="仿宋_GB2312" w:hAnsi="仿宋_GB2312" w:eastAsia="仿宋_GB2312" w:cs="仿宋_GB2312"/>
                <w:color w:val="auto"/>
                <w:sz w:val="24"/>
                <w:szCs w:val="24"/>
                <w:highlight w:val="none"/>
              </w:rPr>
              <w:t>暂列金额</w:t>
            </w:r>
            <w:r>
              <w:rPr>
                <w:rFonts w:hint="eastAsia" w:ascii="仿宋_GB2312" w:hAnsi="仿宋_GB2312" w:eastAsia="仿宋_GB2312" w:cs="仿宋_GB2312"/>
                <w:color w:val="auto"/>
                <w:sz w:val="24"/>
                <w:szCs w:val="24"/>
                <w:highlight w:val="none"/>
                <w:u w:val="single"/>
                <w:lang w:val="en-US" w:eastAsia="zh-CN"/>
              </w:rPr>
              <w:t>1887.9858</w:t>
            </w:r>
            <w:r>
              <w:rPr>
                <w:rFonts w:hint="eastAsia" w:ascii="仿宋_GB2312" w:hAnsi="仿宋_GB2312" w:eastAsia="仿宋_GB2312" w:cs="仿宋_GB2312"/>
                <w:color w:val="auto"/>
                <w:sz w:val="24"/>
                <w:szCs w:val="24"/>
                <w:highlight w:val="none"/>
              </w:rPr>
              <w:t>万元（含税金）（其中标化工地增加费含税金</w:t>
            </w:r>
            <w:r>
              <w:rPr>
                <w:rFonts w:hint="eastAsia" w:ascii="仿宋_GB2312" w:hAnsi="仿宋_GB2312" w:eastAsia="仿宋_GB2312" w:cs="仿宋_GB2312"/>
                <w:color w:val="auto"/>
                <w:sz w:val="24"/>
                <w:szCs w:val="24"/>
                <w:highlight w:val="none"/>
                <w:u w:val="single"/>
                <w:lang w:val="en-US" w:eastAsia="zh-CN"/>
              </w:rPr>
              <w:t>143.9858</w:t>
            </w:r>
            <w:r>
              <w:rPr>
                <w:rFonts w:hint="eastAsia" w:ascii="仿宋_GB2312" w:hAnsi="仿宋_GB2312" w:eastAsia="仿宋_GB2312" w:cs="仿宋_GB2312"/>
                <w:color w:val="auto"/>
                <w:sz w:val="24"/>
                <w:szCs w:val="24"/>
                <w:highlight w:val="none"/>
              </w:rPr>
              <w:t>万元、优质工程增加费含税金</w:t>
            </w:r>
            <w:r>
              <w:rPr>
                <w:rFonts w:hint="eastAsia" w:ascii="仿宋_GB2312" w:hAnsi="仿宋_GB2312" w:eastAsia="仿宋_GB2312" w:cs="仿宋_GB2312"/>
                <w:color w:val="auto"/>
                <w:sz w:val="24"/>
                <w:szCs w:val="24"/>
                <w:highlight w:val="none"/>
                <w:u w:val="single"/>
                <w:lang w:val="en-US" w:eastAsia="zh-CN"/>
              </w:rPr>
              <w:t xml:space="preserve"> / </w:t>
            </w:r>
            <w:r>
              <w:rPr>
                <w:rFonts w:hint="eastAsia" w:ascii="仿宋_GB2312" w:hAnsi="仿宋_GB2312" w:eastAsia="仿宋_GB2312" w:cs="仿宋_GB2312"/>
                <w:color w:val="auto"/>
                <w:sz w:val="24"/>
                <w:szCs w:val="24"/>
                <w:highlight w:val="none"/>
              </w:rPr>
              <w:t>万元、其他暂列金额含税金</w:t>
            </w:r>
            <w:r>
              <w:rPr>
                <w:rFonts w:hint="eastAsia" w:ascii="仿宋_GB2312" w:hAnsi="仿宋_GB2312" w:eastAsia="仿宋_GB2312" w:cs="仿宋_GB2312"/>
                <w:color w:val="auto"/>
                <w:sz w:val="24"/>
                <w:szCs w:val="24"/>
                <w:highlight w:val="none"/>
                <w:u w:val="single"/>
                <w:lang w:val="en-US" w:eastAsia="zh-CN"/>
              </w:rPr>
              <w:t>1744</w:t>
            </w:r>
            <w:r>
              <w:rPr>
                <w:rFonts w:hint="eastAsia" w:ascii="仿宋_GB2312" w:hAnsi="仿宋_GB2312" w:eastAsia="仿宋_GB2312" w:cs="仿宋_GB2312"/>
                <w:color w:val="auto"/>
                <w:sz w:val="24"/>
                <w:szCs w:val="24"/>
                <w:highlight w:val="none"/>
              </w:rPr>
              <w:t>万元）；</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2、</w:t>
            </w:r>
            <w:r>
              <w:rPr>
                <w:rFonts w:hint="eastAsia" w:ascii="仿宋_GB2312" w:hAnsi="仿宋_GB2312" w:eastAsia="仿宋_GB2312" w:cs="仿宋_GB2312"/>
                <w:color w:val="auto"/>
                <w:sz w:val="24"/>
                <w:szCs w:val="24"/>
                <w:highlight w:val="none"/>
              </w:rPr>
              <w:t>暂估价含税金</w:t>
            </w:r>
            <w:r>
              <w:rPr>
                <w:rFonts w:hint="eastAsia" w:ascii="仿宋_GB2312" w:hAnsi="仿宋_GB2312" w:eastAsia="仿宋_GB2312" w:cs="仿宋_GB2312"/>
                <w:color w:val="auto"/>
                <w:sz w:val="24"/>
                <w:szCs w:val="24"/>
                <w:highlight w:val="none"/>
                <w:u w:val="single"/>
                <w:lang w:val="en-US" w:eastAsia="zh-CN"/>
              </w:rPr>
              <w:t>703.4836</w:t>
            </w:r>
            <w:r>
              <w:rPr>
                <w:rFonts w:hint="eastAsia" w:ascii="仿宋_GB2312" w:hAnsi="仿宋_GB2312" w:eastAsia="仿宋_GB2312" w:cs="仿宋_GB2312"/>
                <w:color w:val="auto"/>
                <w:sz w:val="24"/>
                <w:szCs w:val="24"/>
                <w:highlight w:val="none"/>
              </w:rPr>
              <w:t>万元（其中材料及工程设备暂估价含税金</w:t>
            </w:r>
            <w:r>
              <w:rPr>
                <w:rFonts w:hint="eastAsia" w:ascii="仿宋_GB2312" w:hAnsi="仿宋_GB2312" w:eastAsia="仿宋_GB2312" w:cs="仿宋_GB2312"/>
                <w:color w:val="auto"/>
                <w:sz w:val="24"/>
                <w:szCs w:val="24"/>
                <w:highlight w:val="none"/>
                <w:u w:val="single"/>
                <w:lang w:val="en-US" w:eastAsia="zh-CN"/>
              </w:rPr>
              <w:t>225.8136</w:t>
            </w:r>
            <w:r>
              <w:rPr>
                <w:rFonts w:hint="eastAsia" w:ascii="仿宋_GB2312" w:hAnsi="仿宋_GB2312" w:eastAsia="仿宋_GB2312" w:cs="仿宋_GB2312"/>
                <w:color w:val="auto"/>
                <w:sz w:val="24"/>
                <w:szCs w:val="24"/>
                <w:highlight w:val="none"/>
              </w:rPr>
              <w:t>万元、专业工程暂估价含税金</w:t>
            </w:r>
            <w:r>
              <w:rPr>
                <w:rFonts w:hint="eastAsia" w:ascii="仿宋_GB2312" w:hAnsi="仿宋_GB2312" w:eastAsia="仿宋_GB2312" w:cs="仿宋_GB2312"/>
                <w:color w:val="auto"/>
                <w:sz w:val="24"/>
                <w:szCs w:val="24"/>
                <w:highlight w:val="none"/>
                <w:u w:val="single"/>
                <w:lang w:val="en-US" w:eastAsia="zh-CN"/>
              </w:rPr>
              <w:t>504.67</w:t>
            </w:r>
            <w:r>
              <w:rPr>
                <w:rFonts w:hint="eastAsia" w:ascii="仿宋_GB2312" w:hAnsi="仿宋_GB2312" w:eastAsia="仿宋_GB2312" w:cs="仿宋_GB2312"/>
                <w:color w:val="auto"/>
                <w:sz w:val="24"/>
                <w:szCs w:val="24"/>
                <w:highlight w:val="none"/>
              </w:rPr>
              <w:t>万元、专项措施暂估价含税金</w:t>
            </w:r>
            <w:r>
              <w:rPr>
                <w:rFonts w:hint="eastAsia" w:ascii="仿宋_GB2312" w:hAnsi="仿宋_GB2312" w:eastAsia="仿宋_GB2312" w:cs="仿宋_GB2312"/>
                <w:color w:val="auto"/>
                <w:sz w:val="24"/>
                <w:szCs w:val="24"/>
                <w:highlight w:val="none"/>
                <w:u w:val="single"/>
                <w:lang w:val="en-US" w:eastAsia="zh-CN"/>
              </w:rPr>
              <w:t xml:space="preserve"> / </w:t>
            </w:r>
            <w:r>
              <w:rPr>
                <w:rFonts w:hint="eastAsia" w:ascii="仿宋_GB2312" w:hAnsi="仿宋_GB2312" w:eastAsia="仿宋_GB2312" w:cs="仿宋_GB2312"/>
                <w:color w:val="auto"/>
                <w:sz w:val="24"/>
                <w:szCs w:val="24"/>
                <w:highlight w:val="none"/>
              </w:rPr>
              <w:t>万元）；</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3、</w:t>
            </w:r>
            <w:r>
              <w:rPr>
                <w:rFonts w:hint="eastAsia" w:ascii="仿宋_GB2312" w:hAnsi="仿宋_GB2312" w:eastAsia="仿宋_GB2312" w:cs="仿宋_GB2312"/>
                <w:color w:val="auto"/>
                <w:sz w:val="24"/>
                <w:szCs w:val="24"/>
                <w:highlight w:val="none"/>
              </w:rPr>
              <w:t>计日工</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万元（含税金）；</w:t>
            </w:r>
          </w:p>
          <w:p>
            <w:pPr>
              <w:keepNext w:val="0"/>
              <w:keepLines w:val="0"/>
              <w:pageBreakBefore w:val="0"/>
              <w:widowControl w:val="0"/>
              <w:numPr>
                <w:ilvl w:val="0"/>
                <w:numId w:val="0"/>
              </w:numPr>
              <w:kinsoku/>
              <w:wordWrap w:val="0"/>
              <w:overflowPunct/>
              <w:topLinePunct/>
              <w:autoSpaceDE/>
              <w:autoSpaceDN/>
              <w:bidi w:val="0"/>
              <w:adjustRightInd/>
              <w:snapToGrid/>
              <w:spacing w:line="32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2"/>
                <w:sz w:val="24"/>
                <w:szCs w:val="24"/>
                <w:lang w:val="en-US" w:eastAsia="zh-CN" w:bidi="ar-SA"/>
              </w:rPr>
              <w:t>4、</w:t>
            </w:r>
            <w:r>
              <w:rPr>
                <w:rFonts w:hint="eastAsia" w:ascii="仿宋_GB2312" w:hAnsi="仿宋_GB2312" w:eastAsia="仿宋_GB2312" w:cs="仿宋_GB2312"/>
                <w:color w:val="auto"/>
                <w:sz w:val="24"/>
                <w:szCs w:val="24"/>
                <w:highlight w:val="none"/>
              </w:rPr>
              <w:t>施工总承包服务费</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万元（含税金）；</w:t>
            </w:r>
          </w:p>
          <w:p>
            <w:pPr>
              <w:rPr>
                <w:rFonts w:hint="default" w:ascii="仿宋_GB2312" w:hAnsi="仿宋_GB2312" w:eastAsia="仿宋_GB2312" w:cs="Times New Roman"/>
                <w:kern w:val="2"/>
                <w:sz w:val="24"/>
                <w:szCs w:val="22"/>
                <w:lang w:val="en-US" w:eastAsia="zh-CN" w:bidi="ar-SA"/>
              </w:rPr>
            </w:pPr>
            <w:r>
              <w:rPr>
                <w:rFonts w:hint="eastAsia" w:ascii="仿宋_GB2312" w:hAnsi="仿宋_GB2312" w:eastAsia="仿宋_GB2312" w:cs="仿宋_GB2312"/>
                <w:color w:val="auto"/>
                <w:sz w:val="24"/>
                <w:szCs w:val="24"/>
                <w:highlight w:val="none"/>
              </w:rPr>
              <w:t>合计</w:t>
            </w:r>
            <w:r>
              <w:rPr>
                <w:rFonts w:hint="eastAsia" w:ascii="仿宋_GB2312" w:hAnsi="仿宋_GB2312" w:eastAsia="仿宋_GB2312" w:cs="仿宋_GB2312"/>
                <w:color w:val="auto"/>
                <w:sz w:val="24"/>
                <w:szCs w:val="24"/>
                <w:highlight w:val="none"/>
                <w:u w:val="single"/>
                <w:lang w:val="en-US" w:eastAsia="zh-CN"/>
              </w:rPr>
              <w:t xml:space="preserve"> 2618.4693 </w:t>
            </w:r>
            <w:r>
              <w:rPr>
                <w:rFonts w:hint="eastAsia" w:ascii="仿宋_GB2312" w:hAnsi="仿宋_GB2312" w:eastAsia="仿宋_GB2312" w:cs="仿宋_GB2312"/>
                <w:color w:val="auto"/>
                <w:sz w:val="24"/>
                <w:szCs w:val="24"/>
                <w:highlight w:val="none"/>
              </w:rPr>
              <w:t>万元。</w:t>
            </w:r>
          </w:p>
        </w:tc>
      </w:tr>
    </w:tbl>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五、招标文件第52页“（3）第3种方式：其他价格调整方式”，段末增加条款:“以上需调差内容品牌要求如下： 钢材-马钢、鞍钢、永钢、萍钢；铝合金型材-凤铝、兴发、奋安；电线电缆-中策、起帆、永通”</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六、招标文件附件中主要材料品牌表中内容调整：外墙保温一体板要求品牌原“建研中正、久诺、敬业达、乐邦（鼎仕达）”调整为“建研中正、富思特、固克、乐邦（鼎仕达）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七、本工程招标控制价以最新上传的为准，详见本公告附件，本补充公告附件包含：经调整的招标控制价、控制价编制说明、暂定价取定价表、地勘报告。</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八、疑问澄清及回复如下：</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疑问1.本项目的保温装饰一体板的价格严重低于市场价格，经市场询价，保温装饰一体板（真石漆外墙涂料面层、反射隔热涂料、无机轻集料保温板Ⅰ型、5mm厚粘结砂浆粘结层）的价格详见下表所示：</w:t>
      </w:r>
    </w:p>
    <w:tbl>
      <w:tblPr>
        <w:tblStyle w:val="8"/>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2249"/>
        <w:gridCol w:w="536"/>
        <w:gridCol w:w="1176"/>
        <w:gridCol w:w="1339"/>
        <w:gridCol w:w="1352"/>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56" w:type="dxa"/>
            <w:vMerge w:val="restart"/>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序号</w:t>
            </w:r>
          </w:p>
        </w:tc>
        <w:tc>
          <w:tcPr>
            <w:tcW w:w="2365" w:type="dxa"/>
            <w:vMerge w:val="restart"/>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项目名称</w:t>
            </w:r>
          </w:p>
        </w:tc>
        <w:tc>
          <w:tcPr>
            <w:tcW w:w="456" w:type="dxa"/>
            <w:vMerge w:val="restart"/>
            <w:vAlign w:val="bottom"/>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单位</w:t>
            </w:r>
          </w:p>
        </w:tc>
        <w:tc>
          <w:tcPr>
            <w:tcW w:w="2530" w:type="dxa"/>
            <w:gridSpan w:val="2"/>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招标清单单价（元）</w:t>
            </w:r>
          </w:p>
        </w:tc>
        <w:tc>
          <w:tcPr>
            <w:tcW w:w="2693" w:type="dxa"/>
            <w:gridSpan w:val="2"/>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对应品牌询价（元）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56" w:type="dxa"/>
            <w:vMerge w:val="continue"/>
          </w:tcPr>
          <w:p>
            <w:pPr>
              <w:rPr>
                <w:rFonts w:hint="eastAsia" w:ascii="仿宋" w:hAnsi="仿宋" w:eastAsia="仿宋" w:cs="仿宋"/>
                <w:sz w:val="32"/>
                <w:szCs w:val="32"/>
                <w:lang w:val="en-US" w:eastAsia="zh-CN"/>
              </w:rPr>
            </w:pPr>
          </w:p>
        </w:tc>
        <w:tc>
          <w:tcPr>
            <w:tcW w:w="2365" w:type="dxa"/>
            <w:vMerge w:val="continue"/>
            <w:vAlign w:val="bottom"/>
          </w:tcPr>
          <w:p>
            <w:pPr>
              <w:rPr>
                <w:rFonts w:hint="eastAsia" w:ascii="仿宋" w:hAnsi="仿宋" w:eastAsia="仿宋" w:cs="仿宋"/>
                <w:sz w:val="32"/>
                <w:szCs w:val="32"/>
                <w:lang w:val="en-US" w:eastAsia="zh-CN"/>
              </w:rPr>
            </w:pPr>
          </w:p>
        </w:tc>
        <w:tc>
          <w:tcPr>
            <w:tcW w:w="456" w:type="dxa"/>
            <w:vMerge w:val="continue"/>
            <w:vAlign w:val="bottom"/>
          </w:tcPr>
          <w:p>
            <w:pPr>
              <w:rPr>
                <w:rFonts w:hint="eastAsia" w:ascii="仿宋" w:hAnsi="仿宋" w:eastAsia="仿宋" w:cs="仿宋"/>
                <w:sz w:val="32"/>
                <w:szCs w:val="32"/>
                <w:lang w:val="en-US" w:eastAsia="zh-CN"/>
              </w:rPr>
            </w:pPr>
          </w:p>
        </w:tc>
        <w:tc>
          <w:tcPr>
            <w:tcW w:w="117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材料单价</w:t>
            </w:r>
          </w:p>
        </w:tc>
        <w:tc>
          <w:tcPr>
            <w:tcW w:w="1354"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综合单价</w:t>
            </w:r>
          </w:p>
        </w:tc>
        <w:tc>
          <w:tcPr>
            <w:tcW w:w="1368"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材料单价</w:t>
            </w:r>
          </w:p>
        </w:tc>
        <w:tc>
          <w:tcPr>
            <w:tcW w:w="1325"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包工包料单价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w:t>
            </w:r>
          </w:p>
        </w:tc>
        <w:tc>
          <w:tcPr>
            <w:tcW w:w="2365" w:type="dxa"/>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30厚保温板的装饰一体板</w:t>
            </w:r>
          </w:p>
        </w:tc>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w:t>
            </w:r>
          </w:p>
        </w:tc>
        <w:tc>
          <w:tcPr>
            <w:tcW w:w="117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87.58</w:t>
            </w:r>
          </w:p>
        </w:tc>
        <w:tc>
          <w:tcPr>
            <w:tcW w:w="1354"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136.76</w:t>
            </w:r>
          </w:p>
        </w:tc>
        <w:tc>
          <w:tcPr>
            <w:tcW w:w="1368"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150.00</w:t>
            </w:r>
          </w:p>
        </w:tc>
        <w:tc>
          <w:tcPr>
            <w:tcW w:w="1325"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t>
            </w:r>
          </w:p>
        </w:tc>
        <w:tc>
          <w:tcPr>
            <w:tcW w:w="2365" w:type="dxa"/>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40厚保温板的装饰一体板</w:t>
            </w:r>
          </w:p>
        </w:tc>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w:t>
            </w:r>
          </w:p>
        </w:tc>
        <w:tc>
          <w:tcPr>
            <w:tcW w:w="117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95.58</w:t>
            </w:r>
          </w:p>
        </w:tc>
        <w:tc>
          <w:tcPr>
            <w:tcW w:w="1354"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144.76</w:t>
            </w:r>
          </w:p>
        </w:tc>
        <w:tc>
          <w:tcPr>
            <w:tcW w:w="1368"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158.00</w:t>
            </w:r>
          </w:p>
        </w:tc>
        <w:tc>
          <w:tcPr>
            <w:tcW w:w="1325"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278.00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p>
        </w:tc>
        <w:tc>
          <w:tcPr>
            <w:tcW w:w="2365" w:type="dxa"/>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2.5mm氟碳铝板面层40厚保温板的装饰一体板</w:t>
            </w:r>
          </w:p>
        </w:tc>
        <w:tc>
          <w:tcPr>
            <w:tcW w:w="45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w:t>
            </w:r>
          </w:p>
        </w:tc>
        <w:tc>
          <w:tcPr>
            <w:tcW w:w="1176"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283.19</w:t>
            </w:r>
          </w:p>
        </w:tc>
        <w:tc>
          <w:tcPr>
            <w:tcW w:w="1354"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332.37</w:t>
            </w:r>
          </w:p>
        </w:tc>
        <w:tc>
          <w:tcPr>
            <w:tcW w:w="1368"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350.00</w:t>
            </w:r>
          </w:p>
        </w:tc>
        <w:tc>
          <w:tcPr>
            <w:tcW w:w="1325" w:type="dxa"/>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470.00</w:t>
            </w:r>
          </w:p>
        </w:tc>
      </w:tr>
    </w:tbl>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另《浙江省房屋建筑与装饰工程预算定额》内没有与保温装饰一体板相配套的定额子目，招标清单按材料取定价套定额计算，其他安装人工费、损耗、管理费、利润等仅剩49.18元/㎡，已严重低于市场价格、影响工程正常施工，故要求保温装饰一体板采用综合单价进行计价并调整相应单价，同时价格调整应考虑本项目的招标方式（总价下浮率招标）。</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回复：本项目真石漆保温一体板与铝板保温一体板询价符合市场询价，综合单价不调整。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疑问2.材料取定价格表第113条，材料名称栏：铝合金成品防雨百叶窗、5厚中透光单银Low+12A+5暖边，百叶窗处不设玻璃，需修改。</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回复：文字内容相应调整，原内容“铝合金成品防雨百叶窗、5厚中透光单银Low+12A+5暖边”，调整为“铝合金成品防雨百叶窗”，详见本补充公告附件取定价表。</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铝型材壁厚≥2.2mm的125系列断热铝合金安全玻璃推拉门（5中透单银Low-E+12Ar+5+12Ar+5），招标控制价内按不含税材料取定价793.27元/㎡计算，价格偏低；经查信息价，2.2厚120系列断热铝合金推拉门（6Low+12a+6双钢中空玻璃）的不含税材料单价为961元/㎡，同时经市场调查，5中透单银Low-E+12Ar+5+12Ar+5玻璃单价为210元/㎡，由此计算得：961-172（6Low+12a+6信息价）+210=999元/㎡；现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4.铝型材壁厚≥1.8mm的60系列铝合金平开窗（5厚中透单银Low-E+12Ar+5暖边）招标控制价内按不含税材料取定价500元/㎡计算，价格偏低；经查信息价，1.8厚60系列断热铝合金平开窗（6Low+12a+6双钢中空玻璃）的不含税材料单价为743元/㎡，经计算得：743-172+156=727元/㎡，再加玻璃暖边和玻璃中空充氩气费用约15元/㎡，则材料单价应为742元/㎡；现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5.成品防撞玻璃门/安全钢化玻璃门联窗/节能玻璃平开门/多功能户门（5中透单银Low-E+12Ar+5暖边）经查设计施工图纸均为60系列断热铝合金平开门（型材壁厚为2.2）；招标控制价按材料取定价计算，同时单价不一且单价偏低；经查信息价，2.2厚60系列断热铝合金平开门（6Low+12a+6双钢中空玻璃）的不含税材料单价为773元/㎡，经计算得：773-172+156=757元/㎡，再加玻璃暖边和玻璃中空充氩气费用约15元/㎡，则不含税材料单价应为772元/㎡；现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6.铝型材壁厚≥1.8mm的105系列断热铝合金推拉窗（5厚中透单银Low-E+12Ar+5+12Ar+5暖边），招标控制价按不含税材料取定价562.03元/㎡计算，单价偏低；经查信息价，1.8厚95系列断热铝合金推拉窗（6Low+12a+6双钢中空玻璃）的不含税材料单价为714元/㎡，同时经市场调查，5中透单银Low-E+12Ar+5+12Ar+5玻璃单价为210元/㎡，由此计算得：714-172（6Low+12a+6信息价）+210=752元/㎡；现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7.铝型材壁厚≥1.8mm的60系列断热铝合金平开窗（5+19Ar百叶+5+9Ar+5高透单银Low-E），招标控制价按不含税材料取定价800元/㎡计算，单价偏低；经查信息价，1.8厚60系列断热铝合金平开窗（6Low+12a+6双钢中空玻璃）的不含税材料单价为743元/㎡，同时经市场调查，5+19Ar百叶+5+9Ar+5高透单银Low-E玻璃的材料单价为395元/㎡，743-172+395=966元/㎡；现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8.本项目的挤塑聚苯板清单按取定材料单价计算，同时清单描述明确要求满足文件、相关规范及图纸设计要求，设计施工图地上建筑施工图通用设计说明第15.16条明确“选用的挤塑聚苯板燃烧性能不低于B1级”，但清单取定价格未按设计施工图要求计算；经查信息价，B1级的挤塑聚苯板材料不含税单价为575元/m³，故要求调整此材料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地上建筑施工图通用设计说明第15.16条参照的内容为内外保温系统及外墙装饰防火，与此做法内容相应的挤塑聚苯板价格原先已按相应信息价计入；未按B1级信息价计入的位置为（地下室侧墙保护层、基础底下褥垫层），均与内外墙保温无关，因此招标综合单价不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9.本项目的墙砖、防滑地砖、仿大理石抛光砖均要求选用马可波罗、冠珠、东鹏等国内一线品牌，材料不含税取定单价计算如下：300*300普通墙面砖50元/㎡、300*300防滑地砖50元/㎡、800*800亮光面瓷砖55元/㎡、800*800防滑地砖65元/㎡、600*600和800*800仿大理石抛光砖65元/㎡，材料单价严重低于市场单价，且本项目是采用总价下浮率进行投标，故要求调整各类墙地砖和抛光砖的取定材料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10.本项目ALC蒸压加气砼条板100厚的按不含税综合单价907.08元/m³、200厚的按不含税综合单价752.21元/m³计算，单价严重低于市场单价，经市场调查，100厚ALC条板的市场价格需950元/m³、200厚的ALC条板需1050元/m³，且本项目是采用总价下浮率进行投标，故要求调整ALC条板的取定综合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疑问11.所有品种的栏杆的取定单价均严重偏低，取定综合单价的费用无法满足施工要求，要求栏杆根据不同材料要求（重量、长度、单价等）按实组价计算，并调整综合取定价。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12.招标控制价内所有不锈钢类各种制品的取定单价与市价价格相比均严重偏低，包括飘窗空腔内5厚不锈钢挡水板（60元/m）、不锈钢草石隔离带（25元/m）、拉丝不锈钢线条30宽（40元/m）、5厚不锈钢线型隐形盖板400*190*50厚（180元/套）、5厚通长不锈钢止水钢板和5厚Z型通长不锈钢板（3858元/T）、1.2mm黑色不锈钢饰面（122.4元/㎡）等，要求各类不锈钢制品的单价与实际市场价相符；不锈钢材料可根据重量折算，如：飘窗空腔内5厚不锈钢挡水板展开宽度为0.5m，不锈钢密度7.93，5厚的不锈钢每平米重39.65Kg，不锈钢板市场价为16000元/t，则材料费为317.2元/m，同时还需增加损耗、加工费、运输费、安装费等费用，综合取定单价不少于400元/m才是正常单价，而清单仅计算了60元/m，远远不足，其他材料同理；故要求调整本清单内不锈钢制品的取定单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疑问13.所有桩基工程项目特征描述应注明自然地坪标高、桩顶标高、桩的有效长度，否则投标单位无法准确组价对比控制价（综合单价）。</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回复：场地为不规则场地，控制价计算口径为：自然地坪按照平均高程-0.59m计入，桩顶标高按照平均高程-0.59m计入，有效桩长暂按6米计入，结算按实调整。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疑问14.地下室序号第9项φ300旋挖钻机成孔灌注桩图纸标明桩全断面进入持力层深度h≥ 3.6m，而项目特征描述中入持力层深度只为0.3m，请确认。</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回复：控制价暂按1个d记取入岩深度，不作调整，结算按实调整。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疑问15.所有桩基工程项目综合单价内未计入桩基土方挖掘机装车的费用。</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w:t>
      </w:r>
      <w:r>
        <w:rPr>
          <w:rFonts w:hint="default" w:ascii="仿宋" w:hAnsi="仿宋" w:eastAsia="仿宋" w:cs="仿宋"/>
          <w:sz w:val="32"/>
          <w:szCs w:val="32"/>
          <w:lang w:val="en-US" w:eastAsia="zh-CN"/>
        </w:rPr>
        <w:t>①</w:t>
      </w:r>
      <w:r>
        <w:rPr>
          <w:rFonts w:hint="eastAsia" w:ascii="仿宋" w:hAnsi="仿宋" w:eastAsia="仿宋" w:cs="仿宋"/>
          <w:sz w:val="32"/>
          <w:szCs w:val="32"/>
          <w:lang w:val="en-US" w:eastAsia="zh-CN"/>
        </w:rPr>
        <w:t>、费用已包含在桩基工程（综合取定价：渣土运输15公里）中；</w:t>
      </w:r>
      <w:r>
        <w:rPr>
          <w:rFonts w:hint="default" w:ascii="仿宋" w:hAnsi="仿宋" w:eastAsia="仿宋" w:cs="仿宋"/>
          <w:sz w:val="32"/>
          <w:szCs w:val="32"/>
          <w:lang w:val="en-US" w:eastAsia="zh-CN"/>
        </w:rPr>
        <w:t>②</w:t>
      </w:r>
      <w:r>
        <w:rPr>
          <w:rFonts w:hint="eastAsia" w:ascii="仿宋" w:hAnsi="仿宋" w:eastAsia="仿宋" w:cs="仿宋"/>
          <w:sz w:val="32"/>
          <w:szCs w:val="32"/>
          <w:lang w:val="en-US" w:eastAsia="zh-CN"/>
        </w:rPr>
        <w:t>、桩基清单描述第10小点调整为“包含挖机装车、渣土外运费、渣土消纳费、借土回填运输费用综合单价包干”。</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疑问16.根据招标清单工程量，土石方开挖总方量为：178456.64+44614.16+25715.23+5184.49×2=259155.01m³，土石方外运总方量为：228255.29+25715.23=253970.52m³，二者工程量不一致，与编制说明第42条写明的“因场地限制，施工现场及周边无法堆放开挖土石方，开挖土石方需全部外运”相矛盾，故土石方外运工程量漏计259155.01-253970.52=5184.49m³。</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回复：控制价中开挖及弃置土石方工程量不作调整，结算按实调整。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疑问17.地下室序号第6条回填方，项目特征描述“填方来源、运距：借土回填，运距由承包人自行考虑”，经组价，综合单价未计入借土回填土方运输的价格。</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回复：借土回填土方运输费价格已包含在地下室清单第7项余方弃置内，此项价格不做调整。</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疑问18.地下室序号第110条，图纸明确：“附加防水层均采用同主防水层同厚度、同材料防水卷材”。故项目特征材料描述应为4mm厚SBS改性沥青耐根穿刺防水卷材。</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回复：文字内容相应调整。原清单描述“4.0mm厚SBS弹性体改性沥青防水卷材附加层”，调整为“4.0mm厚SBS改性沥青耐根穿刺防水卷材附加层”。</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疑问19.取定价格表中：乳胶漆、外墙乳胶漆、防霉涂料价格均按2023 年第 6 期《绍兴市建设工程造价管理信息》中档价格计入，而选用的材料品牌（立邦、嘉宝莉、三棵树）均为国内一线品牌，故上述材料价应按高档价格计入。</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回复：本项目为房开项目，招标综合单价符合市场询价，综合单价不调整，同时请投标单位结合自身采购能力等综合因素谨慎报价。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疑问20.地下室序号第155条，采光天棚综合单价为565元/㎡，材料取定价格表中第110条材料取定价也为565元/㎡，故应增加人工费、机械费、管理费、利润等费用。</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回复：以本补充公告中取定价表为准。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21.主要材料生产厂家及品牌要求表中序号1：钢材推荐了马钢、鞍钢、永钢、萍钢四个品牌，经调查马钢、鞍钢在浙江市场上几近没有，到时会对钢材采购顺畅带来影响，建议在原有四个钢材品牌的基础上再增加几个品牌。</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回复：钢材要求品牌不作调整。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22.招标控制价中地下室施工技术措施项目清单与计价表中序号3、4一般支撑架，9~23条模板子目经测算均没有计算钢管及配件来回运输、装卸费，根据工具式支撑架及模板补充定额说明第八条：未计价材料（钢管、扣件、顶托及底座）的租赁费用，分类统计部数乘以一次使用时间再乘以相应的租赁单价计算，租赁费是不包括场外运输费的。这部份费用应单独列项计算。（上部各楼情况均同）。</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回复：此项费用包含在租赁费用中，不再另计取钢管、扣件等运输及装卸费用，钢管及扣件改为材料取定价，价格不作调整，同时请投标单位结合自身采购能力等综合因素谨慎报价。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疑问23.招标控制价P401中1#楼土建施工技术措施项目清单与计价表中序号8圈梁采用高精度复合木模的综合单价与序号10圈过梁采用复合木模的综合单价是一致的，并未考虑高精度。</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回复：本项目高精度模板与普通复合模板综合单价一致，价格不作调整。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疑问24.招标控制价编制说明中第26条写明本项目均按照盘扣式钢管模板支架考虑，实际经测算发现构造柱、圈过梁等未按照工具式支撑架及模板补充定额计取。</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回复：本项目二次构件（构造柱、圈梁、过梁、窗台板、防水翻边）均按综合脚手架支撑体系考虑，综合单价不调整。</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25.材料取定价表中序号21中，钢管扣件（租赁30天）有个综合取定价，按工具式支撑架及模板补充定额说明第七条中第2点明确：模板及一般支撑架未计价材料一次使用时间按40天考虑，除有特殊要求按支撑架搭设施工方案计算外，使用时间不调整。经测算上部工程都按钢管扣件（租赁30天）计取，请问有什么依据吗？</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回复：地下室钢管扣件租赁时间按40天考虑记取，地下室顶板以上租赁时间按30天考虑记取。</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疑问26.招标文件P7第19条其他项目费暂列金额1956.6513万元（含税金）（其中标化工地增加费含税金  212.6513万元、优质工程增加费含税金/万元、其他暂列金额含税金1744万元）；暂估价含税金536.5744万元（其中材料及工程设备暂估价含税金100.5744万元、专业工程暂估价含税金436万元、专项措施暂估价含税金 /万元）；计日工 / 万元（含税金）；施工总承包服务费/ 万元（含税金）；合计2493.2257万元。可能有误，根据招标控制及暂定材料单价表统计出来的结果如下：1、暂列金额1887.9813万元（含税金）（其中标化工地增加费含税金  143.9813万元、优质工程增加费含税金 /   万元、其他暂列金额含税金1744万元）；暂估价含税金745.2432万元（其中材料及工程设备暂估价含税金240.5732万元、专业工程暂估价含税金504.67万元、专项措施暂估价含税金/ 万元）；计日工 / 万元（含税金）；施工总承包服务费/万元（含税金）；合计2633.2245万元。</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回复：以本补充公告中暂列金、暂估价金额为准。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27.招标控制价P3663中1#楼幕墙分部分项工程清单与计价表中序号3铝板幕墙、序号4铝板幕墙（曲面、异形或斜面），两者综合单价仅差369.24-383.28=14.04元/㎡，两者每平米人工费分别为75元和86.25元，可以测算出序号4铝板幕墙（曲面、异形或斜面）子目仅计取了按2018定额书下册p340中第九条第6点：曲面、异形或斜面的幕墙按相应定额子目的人工乘以系数1.15的费用，而铝板面板弧形增加费及铝板钢骨架弯弧增加费均未计入。按规定这两项费用需另计。（其余2#楼~26#楼幕墙工程中情况相同）。</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回复：此项由投标单位综合考虑，招标清单已考虑人工增加费，铝板弧形增加费考虑在材料价中，钢骨架根据节点做法，无需使用弧形，因此不增加费用。</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疑问28.地下室措施项目清单第十册3.6m以上10m以下操作高度增加费是否计入？</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回复：安装界面未超3.6m高度，综合上述本项目不增加相关费用。</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疑问29.消防水管道刷油清单调和漆增一遍~标志色环零星刷油是否计入？</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回复：已综合考虑在管道油漆清单中，不另计取。</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疑问30.地下室消防水清单序号28处消火栓DN65管道采用沟槽连接，因清单未描述含沟槽配件，管道相应沟槽配件是否计入？</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回复：序号28清单中消火栓DN65管道已包含沟槽配件，清单描述中增加沟槽配件说明。</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疑问31.地下室消防水序号65处消火栓增压稳压泵清单处描述泵为－用一备，清单计量单位为台，而清单工程量为一台，是否准确？</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回复：原清单描述错误，图纸中只有一台，清单中删除描述“一用一备”。</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疑问32.地下室强电序号52处配电箱（安装方式为挂墙明装），而清单描述名称为污水泵控制柜是否恰当，污水泵控制箱是否为设备配套只计安装费？</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回复：控制箱价格已计入污水泵设备综合单价中，此项仅计取安装费。</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疑问33.清单处低烟无卤铜芯电线电缆描述型号为WDZB2与WDZB2N信息价按什么型号计入？</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回复：参考浙江省信息价WDZBN计入。</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疑问34.1#~8#楼强电处是否漏计矿物电缆头清单工程量？</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回复：同意增加矿物电缆头清单工程量。</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疑问35.地下室强电清单序号55~58、66~68处风机控制配电箱（双电源）综合单价是否偏低？</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回复：招标综合单价符合市场询价，综合单价不作调整，同时请投标单位结合自身采购能力等综合因素谨慎报价。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疑问36.消防电源监控系统、电气火灾监控系统、防火门监控系统是否计入本招标控制价？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回复：已计入各楼栋消电分部中，此项不作调整。     </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疑问37.地下室消防电处是否漏计防火控制装置防火卷帘门调试与切断非消防电源调试清单工程量？</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回复：同意增加防火控制装置防火卷帘门调试与切断非消防电源调试清单工程量。</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疑问38.地下室暖通序号17处RXPF-CO  CO探测器综合单价是否偏低？</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疑问39.景观工程给水灌溉序号7、8、9处90°、180°、360°三种旋转射线喷嘴清单综合单价偏低且单价相同是否合理？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回复：招标综合单价符合市场询价，综合单价不调整，同时请投标单位结合自身采购能力等综合因素谨慎报价。</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疑问40.本项目招标清单内各类风机的材料单价对应招标要求品牌的材料单价整体低50%左右，消防报警设备和水泵设备及灯具低于对应品牌市场价的40-50%，因安装材料品种多，我方经选择性询价后，发现安装工程的各项材料的单价基本上都偏低，询价情况如下：</w:t>
      </w:r>
    </w:p>
    <w:tbl>
      <w:tblPr>
        <w:tblStyle w:val="7"/>
        <w:tblW w:w="8916" w:type="dxa"/>
        <w:tblInd w:w="-5" w:type="dxa"/>
        <w:tblLayout w:type="fixed"/>
        <w:tblCellMar>
          <w:top w:w="0" w:type="dxa"/>
          <w:left w:w="108" w:type="dxa"/>
          <w:bottom w:w="0" w:type="dxa"/>
          <w:right w:w="108" w:type="dxa"/>
        </w:tblCellMar>
      </w:tblPr>
      <w:tblGrid>
        <w:gridCol w:w="649"/>
        <w:gridCol w:w="2473"/>
        <w:gridCol w:w="1635"/>
        <w:gridCol w:w="741"/>
        <w:gridCol w:w="1804"/>
        <w:gridCol w:w="1614"/>
      </w:tblGrid>
      <w:tr>
        <w:tblPrEx>
          <w:tblCellMar>
            <w:top w:w="0" w:type="dxa"/>
            <w:left w:w="108" w:type="dxa"/>
            <w:bottom w:w="0" w:type="dxa"/>
            <w:right w:w="108" w:type="dxa"/>
          </w:tblCellMar>
        </w:tblPrEx>
        <w:trPr>
          <w:trHeight w:val="599" w:hRule="atLeast"/>
        </w:trPr>
        <w:tc>
          <w:tcPr>
            <w:tcW w:w="649"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序</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号</w:t>
            </w:r>
          </w:p>
        </w:tc>
        <w:tc>
          <w:tcPr>
            <w:tcW w:w="2473"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项目名称</w:t>
            </w:r>
          </w:p>
        </w:tc>
        <w:tc>
          <w:tcPr>
            <w:tcW w:w="1635"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规格</w:t>
            </w:r>
          </w:p>
        </w:tc>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单位</w:t>
            </w:r>
          </w:p>
        </w:tc>
        <w:tc>
          <w:tcPr>
            <w:tcW w:w="18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招标清单</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材料单价（元）</w:t>
            </w:r>
          </w:p>
        </w:tc>
        <w:tc>
          <w:tcPr>
            <w:tcW w:w="1614"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对应品牌询价（元）</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空调</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5匹</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套</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9560</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14800</w:t>
            </w:r>
          </w:p>
        </w:tc>
      </w:tr>
      <w:tr>
        <w:tblPrEx>
          <w:tblCellMar>
            <w:top w:w="0" w:type="dxa"/>
            <w:left w:w="108" w:type="dxa"/>
            <w:bottom w:w="0" w:type="dxa"/>
            <w:right w:w="108" w:type="dxa"/>
          </w:tblCellMar>
        </w:tblPrEx>
        <w:trPr>
          <w:trHeight w:val="418" w:hRule="atLeast"/>
        </w:trPr>
        <w:tc>
          <w:tcPr>
            <w:tcW w:w="649"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t>
            </w:r>
          </w:p>
        </w:tc>
        <w:tc>
          <w:tcPr>
            <w:tcW w:w="2473"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应急照明集中电源</w:t>
            </w:r>
          </w:p>
        </w:tc>
        <w:tc>
          <w:tcPr>
            <w:tcW w:w="1635"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500W</w:t>
            </w:r>
          </w:p>
        </w:tc>
        <w:tc>
          <w:tcPr>
            <w:tcW w:w="741"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3856</w:t>
            </w:r>
          </w:p>
        </w:tc>
        <w:tc>
          <w:tcPr>
            <w:tcW w:w="1614"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5012</w:t>
            </w:r>
          </w:p>
        </w:tc>
      </w:tr>
      <w:tr>
        <w:tblPrEx>
          <w:tblCellMar>
            <w:top w:w="0" w:type="dxa"/>
            <w:left w:w="108" w:type="dxa"/>
            <w:bottom w:w="0" w:type="dxa"/>
            <w:right w:w="108" w:type="dxa"/>
          </w:tblCellMar>
        </w:tblPrEx>
        <w:trPr>
          <w:trHeight w:val="418" w:hRule="atLeast"/>
        </w:trPr>
        <w:tc>
          <w:tcPr>
            <w:tcW w:w="649"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p>
        </w:tc>
        <w:tc>
          <w:tcPr>
            <w:tcW w:w="2473"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应急照明集中电源</w:t>
            </w:r>
          </w:p>
        </w:tc>
        <w:tc>
          <w:tcPr>
            <w:tcW w:w="1635"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1000W</w:t>
            </w:r>
          </w:p>
        </w:tc>
        <w:tc>
          <w:tcPr>
            <w:tcW w:w="741"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5500</w:t>
            </w:r>
          </w:p>
        </w:tc>
        <w:tc>
          <w:tcPr>
            <w:tcW w:w="1614" w:type="dxa"/>
            <w:tcBorders>
              <w:top w:val="single" w:color="auto" w:sz="4" w:space="0"/>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6209.5</w:t>
            </w:r>
          </w:p>
        </w:tc>
      </w:tr>
      <w:tr>
        <w:tblPrEx>
          <w:tblCellMar>
            <w:top w:w="0" w:type="dxa"/>
            <w:left w:w="108" w:type="dxa"/>
            <w:bottom w:w="0" w:type="dxa"/>
            <w:right w:w="108" w:type="dxa"/>
          </w:tblCellMar>
        </w:tblPrEx>
        <w:trPr>
          <w:trHeight w:val="599"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高密度聚乙烯HDPE双壁缠绕管</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SN8DN200</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米</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56.28</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69.78</w:t>
            </w:r>
          </w:p>
        </w:tc>
      </w:tr>
      <w:tr>
        <w:tblPrEx>
          <w:tblCellMar>
            <w:top w:w="0" w:type="dxa"/>
            <w:left w:w="108" w:type="dxa"/>
            <w:bottom w:w="0" w:type="dxa"/>
            <w:right w:w="108" w:type="dxa"/>
          </w:tblCellMar>
        </w:tblPrEx>
        <w:trPr>
          <w:trHeight w:val="599"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高密度聚乙烯HDPE双壁缠绕管</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SN8DN300</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米</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86.97</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107.84</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平座灯</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LED-1*7W</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套</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11.45</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单管LED灯</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1x18W T8</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套</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28</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35</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应急照明灯</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LED-DC36V/8W</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套</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135</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168.75</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红外感应吸顶灯</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LED-1*10W</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套</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56.8</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96.25</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10</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空气源热器</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水箱200L</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2300.88</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7798.8</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11</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空气源热器</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水箱150L</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2123.89</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7280</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12</w:t>
            </w:r>
          </w:p>
        </w:tc>
        <w:tc>
          <w:tcPr>
            <w:tcW w:w="2473"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照明箱</w:t>
            </w:r>
          </w:p>
        </w:tc>
        <w:tc>
          <w:tcPr>
            <w:tcW w:w="1635"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AL1</w:t>
            </w:r>
          </w:p>
        </w:tc>
        <w:tc>
          <w:tcPr>
            <w:tcW w:w="741"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850</w:t>
            </w:r>
          </w:p>
        </w:tc>
        <w:tc>
          <w:tcPr>
            <w:tcW w:w="1614" w:type="dxa"/>
            <w:tcBorders>
              <w:top w:val="nil"/>
              <w:left w:val="nil"/>
              <w:bottom w:val="single" w:color="auto" w:sz="4" w:space="0"/>
              <w:right w:val="single" w:color="auto" w:sz="4" w:space="0"/>
            </w:tcBorders>
            <w:shd w:val="clear" w:color="auto" w:fill="auto"/>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1918.03</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13</w:t>
            </w:r>
          </w:p>
        </w:tc>
        <w:tc>
          <w:tcPr>
            <w:tcW w:w="2473"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照明箱</w:t>
            </w:r>
          </w:p>
        </w:tc>
        <w:tc>
          <w:tcPr>
            <w:tcW w:w="1635"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AL2</w:t>
            </w:r>
          </w:p>
        </w:tc>
        <w:tc>
          <w:tcPr>
            <w:tcW w:w="741"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800</w:t>
            </w:r>
          </w:p>
        </w:tc>
        <w:tc>
          <w:tcPr>
            <w:tcW w:w="161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1931.03 </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14</w:t>
            </w:r>
          </w:p>
        </w:tc>
        <w:tc>
          <w:tcPr>
            <w:tcW w:w="2473"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照明箱</w:t>
            </w:r>
          </w:p>
        </w:tc>
        <w:tc>
          <w:tcPr>
            <w:tcW w:w="1635"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AL4</w:t>
            </w:r>
          </w:p>
        </w:tc>
        <w:tc>
          <w:tcPr>
            <w:tcW w:w="741"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850</w:t>
            </w:r>
          </w:p>
        </w:tc>
        <w:tc>
          <w:tcPr>
            <w:tcW w:w="161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1951.58 </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15</w:t>
            </w:r>
          </w:p>
        </w:tc>
        <w:tc>
          <w:tcPr>
            <w:tcW w:w="2473"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排风机控制箱</w:t>
            </w:r>
          </w:p>
        </w:tc>
        <w:tc>
          <w:tcPr>
            <w:tcW w:w="1635"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+7-APE-py1</w:t>
            </w:r>
          </w:p>
        </w:tc>
        <w:tc>
          <w:tcPr>
            <w:tcW w:w="741"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2824.7</w:t>
            </w:r>
          </w:p>
        </w:tc>
        <w:tc>
          <w:tcPr>
            <w:tcW w:w="161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3162.76 </w:t>
            </w:r>
          </w:p>
        </w:tc>
      </w:tr>
      <w:tr>
        <w:tblPrEx>
          <w:tblCellMar>
            <w:top w:w="0" w:type="dxa"/>
            <w:left w:w="108" w:type="dxa"/>
            <w:bottom w:w="0" w:type="dxa"/>
            <w:right w:w="108" w:type="dxa"/>
          </w:tblCellMar>
        </w:tblPrEx>
        <w:trPr>
          <w:trHeight w:val="418" w:hRule="atLeast"/>
        </w:trPr>
        <w:tc>
          <w:tcPr>
            <w:tcW w:w="649" w:type="dxa"/>
            <w:tcBorders>
              <w:top w:val="nil"/>
              <w:left w:val="single" w:color="auto" w:sz="4" w:space="0"/>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16</w:t>
            </w:r>
          </w:p>
        </w:tc>
        <w:tc>
          <w:tcPr>
            <w:tcW w:w="2473"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排风机控制箱</w:t>
            </w:r>
          </w:p>
        </w:tc>
        <w:tc>
          <w:tcPr>
            <w:tcW w:w="1635"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-C1APE-py1</w:t>
            </w:r>
          </w:p>
        </w:tc>
        <w:tc>
          <w:tcPr>
            <w:tcW w:w="741"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3986.62</w:t>
            </w:r>
          </w:p>
        </w:tc>
        <w:tc>
          <w:tcPr>
            <w:tcW w:w="161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1708.55 </w:t>
            </w:r>
          </w:p>
        </w:tc>
      </w:tr>
      <w:tr>
        <w:tblPrEx>
          <w:tblCellMar>
            <w:top w:w="0" w:type="dxa"/>
            <w:left w:w="108" w:type="dxa"/>
            <w:bottom w:w="0" w:type="dxa"/>
            <w:right w:w="108" w:type="dxa"/>
          </w:tblCellMar>
        </w:tblPrEx>
        <w:trPr>
          <w:trHeight w:val="468" w:hRule="atLeast"/>
        </w:trPr>
        <w:tc>
          <w:tcPr>
            <w:tcW w:w="649" w:type="dxa"/>
            <w:tcBorders>
              <w:top w:val="nil"/>
              <w:left w:val="single" w:color="auto" w:sz="4" w:space="0"/>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17</w:t>
            </w:r>
          </w:p>
        </w:tc>
        <w:tc>
          <w:tcPr>
            <w:tcW w:w="2473"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排风机控制箱</w:t>
            </w:r>
          </w:p>
        </w:tc>
        <w:tc>
          <w:tcPr>
            <w:tcW w:w="1635"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+1-APE-py2</w:t>
            </w:r>
          </w:p>
        </w:tc>
        <w:tc>
          <w:tcPr>
            <w:tcW w:w="741"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台</w:t>
            </w:r>
          </w:p>
        </w:tc>
        <w:tc>
          <w:tcPr>
            <w:tcW w:w="180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4542</w:t>
            </w:r>
          </w:p>
        </w:tc>
        <w:tc>
          <w:tcPr>
            <w:tcW w:w="1614" w:type="dxa"/>
            <w:tcBorders>
              <w:top w:val="nil"/>
              <w:left w:val="nil"/>
              <w:bottom w:val="single" w:color="auto" w:sz="4" w:space="0"/>
              <w:right w:val="single" w:color="auto" w:sz="4" w:space="0"/>
            </w:tcBorders>
            <w:shd w:val="clear" w:color="auto" w:fill="FFFFFF" w:themeFill="background1"/>
            <w:noWrap/>
            <w:vAlign w:val="center"/>
          </w:tcPr>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4880.28 </w:t>
            </w:r>
          </w:p>
        </w:tc>
      </w:tr>
    </w:tbl>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上述各项材料价格严重低于市场价，已影响工程的正常施工，为避免工程施工时双方矛盾，确保工程顺利施工，建议建设单位、招标代理机构进行严格的市场询价，并根据询价结果确定各类材料的招标价格（定价时应考虑本工程采用总价下浮的费用）。</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回复：招标控制价中涉及以上子项的综合单价符合市场询价，价格不作调整，同时请投标单位结合自身采购能力等综合因素谨慎报价。</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疑问41.本项目的电梯工程未计增值税金，且电梯的那家远低于招标要求的市场价格，且招标价格还需要进行下浮，招标价格无法施工，请建设单位和招标代理机构按招标要求品牌进行严格询价，避免在施工时双方矛盾。</w:t>
      </w:r>
    </w:p>
    <w:p>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回复：招标综合单价符合市场询价，综合单价不予调整，同时请投标单位结合自身采购能力等综合因素谨慎报价。</w:t>
      </w:r>
    </w:p>
    <w:p>
      <w:pPr>
        <w:rPr>
          <w:rFonts w:hint="eastAsia"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本补充公告及其附件作为招标文件的组成部分，与招标文件具有同等效力。</w:t>
      </w:r>
    </w:p>
    <w:p>
      <w:pPr>
        <w:rPr>
          <w:rFonts w:hint="default"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招标人：诸暨市典正项目管理有限公司</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招标代理机构：浙江省成套工程有限公司</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2023年7月28日</w:t>
      </w:r>
    </w:p>
    <w:p>
      <w:pPr>
        <w:spacing w:line="440" w:lineRule="exact"/>
        <w:rPr>
          <w:color w:val="auto"/>
          <w:sz w:val="24"/>
          <w:szCs w:val="24"/>
        </w:rPr>
      </w:pPr>
    </w:p>
    <w:p>
      <w:pPr>
        <w:rPr>
          <w:color w:val="auto"/>
          <w:sz w:val="28"/>
          <w:szCs w:val="28"/>
        </w:rPr>
      </w:pPr>
      <w:r>
        <w:rPr>
          <w:rFonts w:hint="eastAsia"/>
          <w:color w:val="auto"/>
          <w:sz w:val="24"/>
          <w:szCs w:val="24"/>
          <w:lang w:eastAsia="zh-CN"/>
        </w:rPr>
        <w:t>　　</w:t>
      </w:r>
    </w:p>
    <w:sectPr>
      <w:footerReference r:id="rId3" w:type="default"/>
      <w:pgSz w:w="11906" w:h="16838"/>
      <w:pgMar w:top="1440" w:right="1519" w:bottom="1440" w:left="1519"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zOWQ5ZTMxOTNhNDllNzhjYzdiMjU4ZDljYTQxYmQifQ=="/>
  </w:docVars>
  <w:rsids>
    <w:rsidRoot w:val="00E872E3"/>
    <w:rsid w:val="001B7CFB"/>
    <w:rsid w:val="002172D4"/>
    <w:rsid w:val="00234A03"/>
    <w:rsid w:val="00236927"/>
    <w:rsid w:val="00286448"/>
    <w:rsid w:val="00313FC1"/>
    <w:rsid w:val="00382AED"/>
    <w:rsid w:val="00426ABC"/>
    <w:rsid w:val="004826AD"/>
    <w:rsid w:val="0048446B"/>
    <w:rsid w:val="00491EDC"/>
    <w:rsid w:val="00510772"/>
    <w:rsid w:val="00516314"/>
    <w:rsid w:val="0055471D"/>
    <w:rsid w:val="0062192F"/>
    <w:rsid w:val="006248A8"/>
    <w:rsid w:val="0062780F"/>
    <w:rsid w:val="00700F28"/>
    <w:rsid w:val="0078334F"/>
    <w:rsid w:val="00950DB5"/>
    <w:rsid w:val="009D1939"/>
    <w:rsid w:val="009D299F"/>
    <w:rsid w:val="00AB529A"/>
    <w:rsid w:val="00B32E20"/>
    <w:rsid w:val="00B512F5"/>
    <w:rsid w:val="00C873F4"/>
    <w:rsid w:val="00CC2530"/>
    <w:rsid w:val="00D42280"/>
    <w:rsid w:val="00D42B97"/>
    <w:rsid w:val="00D46B12"/>
    <w:rsid w:val="00E1293B"/>
    <w:rsid w:val="00E21298"/>
    <w:rsid w:val="00E32BFC"/>
    <w:rsid w:val="00E872E3"/>
    <w:rsid w:val="00F463CE"/>
    <w:rsid w:val="00FC3B20"/>
    <w:rsid w:val="03190565"/>
    <w:rsid w:val="0553189E"/>
    <w:rsid w:val="05E37FE8"/>
    <w:rsid w:val="07310E12"/>
    <w:rsid w:val="0A612201"/>
    <w:rsid w:val="12744159"/>
    <w:rsid w:val="1867233F"/>
    <w:rsid w:val="1C215D0A"/>
    <w:rsid w:val="2039253E"/>
    <w:rsid w:val="24D0591D"/>
    <w:rsid w:val="265605FB"/>
    <w:rsid w:val="370B4C5B"/>
    <w:rsid w:val="373A7AC4"/>
    <w:rsid w:val="383256C0"/>
    <w:rsid w:val="389D2C73"/>
    <w:rsid w:val="3ACA3C80"/>
    <w:rsid w:val="3F026FED"/>
    <w:rsid w:val="3F652D87"/>
    <w:rsid w:val="49062A51"/>
    <w:rsid w:val="49E710B6"/>
    <w:rsid w:val="4AF26284"/>
    <w:rsid w:val="4B7C0820"/>
    <w:rsid w:val="4E367415"/>
    <w:rsid w:val="517C2E55"/>
    <w:rsid w:val="59CB0896"/>
    <w:rsid w:val="5EEB4C0E"/>
    <w:rsid w:val="5F681281"/>
    <w:rsid w:val="6207368C"/>
    <w:rsid w:val="67976485"/>
    <w:rsid w:val="69580CF8"/>
    <w:rsid w:val="6C297CEA"/>
    <w:rsid w:val="6C5E575E"/>
    <w:rsid w:val="6C7748D6"/>
    <w:rsid w:val="6CE0294C"/>
    <w:rsid w:val="737F2425"/>
    <w:rsid w:val="75427040"/>
    <w:rsid w:val="79B8725C"/>
    <w:rsid w:val="79CE0777"/>
    <w:rsid w:val="7F246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footer"/>
    <w:basedOn w:val="1"/>
    <w:link w:val="12"/>
    <w:semiHidden/>
    <w:unhideWhenUsed/>
    <w:qFormat/>
    <w:uiPriority w:val="99"/>
    <w:pPr>
      <w:tabs>
        <w:tab w:val="center" w:pos="4153"/>
        <w:tab w:val="right" w:pos="8306"/>
      </w:tabs>
      <w:snapToGrid w:val="0"/>
      <w:jc w:val="left"/>
    </w:pPr>
    <w:rPr>
      <w:sz w:val="18"/>
      <w:szCs w:val="18"/>
    </w:rPr>
  </w:style>
  <w:style w:type="paragraph" w:styleId="5">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character" w:customStyle="1" w:styleId="11">
    <w:name w:val="页眉 Char"/>
    <w:basedOn w:val="9"/>
    <w:link w:val="5"/>
    <w:semiHidden/>
    <w:qFormat/>
    <w:uiPriority w:val="99"/>
    <w:rPr>
      <w:sz w:val="18"/>
      <w:szCs w:val="18"/>
    </w:rPr>
  </w:style>
  <w:style w:type="character" w:customStyle="1" w:styleId="12">
    <w:name w:val="页脚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167</Words>
  <Characters>953</Characters>
  <Lines>7</Lines>
  <Paragraphs>2</Paragraphs>
  <TotalTime>0</TotalTime>
  <ScaleCrop>false</ScaleCrop>
  <LinksUpToDate>false</LinksUpToDate>
  <CharactersWithSpaces>1118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2022-01-17T06:05:00Z</dcterms:created>
  <dc:creator>lenovo</dc:creator>
  <cp:lastModifiedBy>陈炯海</cp:lastModifiedBy>
  <cp:lastPrinted>2023-07-31T01:47:32Z</cp:lastPrinted>
  <dcterms:modified xsi:type="dcterms:W3CDTF">2023-07-31T01:48:59Z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A8244C90E5504313A1CB28AFCF323287_13</vt:lpwstr>
  </property>
</Properties>
</file>