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4"/>
      <w:bookmarkStart w:id="1" w:name="OLE_LINK3"/>
      <w:bookmarkStart w:id="2" w:name="_Toc29367"/>
      <w:bookmarkStart w:id="3" w:name="_Toc24088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诸暨市浬浦镇</w:t>
      </w:r>
      <w:bookmarkEnd w:id="0"/>
      <w:bookmarkEnd w:id="1"/>
      <w:bookmarkStart w:id="4" w:name="OLE_LINK1"/>
      <w:bookmarkStart w:id="5" w:name="OLE_LINK2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枫林村产权交易发包</w:t>
      </w:r>
      <w:bookmarkEnd w:id="4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项目</w:t>
      </w:r>
    </w:p>
    <w:bookmarkEnd w:id="5"/>
    <w:p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诸暨市浬浦镇枫林村股份经济合作社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诸暨市浬浦镇枫林村产权交易发包项目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枫林村下沙滩集体田租赁承包发包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3000元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800" w:firstLineChars="4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下沙滩集体田约17亩（招标后双方实地丈量为准），租赁承包，承包期5年，（2026年1月-2030年12月底止），租金每年一缴，报名者缴押金3000元，中标者自动转为履约保证金。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黄文光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 xml:space="preserve"> 13735355551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bookmarkStart w:id="6" w:name="_GoBack"/>
      <w:bookmarkEnd w:id="6"/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竞价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保证金银行缴款单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（原件）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竞价保证金：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3000元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。中标后自动转为履约保证金，承包期满后无息退还。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枫林村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8、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snapToGrid w:val="0"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lang w:eastAsia="zh-CN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>保证金：</w:t>
      </w:r>
      <w:r>
        <w:rPr>
          <w:rFonts w:hint="eastAsia" w:ascii="仿宋_GB2312" w:hAnsi="仿宋_GB2312" w:eastAsia="仿宋_GB2312"/>
          <w:b/>
          <w:bCs/>
          <w:color w:val="auto"/>
          <w:sz w:val="28"/>
          <w:lang w:val="en-US" w:eastAsia="zh-CN"/>
        </w:rPr>
        <w:t>3000元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银行：诸暨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农商银行浬浦支行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 账户：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浬浦镇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枫林村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股份经济合作社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default"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账号：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201000032635282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7、本次竞价不接受电话、邮寄、口头等方式报名或竞价。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2026年2月5日下午15时30分（逾时视为弃权）。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诸暨市浬浦镇枫林村股份经济合作社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color w:val="0000FF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  <w:color w:val="0000FF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>
      <w:pPr>
        <w:pStyle w:val="2"/>
        <w:spacing w:line="560" w:lineRule="exact"/>
        <w:jc w:val="both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2"/>
      <w:bookmarkEnd w:id="3"/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浬浦镇枫林村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诸暨市浬浦镇枫林村产权交易发包项目，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诸暨市浬浦镇枫林村产权交易发包项目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浬浦镇枫林村村部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浬浦镇枫林村股份经济合作社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诸暨市浬浦镇枫林村产权发包项目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2月5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15：30分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、身份证原件、竞价保证金银行缴款单复印件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6年2月5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15时30分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诸暨市浬浦镇枫林村股份经济合作社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27日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诸暨市浬浦镇枫林村产权发包项目（</w:t>
      </w:r>
      <w:r>
        <w:rPr>
          <w:rFonts w:hint="eastAsia" w:ascii="仿宋_GB2312" w:eastAsia="仿宋_GB2312"/>
          <w:sz w:val="28"/>
          <w:lang w:val="en-US" w:eastAsia="zh-CN"/>
        </w:rPr>
        <w:t>红李基地</w:t>
      </w:r>
      <w:r>
        <w:rPr>
          <w:rFonts w:hint="eastAsia" w:ascii="仿宋_GB2312" w:eastAsia="仿宋_GB2312"/>
          <w:sz w:val="28"/>
          <w:lang w:eastAsia="zh-CN"/>
        </w:rPr>
        <w:t>）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8"/>
          <w:lang w:eastAsia="zh-CN"/>
        </w:rPr>
        <w:t>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2月5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15时30分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镇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枫林村产权交易发包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项目发包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叁仟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枫林村产权交易发包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/>
                <w:sz w:val="24"/>
                <w:lang w:eastAsia="zh-CN"/>
              </w:rPr>
              <w:t>诸暨市浬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枫林村产权交易发包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>
      <w:pPr>
        <w:rPr>
          <w:rFonts w:hint="eastAsia"/>
          <w:sz w:val="44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  <w:lang w:val="en-US" w:eastAsia="zh-CN"/>
        </w:rPr>
        <w:t>枫林村产权交易发包项目</w:t>
      </w:r>
      <w:r>
        <w:rPr>
          <w:rFonts w:hint="eastAsia"/>
          <w:sz w:val="38"/>
          <w:szCs w:val="44"/>
        </w:rPr>
        <w:t>竞价报价单</w:t>
      </w:r>
    </w:p>
    <w:p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2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5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枫林村产权交易发包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240" w:lineRule="exact"/>
        <w:rPr>
          <w:rFonts w:hint="eastAsia" w:ascii="宋体"/>
        </w:rPr>
      </w:pPr>
    </w:p>
    <w:p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68022C4"/>
    <w:rsid w:val="19BC781C"/>
    <w:rsid w:val="1A107C61"/>
    <w:rsid w:val="1F001CA6"/>
    <w:rsid w:val="25DD3F6C"/>
    <w:rsid w:val="26C34A5F"/>
    <w:rsid w:val="274565DC"/>
    <w:rsid w:val="2DF03153"/>
    <w:rsid w:val="31700D70"/>
    <w:rsid w:val="32147EFA"/>
    <w:rsid w:val="3364345F"/>
    <w:rsid w:val="362D66A7"/>
    <w:rsid w:val="3CB420B5"/>
    <w:rsid w:val="42586BED"/>
    <w:rsid w:val="44AC2B15"/>
    <w:rsid w:val="485F398F"/>
    <w:rsid w:val="4DBDCA50"/>
    <w:rsid w:val="552A59D6"/>
    <w:rsid w:val="5B7FBD8F"/>
    <w:rsid w:val="5C753FBD"/>
    <w:rsid w:val="5E2D1110"/>
    <w:rsid w:val="5EFEF7BA"/>
    <w:rsid w:val="64322C54"/>
    <w:rsid w:val="64C8368F"/>
    <w:rsid w:val="65A83AAE"/>
    <w:rsid w:val="6B965D8F"/>
    <w:rsid w:val="6CB22E34"/>
    <w:rsid w:val="6EBB73D3"/>
    <w:rsid w:val="6ECAADB9"/>
    <w:rsid w:val="96E40349"/>
    <w:rsid w:val="BDFD9F5C"/>
    <w:rsid w:val="E3F5D42F"/>
    <w:rsid w:val="EDBD1060"/>
    <w:rsid w:val="FE3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2024-05-31T08:42:00Z</dcterms:created>
  <dc:creator>Administrator</dc:creator>
  <cp:lastModifiedBy>占媛</cp:lastModifiedBy>
  <cp:lastPrinted>2025-04-14T07:47:00Z</cp:lastPrinted>
  <dcterms:modified xsi:type="dcterms:W3CDTF">2026-01-27T07:17:13Z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D8C870A20D10479084EF221C057B6A00</vt:lpwstr>
  </property>
</Properties>
</file>