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04C92">
      <w:pPr>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eastAsia="zh-CN"/>
        </w:rPr>
        <w:t>诸暨市浣东街道办事处2026年度政府采购代理机构入围项目</w:t>
      </w:r>
    </w:p>
    <w:p w14:paraId="3A1B6847">
      <w:pPr>
        <w:spacing w:line="500" w:lineRule="exact"/>
        <w:jc w:val="center"/>
        <w:rPr>
          <w:rFonts w:ascii="宋体" w:hAnsi="宋体" w:cs="宋体"/>
          <w:color w:val="auto"/>
          <w:sz w:val="32"/>
        </w:rPr>
      </w:pPr>
    </w:p>
    <w:p w14:paraId="405753CA">
      <w:pPr>
        <w:jc w:val="center"/>
        <w:rPr>
          <w:rFonts w:ascii="宋体" w:hAnsi="宋体" w:cs="宋体"/>
          <w:color w:val="auto"/>
          <w:sz w:val="84"/>
        </w:rPr>
      </w:pPr>
    </w:p>
    <w:p w14:paraId="51D1BB65">
      <w:pPr>
        <w:jc w:val="center"/>
        <w:rPr>
          <w:rFonts w:ascii="宋体" w:hAnsi="宋体" w:cs="宋体"/>
          <w:color w:val="auto"/>
          <w:sz w:val="80"/>
          <w:szCs w:val="80"/>
        </w:rPr>
      </w:pPr>
      <w:r>
        <w:rPr>
          <w:rFonts w:hint="eastAsia" w:ascii="宋体" w:hAnsi="宋体" w:cs="宋体"/>
          <w:color w:val="auto"/>
          <w:sz w:val="80"/>
          <w:szCs w:val="80"/>
        </w:rPr>
        <w:t>入　</w:t>
      </w:r>
    </w:p>
    <w:p w14:paraId="101BABE3">
      <w:pPr>
        <w:jc w:val="center"/>
        <w:rPr>
          <w:rFonts w:ascii="宋体" w:hAnsi="宋体" w:cs="宋体"/>
          <w:color w:val="auto"/>
          <w:sz w:val="80"/>
          <w:szCs w:val="80"/>
        </w:rPr>
      </w:pPr>
      <w:r>
        <w:rPr>
          <w:rFonts w:hint="eastAsia" w:ascii="宋体" w:hAnsi="宋体" w:cs="宋体"/>
          <w:color w:val="auto"/>
          <w:sz w:val="80"/>
          <w:szCs w:val="80"/>
        </w:rPr>
        <w:t>围　</w:t>
      </w:r>
    </w:p>
    <w:p w14:paraId="04EDE310">
      <w:pPr>
        <w:jc w:val="center"/>
        <w:rPr>
          <w:rFonts w:ascii="宋体" w:hAnsi="宋体" w:cs="宋体"/>
          <w:color w:val="auto"/>
          <w:sz w:val="80"/>
          <w:szCs w:val="80"/>
        </w:rPr>
      </w:pPr>
      <w:r>
        <w:rPr>
          <w:rFonts w:hint="eastAsia" w:ascii="宋体" w:hAnsi="宋体" w:cs="宋体"/>
          <w:color w:val="auto"/>
          <w:sz w:val="80"/>
          <w:szCs w:val="80"/>
        </w:rPr>
        <w:t>招</w:t>
      </w:r>
    </w:p>
    <w:p w14:paraId="482C8DD6">
      <w:pPr>
        <w:jc w:val="center"/>
        <w:rPr>
          <w:rFonts w:ascii="宋体" w:hAnsi="宋体" w:cs="宋体"/>
          <w:color w:val="auto"/>
          <w:sz w:val="80"/>
          <w:szCs w:val="80"/>
        </w:rPr>
      </w:pPr>
      <w:r>
        <w:rPr>
          <w:rFonts w:hint="eastAsia" w:ascii="宋体" w:hAnsi="宋体" w:cs="宋体"/>
          <w:color w:val="auto"/>
          <w:sz w:val="80"/>
          <w:szCs w:val="80"/>
        </w:rPr>
        <w:t>标</w:t>
      </w:r>
    </w:p>
    <w:p w14:paraId="1CECA9E6">
      <w:pPr>
        <w:jc w:val="center"/>
        <w:rPr>
          <w:rFonts w:ascii="宋体" w:hAnsi="宋体" w:cs="宋体"/>
          <w:color w:val="auto"/>
          <w:sz w:val="80"/>
          <w:szCs w:val="80"/>
        </w:rPr>
      </w:pPr>
      <w:r>
        <w:rPr>
          <w:rFonts w:hint="eastAsia" w:ascii="宋体" w:hAnsi="宋体" w:cs="宋体"/>
          <w:color w:val="auto"/>
          <w:sz w:val="80"/>
          <w:szCs w:val="80"/>
        </w:rPr>
        <w:t>文　</w:t>
      </w:r>
    </w:p>
    <w:p w14:paraId="6243B3B1">
      <w:pPr>
        <w:jc w:val="center"/>
        <w:rPr>
          <w:rFonts w:ascii="宋体" w:hAnsi="宋体" w:cs="宋体"/>
          <w:color w:val="auto"/>
          <w:sz w:val="84"/>
        </w:rPr>
      </w:pPr>
      <w:r>
        <w:rPr>
          <w:rFonts w:hint="eastAsia" w:ascii="宋体" w:hAnsi="宋体" w:cs="宋体"/>
          <w:color w:val="auto"/>
          <w:sz w:val="80"/>
          <w:szCs w:val="80"/>
        </w:rPr>
        <w:t>件</w:t>
      </w:r>
    </w:p>
    <w:p w14:paraId="487EF194">
      <w:pPr>
        <w:spacing w:line="500" w:lineRule="exact"/>
        <w:rPr>
          <w:rFonts w:ascii="宋体" w:hAnsi="宋体" w:cs="宋体"/>
          <w:color w:val="auto"/>
          <w:sz w:val="32"/>
        </w:rPr>
      </w:pPr>
    </w:p>
    <w:p w14:paraId="32C3B6E7">
      <w:pPr>
        <w:spacing w:line="500" w:lineRule="exact"/>
        <w:jc w:val="center"/>
        <w:rPr>
          <w:rFonts w:ascii="宋体" w:hAnsi="宋体" w:cs="宋体"/>
          <w:color w:val="auto"/>
          <w:sz w:val="32"/>
        </w:rPr>
      </w:pPr>
    </w:p>
    <w:p w14:paraId="6E353E1A">
      <w:pPr>
        <w:widowControl/>
        <w:spacing w:line="360" w:lineRule="auto"/>
        <w:ind w:firstLine="1205" w:firstLineChars="400"/>
        <w:rPr>
          <w:rFonts w:hint="eastAsia" w:ascii="宋体" w:hAnsi="宋体" w:cs="宋体"/>
          <w:b/>
          <w:color w:val="auto"/>
          <w:sz w:val="30"/>
          <w:szCs w:val="30"/>
          <w:u w:val="single"/>
        </w:rPr>
      </w:pPr>
      <w:r>
        <w:rPr>
          <w:rFonts w:hint="eastAsia" w:ascii="宋体" w:hAnsi="宋体" w:cs="宋体"/>
          <w:b/>
          <w:color w:val="auto"/>
          <w:sz w:val="30"/>
          <w:szCs w:val="30"/>
        </w:rPr>
        <w:t>招 标 人</w:t>
      </w:r>
      <w:r>
        <w:rPr>
          <w:rFonts w:hint="eastAsia" w:ascii="宋体" w:hAnsi="宋体" w:cs="宋体"/>
          <w:color w:val="auto"/>
          <w:sz w:val="30"/>
          <w:szCs w:val="30"/>
        </w:rPr>
        <w:t>：</w:t>
      </w:r>
      <w:r>
        <w:rPr>
          <w:rFonts w:hint="eastAsia" w:ascii="宋体" w:hAnsi="宋体" w:cs="宋体"/>
          <w:b/>
          <w:color w:val="auto"/>
          <w:sz w:val="30"/>
          <w:szCs w:val="30"/>
          <w:u w:val="single"/>
          <w:lang w:eastAsia="zh-CN"/>
        </w:rPr>
        <w:t>诸暨市人民政府浣东街道办事处</w:t>
      </w:r>
    </w:p>
    <w:p w14:paraId="3727D24E">
      <w:pPr>
        <w:spacing w:beforeLines="50" w:afterLines="50" w:line="420" w:lineRule="exact"/>
        <w:ind w:firstLine="1205" w:firstLineChars="400"/>
        <w:rPr>
          <w:rFonts w:ascii="宋体" w:hAnsi="宋体" w:cs="宋体"/>
          <w:b/>
          <w:color w:val="auto"/>
          <w:sz w:val="30"/>
          <w:szCs w:val="30"/>
          <w:u w:val="single"/>
        </w:rPr>
      </w:pPr>
      <w:r>
        <w:rPr>
          <w:rFonts w:hint="eastAsia" w:ascii="宋体" w:hAnsi="宋体" w:cs="宋体"/>
          <w:b/>
          <w:color w:val="auto"/>
          <w:sz w:val="30"/>
          <w:szCs w:val="30"/>
        </w:rPr>
        <w:t>编制日期：</w:t>
      </w:r>
      <w:r>
        <w:rPr>
          <w:rFonts w:hint="eastAsia" w:ascii="宋体" w:hAnsi="宋体" w:cs="宋体"/>
          <w:b/>
          <w:color w:val="auto"/>
          <w:sz w:val="30"/>
          <w:szCs w:val="30"/>
          <w:u w:val="single"/>
        </w:rPr>
        <w:t>二○二</w:t>
      </w:r>
      <w:r>
        <w:rPr>
          <w:rFonts w:hint="eastAsia" w:ascii="宋体" w:hAnsi="宋体" w:cs="宋体"/>
          <w:b/>
          <w:color w:val="auto"/>
          <w:sz w:val="30"/>
          <w:szCs w:val="30"/>
          <w:u w:val="single"/>
          <w:lang w:val="en-US" w:eastAsia="zh-CN"/>
        </w:rPr>
        <w:t>六</w:t>
      </w:r>
      <w:r>
        <w:rPr>
          <w:rFonts w:hint="eastAsia" w:ascii="宋体" w:hAnsi="宋体" w:cs="宋体"/>
          <w:b/>
          <w:color w:val="auto"/>
          <w:sz w:val="30"/>
          <w:szCs w:val="30"/>
          <w:u w:val="single"/>
        </w:rPr>
        <w:t>年</w:t>
      </w:r>
      <w:r>
        <w:rPr>
          <w:rFonts w:hint="eastAsia" w:ascii="宋体" w:hAnsi="宋体" w:cs="宋体"/>
          <w:b/>
          <w:color w:val="auto"/>
          <w:sz w:val="30"/>
          <w:szCs w:val="30"/>
          <w:u w:val="single"/>
          <w:lang w:val="en-US" w:eastAsia="zh-CN"/>
        </w:rPr>
        <w:t>三</w:t>
      </w:r>
      <w:r>
        <w:rPr>
          <w:rFonts w:hint="eastAsia" w:ascii="宋体" w:hAnsi="宋体" w:cs="宋体"/>
          <w:b/>
          <w:color w:val="auto"/>
          <w:sz w:val="30"/>
          <w:szCs w:val="30"/>
          <w:u w:val="single"/>
        </w:rPr>
        <w:t>月</w:t>
      </w:r>
    </w:p>
    <w:p w14:paraId="165FDD9B">
      <w:pPr>
        <w:spacing w:line="360" w:lineRule="auto"/>
        <w:jc w:val="center"/>
        <w:rPr>
          <w:rFonts w:ascii="宋体" w:hAnsi="宋体" w:cs="宋体"/>
          <w:color w:val="auto"/>
          <w:sz w:val="44"/>
        </w:rPr>
      </w:pPr>
      <w:bookmarkStart w:id="0" w:name="OLE_LINK3"/>
      <w:bookmarkStart w:id="1" w:name="OLE_LINK5"/>
      <w:bookmarkStart w:id="2" w:name="OLE_LINK2"/>
      <w:bookmarkStart w:id="3" w:name="OLE_LINK4"/>
      <w:bookmarkStart w:id="4" w:name="OLE_LINK1"/>
      <w:bookmarkStart w:id="5" w:name="OLE_LINK6"/>
    </w:p>
    <w:p w14:paraId="71FC5647">
      <w:pPr>
        <w:pStyle w:val="2"/>
        <w:sectPr>
          <w:headerReference r:id="rId4" w:type="first"/>
          <w:headerReference r:id="rId3" w:type="default"/>
          <w:pgSz w:w="11906" w:h="16838"/>
          <w:pgMar w:top="1134" w:right="1286" w:bottom="1134" w:left="1380" w:header="851" w:footer="992" w:gutter="0"/>
          <w:pgNumType w:start="0"/>
          <w:cols w:space="720" w:num="1"/>
          <w:titlePg/>
          <w:docGrid w:type="lines" w:linePitch="312" w:charSpace="0"/>
        </w:sectPr>
      </w:pPr>
    </w:p>
    <w:bookmarkEnd w:id="0"/>
    <w:bookmarkEnd w:id="1"/>
    <w:bookmarkEnd w:id="2"/>
    <w:bookmarkEnd w:id="3"/>
    <w:bookmarkEnd w:id="4"/>
    <w:bookmarkEnd w:id="5"/>
    <w:p w14:paraId="320E9E74">
      <w:pPr>
        <w:pStyle w:val="5"/>
        <w:spacing w:before="0" w:afterLines="100" w:line="360" w:lineRule="auto"/>
        <w:jc w:val="center"/>
        <w:rPr>
          <w:rFonts w:ascii="宋体" w:hAnsi="宋体" w:cs="宋体"/>
          <w:b/>
          <w:color w:val="auto"/>
          <w:sz w:val="24"/>
        </w:rPr>
      </w:pPr>
      <w:bookmarkStart w:id="6" w:name="_Toc125344501"/>
      <w:r>
        <w:rPr>
          <w:rFonts w:hint="eastAsia" w:ascii="宋体" w:hAnsi="宋体" w:cs="宋体"/>
          <w:color w:val="auto"/>
          <w:sz w:val="36"/>
          <w:szCs w:val="36"/>
        </w:rPr>
        <w:t xml:space="preserve">第一章  </w:t>
      </w:r>
      <w:bookmarkEnd w:id="6"/>
      <w:bookmarkStart w:id="36" w:name="_GoBack"/>
      <w:r>
        <w:rPr>
          <w:rFonts w:hint="eastAsia" w:ascii="宋体" w:hAnsi="宋体" w:cs="宋体"/>
          <w:color w:val="auto"/>
          <w:sz w:val="36"/>
          <w:szCs w:val="36"/>
        </w:rPr>
        <w:t>入围公告</w:t>
      </w:r>
    </w:p>
    <w:p w14:paraId="7467BB4A">
      <w:pPr>
        <w:pStyle w:val="11"/>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kern w:val="0"/>
          <w:szCs w:val="24"/>
        </w:rPr>
      </w:pPr>
      <w:r>
        <w:rPr>
          <w:rFonts w:hint="eastAsia" w:ascii="宋体" w:hAnsi="宋体" w:cs="宋体"/>
          <w:color w:val="auto"/>
          <w:szCs w:val="24"/>
        </w:rPr>
        <w:t>根据相关法律法规及</w:t>
      </w:r>
      <w:r>
        <w:rPr>
          <w:rFonts w:hint="eastAsia" w:ascii="宋体" w:hAnsi="宋体" w:cs="宋体"/>
          <w:color w:val="auto"/>
          <w:szCs w:val="24"/>
          <w:lang w:eastAsia="zh-CN"/>
        </w:rPr>
        <w:t>诸暨市人民政府浣东街道办事处</w:t>
      </w:r>
      <w:r>
        <w:rPr>
          <w:rFonts w:hint="eastAsia" w:ascii="宋体" w:hAnsi="宋体" w:cs="宋体"/>
          <w:color w:val="auto"/>
          <w:szCs w:val="24"/>
        </w:rPr>
        <w:t>要求，需要入围一批采购代理机构负责本单位采购项目的招标代理活动。现将有关事项公告如下：</w:t>
      </w:r>
    </w:p>
    <w:p w14:paraId="719077B5">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宋体" w:hAnsi="宋体" w:eastAsia="宋体" w:cs="宋体"/>
          <w:b/>
          <w:color w:val="auto"/>
          <w:sz w:val="24"/>
          <w:lang w:eastAsia="zh-CN"/>
        </w:rPr>
      </w:pPr>
      <w:r>
        <w:rPr>
          <w:rFonts w:hint="eastAsia" w:ascii="宋体" w:hAnsi="宋体" w:cs="宋体"/>
          <w:b/>
          <w:color w:val="auto"/>
          <w:sz w:val="24"/>
        </w:rPr>
        <w:t>一、入围名称：</w:t>
      </w:r>
      <w:r>
        <w:rPr>
          <w:rFonts w:hint="eastAsia" w:ascii="宋体" w:hAnsi="宋体" w:cs="宋体"/>
          <w:b/>
          <w:color w:val="auto"/>
          <w:sz w:val="24"/>
          <w:lang w:eastAsia="zh-CN"/>
        </w:rPr>
        <w:t>诸暨市浣东街道办事处2026年度政府采购代理机构入围项目</w:t>
      </w:r>
    </w:p>
    <w:p w14:paraId="2EED1739">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ascii="宋体" w:hAnsi="宋体" w:cs="宋体"/>
          <w:b/>
          <w:color w:val="auto"/>
          <w:sz w:val="24"/>
        </w:rPr>
      </w:pPr>
      <w:r>
        <w:rPr>
          <w:rFonts w:hint="eastAsia" w:ascii="宋体" w:hAnsi="宋体" w:cs="宋体"/>
          <w:b/>
          <w:color w:val="auto"/>
          <w:sz w:val="24"/>
        </w:rPr>
        <w:t>二、招标方式：公开招标</w:t>
      </w:r>
    </w:p>
    <w:p w14:paraId="2CA5FD22">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宋体" w:hAnsi="宋体" w:eastAsia="宋体" w:cs="宋体"/>
          <w:b/>
          <w:color w:val="auto"/>
          <w:sz w:val="24"/>
          <w:lang w:eastAsia="zh-CN"/>
        </w:rPr>
      </w:pPr>
      <w:r>
        <w:rPr>
          <w:rFonts w:hint="eastAsia" w:ascii="宋体" w:hAnsi="宋体" w:cs="宋体"/>
          <w:b/>
          <w:color w:val="auto"/>
          <w:sz w:val="24"/>
        </w:rPr>
        <w:t>二、公告类型：</w:t>
      </w:r>
      <w:r>
        <w:rPr>
          <w:rFonts w:hint="eastAsia" w:ascii="宋体" w:hAnsi="宋体" w:cs="宋体"/>
          <w:b/>
          <w:color w:val="auto"/>
          <w:sz w:val="24"/>
          <w:lang w:eastAsia="zh-CN"/>
        </w:rPr>
        <w:t>政府采购</w:t>
      </w:r>
    </w:p>
    <w:p w14:paraId="640A1032">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ascii="宋体" w:hAnsi="宋体" w:cs="宋体"/>
          <w:b/>
          <w:color w:val="auto"/>
          <w:sz w:val="24"/>
        </w:rPr>
      </w:pPr>
      <w:r>
        <w:rPr>
          <w:rFonts w:hint="eastAsia" w:ascii="宋体" w:hAnsi="宋体" w:cs="宋体"/>
          <w:b/>
          <w:color w:val="auto"/>
          <w:sz w:val="24"/>
        </w:rPr>
        <w:t>三、项目内容及规模：</w:t>
      </w:r>
    </w:p>
    <w:p w14:paraId="0DB903B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ascii="宋体" w:hAnsi="宋体" w:cs="宋体"/>
          <w:bCs/>
          <w:color w:val="auto"/>
          <w:kern w:val="1"/>
          <w:sz w:val="24"/>
        </w:rPr>
      </w:pPr>
      <w:r>
        <w:rPr>
          <w:rFonts w:hint="eastAsia" w:ascii="宋体" w:hAnsi="宋体" w:cs="宋体"/>
          <w:bCs/>
          <w:color w:val="auto"/>
          <w:kern w:val="1"/>
          <w:sz w:val="24"/>
          <w:lang w:eastAsia="zh-CN"/>
        </w:rPr>
        <w:t>诸暨市浣东街道</w:t>
      </w:r>
      <w:r>
        <w:rPr>
          <w:rFonts w:hint="eastAsia" w:ascii="宋体" w:hAnsi="宋体" w:cs="宋体"/>
          <w:bCs/>
          <w:color w:val="auto"/>
          <w:kern w:val="1"/>
          <w:sz w:val="24"/>
          <w:lang w:val="en-US" w:eastAsia="zh-CN"/>
        </w:rPr>
        <w:t>办事处</w:t>
      </w:r>
      <w:r>
        <w:rPr>
          <w:rFonts w:hint="eastAsia" w:ascii="宋体" w:hAnsi="宋体" w:cs="宋体"/>
          <w:bCs/>
          <w:color w:val="auto"/>
          <w:kern w:val="1"/>
          <w:sz w:val="24"/>
          <w:lang w:eastAsia="zh-CN"/>
        </w:rPr>
        <w:t>2026年度</w:t>
      </w:r>
      <w:r>
        <w:rPr>
          <w:rFonts w:hint="eastAsia" w:ascii="宋体" w:hAnsi="宋体" w:cs="宋体"/>
          <w:bCs/>
          <w:color w:val="auto"/>
          <w:kern w:val="1"/>
          <w:sz w:val="24"/>
          <w:lang w:val="en-US" w:eastAsia="zh-CN"/>
        </w:rPr>
        <w:t>政府</w:t>
      </w:r>
      <w:r>
        <w:rPr>
          <w:rFonts w:hint="eastAsia" w:ascii="宋体" w:hAnsi="宋体" w:cs="宋体"/>
          <w:bCs/>
          <w:color w:val="auto"/>
          <w:kern w:val="1"/>
          <w:sz w:val="24"/>
          <w:lang w:eastAsia="zh-CN"/>
        </w:rPr>
        <w:t>采购代理机构入围项目，共入围</w:t>
      </w:r>
      <w:r>
        <w:rPr>
          <w:rFonts w:hint="eastAsia" w:ascii="宋体" w:hAnsi="宋体" w:cs="宋体"/>
          <w:bCs/>
          <w:color w:val="auto"/>
          <w:kern w:val="1"/>
          <w:sz w:val="24"/>
          <w:lang w:val="en-US" w:eastAsia="zh-CN"/>
        </w:rPr>
        <w:t>二</w:t>
      </w:r>
      <w:r>
        <w:rPr>
          <w:rFonts w:hint="eastAsia" w:ascii="宋体" w:hAnsi="宋体" w:cs="宋体"/>
          <w:bCs/>
          <w:color w:val="auto"/>
          <w:kern w:val="1"/>
          <w:sz w:val="24"/>
          <w:lang w:eastAsia="zh-CN"/>
        </w:rPr>
        <w:t>家采购代理机构</w:t>
      </w:r>
      <w:r>
        <w:rPr>
          <w:rFonts w:hint="eastAsia" w:ascii="宋体" w:hAnsi="宋体" w:cs="宋体"/>
          <w:color w:val="auto"/>
          <w:sz w:val="24"/>
        </w:rPr>
        <w:t>。</w:t>
      </w:r>
    </w:p>
    <w:p w14:paraId="4C5D62DF">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ascii="宋体" w:hAnsi="宋体" w:cs="宋体"/>
          <w:b/>
          <w:color w:val="auto"/>
          <w:sz w:val="24"/>
        </w:rPr>
      </w:pPr>
      <w:r>
        <w:rPr>
          <w:rFonts w:hint="eastAsia" w:ascii="宋体" w:hAnsi="宋体" w:cs="宋体"/>
          <w:b/>
          <w:color w:val="auto"/>
          <w:sz w:val="24"/>
        </w:rPr>
        <w:t>四、入围办法：随机抽签入围。</w:t>
      </w:r>
    </w:p>
    <w:p w14:paraId="0FE0721A">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ascii="宋体" w:hAnsi="宋体" w:cs="宋体"/>
          <w:b/>
          <w:color w:val="auto"/>
          <w:sz w:val="24"/>
        </w:rPr>
      </w:pPr>
      <w:r>
        <w:rPr>
          <w:rFonts w:hint="eastAsia" w:ascii="宋体" w:hAnsi="宋体" w:cs="宋体"/>
          <w:b/>
          <w:color w:val="auto"/>
          <w:sz w:val="24"/>
        </w:rPr>
        <w:t>五、入围代理机构资格要求：</w:t>
      </w:r>
    </w:p>
    <w:p w14:paraId="24CE06A3">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1.满足本项目一般资格要求规定：</w:t>
      </w:r>
    </w:p>
    <w:p w14:paraId="415C0E59">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1.1具有独立承担民事责任的能力；</w:t>
      </w:r>
    </w:p>
    <w:p w14:paraId="1B8A2E97">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1.2具有良好的商业信誉和健全的财务会计制度；</w:t>
      </w:r>
    </w:p>
    <w:p w14:paraId="1AF770BB">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1.3具有履行合同所必需的设备和专业技术能力；</w:t>
      </w:r>
    </w:p>
    <w:p w14:paraId="50B4AF8F">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1.4有依法缴纳税收和社会保障资金的良好记录；</w:t>
      </w:r>
    </w:p>
    <w:p w14:paraId="028B1BFD">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1.5参加投标活动前三年内，在经营活动中没有重大违法记录；</w:t>
      </w:r>
    </w:p>
    <w:p w14:paraId="73EAFB46">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1.6法律、行政法规规定的其他条件。</w:t>
      </w:r>
    </w:p>
    <w:p w14:paraId="323189F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r>
        <w:rPr>
          <w:rFonts w:hint="eastAsia" w:ascii="宋体" w:hAnsi="宋体" w:cs="宋体"/>
          <w:color w:val="auto"/>
          <w:sz w:val="24"/>
        </w:rPr>
        <w:t>近三年（202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1月1日起</w:t>
      </w:r>
      <w:r>
        <w:rPr>
          <w:rFonts w:hint="eastAsia" w:ascii="宋体" w:hAnsi="宋体" w:cs="宋体"/>
          <w:color w:val="auto"/>
          <w:sz w:val="24"/>
        </w:rPr>
        <w:t>）未被采购单位清退或单方面解除合同</w:t>
      </w:r>
      <w:r>
        <w:rPr>
          <w:rFonts w:hint="eastAsia" w:ascii="宋体" w:hAnsi="宋体" w:cs="宋体"/>
          <w:color w:val="auto"/>
          <w:sz w:val="24"/>
          <w:lang w:val="en-US" w:eastAsia="zh-CN"/>
        </w:rPr>
        <w:t>或受到采购单位或行政部门处罚的</w:t>
      </w:r>
      <w:r>
        <w:rPr>
          <w:rFonts w:hint="eastAsia" w:ascii="宋体" w:hAnsi="宋体" w:cs="宋体"/>
          <w:color w:val="auto"/>
          <w:sz w:val="24"/>
        </w:rPr>
        <w:t>，无不良行为记录、无违法违规行为（提供承诺函</w:t>
      </w:r>
      <w:r>
        <w:rPr>
          <w:rFonts w:hint="eastAsia" w:ascii="宋体" w:hAnsi="宋体" w:cs="宋体"/>
          <w:color w:val="auto"/>
          <w:sz w:val="24"/>
          <w:lang w:eastAsia="zh-CN"/>
        </w:rPr>
        <w:t>，</w:t>
      </w:r>
      <w:r>
        <w:rPr>
          <w:rFonts w:hint="eastAsia" w:ascii="宋体" w:hAnsi="宋体" w:cs="宋体"/>
          <w:color w:val="auto"/>
          <w:sz w:val="24"/>
          <w:lang w:val="en-US" w:eastAsia="zh-CN"/>
        </w:rPr>
        <w:t>格式自拟</w:t>
      </w:r>
      <w:r>
        <w:rPr>
          <w:rFonts w:hint="eastAsia" w:ascii="宋体" w:hAnsi="宋体" w:cs="宋体"/>
          <w:color w:val="auto"/>
          <w:sz w:val="24"/>
        </w:rPr>
        <w:t>）；</w:t>
      </w:r>
    </w:p>
    <w:p w14:paraId="1FCBF732">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.本项目不接受联合体投标。</w:t>
      </w:r>
    </w:p>
    <w:p w14:paraId="7438A97A">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default" w:ascii="宋体" w:hAnsi="宋体" w:eastAsia="宋体" w:cs="宋体"/>
          <w:b w:val="0"/>
          <w:bCs/>
          <w:color w:val="auto"/>
          <w:sz w:val="24"/>
          <w:szCs w:val="24"/>
          <w:highlight w:val="none"/>
          <w:lang w:val="en-US" w:eastAsia="zh-CN"/>
        </w:rPr>
      </w:pPr>
      <w:bookmarkStart w:id="7" w:name="_Toc125344503"/>
      <w:r>
        <w:rPr>
          <w:rFonts w:hint="eastAsia" w:ascii="宋体" w:hAnsi="宋体" w:eastAsia="宋体" w:cs="宋体"/>
          <w:b/>
          <w:color w:val="auto"/>
          <w:sz w:val="24"/>
          <w:szCs w:val="24"/>
          <w:highlight w:val="none"/>
          <w:lang w:val="en-US" w:eastAsia="zh-CN"/>
        </w:rPr>
        <w:t>入围时间：</w:t>
      </w:r>
      <w:r>
        <w:rPr>
          <w:rFonts w:hint="eastAsia" w:ascii="宋体" w:hAnsi="宋体" w:eastAsia="宋体" w:cs="宋体"/>
          <w:color w:val="auto"/>
          <w:kern w:val="1"/>
          <w:sz w:val="24"/>
          <w:szCs w:val="24"/>
          <w:highlight w:val="none"/>
          <w:lang w:eastAsia="zh-CN"/>
        </w:rPr>
        <w:t>符合</w:t>
      </w:r>
      <w:r>
        <w:rPr>
          <w:rFonts w:hint="eastAsia" w:ascii="宋体" w:hAnsi="宋体" w:eastAsia="宋体" w:cs="宋体"/>
          <w:color w:val="auto"/>
          <w:kern w:val="1"/>
          <w:sz w:val="24"/>
          <w:szCs w:val="24"/>
          <w:highlight w:val="none"/>
          <w:lang w:val="en-US" w:eastAsia="zh-CN"/>
        </w:rPr>
        <w:t>入围</w:t>
      </w:r>
      <w:r>
        <w:rPr>
          <w:rFonts w:hint="eastAsia" w:ascii="宋体" w:hAnsi="宋体" w:eastAsia="宋体" w:cs="宋体"/>
          <w:color w:val="auto"/>
          <w:kern w:val="1"/>
          <w:sz w:val="24"/>
          <w:szCs w:val="24"/>
          <w:highlight w:val="none"/>
          <w:lang w:eastAsia="zh-CN"/>
        </w:rPr>
        <w:t>资格条件</w:t>
      </w:r>
      <w:r>
        <w:rPr>
          <w:rFonts w:hint="eastAsia" w:ascii="宋体" w:hAnsi="宋体" w:cs="宋体"/>
          <w:color w:val="auto"/>
          <w:kern w:val="1"/>
          <w:sz w:val="24"/>
          <w:szCs w:val="24"/>
          <w:highlight w:val="none"/>
          <w:lang w:val="en-US" w:eastAsia="zh-CN"/>
        </w:rPr>
        <w:t>及符合性符合性审查条件</w:t>
      </w:r>
      <w:r>
        <w:rPr>
          <w:rFonts w:hint="eastAsia" w:ascii="宋体" w:hAnsi="宋体" w:eastAsia="宋体" w:cs="宋体"/>
          <w:color w:val="auto"/>
          <w:kern w:val="1"/>
          <w:sz w:val="24"/>
          <w:szCs w:val="24"/>
          <w:highlight w:val="none"/>
          <w:lang w:eastAsia="zh-CN"/>
        </w:rPr>
        <w:t>的</w:t>
      </w:r>
      <w:r>
        <w:rPr>
          <w:rFonts w:hint="eastAsia" w:ascii="宋体" w:hAnsi="宋体" w:eastAsia="宋体" w:cs="宋体"/>
          <w:b w:val="0"/>
          <w:bCs/>
          <w:color w:val="auto"/>
          <w:kern w:val="1"/>
          <w:sz w:val="24"/>
          <w:szCs w:val="24"/>
          <w:highlight w:val="none"/>
          <w:lang w:val="en-US" w:eastAsia="zh-CN"/>
        </w:rPr>
        <w:t>采购代理机构于</w:t>
      </w:r>
      <w:r>
        <w:rPr>
          <w:rFonts w:hint="eastAsia" w:ascii="宋体" w:hAnsi="宋体" w:cs="宋体"/>
          <w:color w:val="auto"/>
          <w:kern w:val="1"/>
          <w:sz w:val="24"/>
          <w:szCs w:val="24"/>
          <w:highlight w:val="none"/>
          <w:lang w:eastAsia="zh-CN"/>
        </w:rPr>
        <w:t>2026</w:t>
      </w:r>
      <w:r>
        <w:rPr>
          <w:rFonts w:hint="eastAsia" w:ascii="宋体" w:hAnsi="宋体" w:eastAsia="宋体" w:cs="宋体"/>
          <w:color w:val="auto"/>
          <w:kern w:val="1"/>
          <w:sz w:val="24"/>
          <w:szCs w:val="24"/>
          <w:highlight w:val="none"/>
          <w:lang w:eastAsia="zh-CN"/>
        </w:rPr>
        <w:t>年</w:t>
      </w:r>
      <w:r>
        <w:rPr>
          <w:rFonts w:hint="eastAsia" w:ascii="宋体" w:hAnsi="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eastAsia="zh-CN"/>
        </w:rPr>
        <w:t>月</w:t>
      </w:r>
      <w:r>
        <w:rPr>
          <w:rFonts w:hint="eastAsia" w:ascii="宋体" w:hAnsi="宋体" w:cs="宋体"/>
          <w:color w:val="auto"/>
          <w:kern w:val="1"/>
          <w:sz w:val="24"/>
          <w:szCs w:val="24"/>
          <w:highlight w:val="none"/>
          <w:lang w:val="en-US" w:eastAsia="zh-CN"/>
        </w:rPr>
        <w:t>17</w:t>
      </w:r>
      <w:r>
        <w:rPr>
          <w:rFonts w:hint="eastAsia" w:ascii="宋体" w:hAnsi="宋体" w:eastAsia="宋体" w:cs="宋体"/>
          <w:color w:val="auto"/>
          <w:kern w:val="1"/>
          <w:sz w:val="24"/>
          <w:szCs w:val="24"/>
          <w:highlight w:val="none"/>
          <w:lang w:eastAsia="zh-CN"/>
        </w:rPr>
        <w:t>日</w:t>
      </w:r>
      <w:r>
        <w:rPr>
          <w:rFonts w:hint="eastAsia" w:ascii="宋体" w:hAnsi="宋体" w:eastAsia="宋体" w:cs="宋体"/>
          <w:color w:val="auto"/>
          <w:kern w:val="1"/>
          <w:sz w:val="24"/>
          <w:szCs w:val="24"/>
          <w:highlight w:val="none"/>
          <w:lang w:val="en-US" w:eastAsia="zh-CN"/>
        </w:rPr>
        <w:t xml:space="preserve"> </w:t>
      </w:r>
      <w:r>
        <w:rPr>
          <w:rFonts w:hint="eastAsia" w:ascii="宋体" w:hAnsi="宋体" w:cs="宋体"/>
          <w:color w:val="auto"/>
          <w:kern w:val="1"/>
          <w:sz w:val="24"/>
          <w:szCs w:val="24"/>
          <w:highlight w:val="none"/>
          <w:lang w:val="en-US" w:eastAsia="zh-CN"/>
        </w:rPr>
        <w:t>10：0</w:t>
      </w:r>
      <w:r>
        <w:rPr>
          <w:rFonts w:hint="default" w:ascii="宋体" w:hAnsi="宋体" w:cs="宋体"/>
          <w:color w:val="auto"/>
          <w:kern w:val="1"/>
          <w:sz w:val="24"/>
          <w:szCs w:val="24"/>
          <w:highlight w:val="none"/>
          <w:lang w:val="en-US" w:eastAsia="zh-CN"/>
        </w:rPr>
        <w:t>0</w:t>
      </w:r>
      <w:r>
        <w:rPr>
          <w:rFonts w:hint="eastAsia" w:ascii="宋体" w:hAnsi="宋体" w:cs="宋体"/>
          <w:color w:val="auto"/>
          <w:kern w:val="1"/>
          <w:sz w:val="24"/>
          <w:szCs w:val="24"/>
          <w:highlight w:val="none"/>
          <w:lang w:val="en-US" w:eastAsia="zh-CN"/>
        </w:rPr>
        <w:t>时</w:t>
      </w:r>
      <w:r>
        <w:rPr>
          <w:rFonts w:hint="eastAsia" w:ascii="宋体" w:hAnsi="宋体" w:eastAsia="宋体" w:cs="宋体"/>
          <w:color w:val="auto"/>
          <w:kern w:val="1"/>
          <w:sz w:val="24"/>
          <w:szCs w:val="24"/>
          <w:highlight w:val="none"/>
          <w:lang w:val="en-US" w:eastAsia="zh-CN"/>
        </w:rPr>
        <w:t>到</w:t>
      </w:r>
      <w:r>
        <w:rPr>
          <w:rFonts w:hint="eastAsia" w:ascii="宋体" w:hAnsi="宋体" w:cs="宋体"/>
          <w:color w:val="auto"/>
          <w:kern w:val="1"/>
          <w:sz w:val="24"/>
          <w:szCs w:val="24"/>
          <w:highlight w:val="none"/>
          <w:lang w:eastAsia="zh-CN"/>
        </w:rPr>
        <w:t>诸暨市浣东街道215办公室</w:t>
      </w:r>
      <w:r>
        <w:rPr>
          <w:rFonts w:hint="eastAsia" w:ascii="宋体" w:hAnsi="宋体" w:eastAsia="宋体" w:cs="宋体"/>
          <w:color w:val="auto"/>
          <w:kern w:val="1"/>
          <w:sz w:val="24"/>
          <w:szCs w:val="24"/>
          <w:highlight w:val="none"/>
          <w:lang w:val="en-US" w:eastAsia="zh-CN"/>
        </w:rPr>
        <w:t>参加摇号入围。</w:t>
      </w:r>
    </w:p>
    <w:p w14:paraId="7DFA4A8B">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七、文件提交：</w:t>
      </w:r>
    </w:p>
    <w:p w14:paraId="4453559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sz w:val="24"/>
          <w:szCs w:val="24"/>
          <w:highlight w:val="none"/>
          <w:lang w:val="en-US" w:eastAsia="zh-CN"/>
        </w:rPr>
        <w:t>具有本项目意向参与机构</w:t>
      </w:r>
      <w:r>
        <w:rPr>
          <w:rFonts w:hint="eastAsia" w:ascii="宋体" w:hAnsi="宋体" w:eastAsia="宋体" w:cs="宋体"/>
          <w:color w:val="auto"/>
          <w:sz w:val="24"/>
          <w:szCs w:val="24"/>
          <w:highlight w:val="none"/>
        </w:rPr>
        <w:t>须</w:t>
      </w:r>
      <w:r>
        <w:rPr>
          <w:rFonts w:hint="eastAsia" w:ascii="宋体" w:hAnsi="宋体" w:eastAsia="宋体" w:cs="宋体"/>
          <w:color w:val="auto"/>
          <w:kern w:val="1"/>
          <w:sz w:val="24"/>
          <w:szCs w:val="24"/>
          <w:highlight w:val="none"/>
          <w:lang w:val="en-US" w:eastAsia="zh-CN"/>
        </w:rPr>
        <w:t>于</w:t>
      </w:r>
      <w:r>
        <w:rPr>
          <w:rFonts w:hint="eastAsia" w:ascii="宋体" w:hAnsi="宋体" w:cs="宋体"/>
          <w:color w:val="auto"/>
          <w:kern w:val="1"/>
          <w:sz w:val="24"/>
          <w:szCs w:val="24"/>
          <w:highlight w:val="none"/>
          <w:lang w:eastAsia="zh-CN"/>
        </w:rPr>
        <w:t>2026</w:t>
      </w:r>
      <w:r>
        <w:rPr>
          <w:rFonts w:hint="eastAsia" w:ascii="宋体" w:hAnsi="宋体" w:eastAsia="宋体" w:cs="宋体"/>
          <w:color w:val="auto"/>
          <w:kern w:val="1"/>
          <w:sz w:val="24"/>
          <w:szCs w:val="24"/>
          <w:highlight w:val="none"/>
          <w:lang w:eastAsia="zh-CN"/>
        </w:rPr>
        <w:t>年</w:t>
      </w:r>
      <w:r>
        <w:rPr>
          <w:rFonts w:hint="eastAsia" w:ascii="宋体" w:hAnsi="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eastAsia="zh-CN"/>
        </w:rPr>
        <w:t>月</w:t>
      </w:r>
      <w:r>
        <w:rPr>
          <w:rFonts w:hint="eastAsia" w:ascii="宋体" w:hAnsi="宋体" w:cs="宋体"/>
          <w:color w:val="auto"/>
          <w:kern w:val="1"/>
          <w:sz w:val="24"/>
          <w:szCs w:val="24"/>
          <w:highlight w:val="none"/>
          <w:lang w:val="en-US" w:eastAsia="zh-CN"/>
        </w:rPr>
        <w:t>17</w:t>
      </w:r>
      <w:r>
        <w:rPr>
          <w:rFonts w:hint="eastAsia" w:ascii="宋体" w:hAnsi="宋体" w:eastAsia="宋体" w:cs="宋体"/>
          <w:color w:val="auto"/>
          <w:kern w:val="1"/>
          <w:sz w:val="24"/>
          <w:szCs w:val="24"/>
          <w:highlight w:val="none"/>
          <w:lang w:eastAsia="zh-CN"/>
        </w:rPr>
        <w:t>日</w:t>
      </w:r>
      <w:r>
        <w:rPr>
          <w:rFonts w:hint="eastAsia" w:ascii="宋体" w:hAnsi="宋体" w:cs="宋体"/>
          <w:color w:val="auto"/>
          <w:kern w:val="1"/>
          <w:sz w:val="24"/>
          <w:szCs w:val="24"/>
          <w:highlight w:val="none"/>
          <w:lang w:val="en-US" w:eastAsia="zh-CN"/>
        </w:rPr>
        <w:t>10：0</w:t>
      </w:r>
      <w:r>
        <w:rPr>
          <w:rFonts w:hint="default" w:ascii="宋体" w:hAnsi="宋体" w:cs="宋体"/>
          <w:color w:val="auto"/>
          <w:kern w:val="1"/>
          <w:sz w:val="24"/>
          <w:szCs w:val="24"/>
          <w:highlight w:val="none"/>
          <w:lang w:val="en-US" w:eastAsia="zh-CN"/>
        </w:rPr>
        <w:t>0</w:t>
      </w:r>
      <w:r>
        <w:rPr>
          <w:rFonts w:hint="eastAsia" w:ascii="宋体" w:hAnsi="宋体" w:cs="宋体"/>
          <w:color w:val="auto"/>
          <w:kern w:val="1"/>
          <w:sz w:val="24"/>
          <w:szCs w:val="24"/>
          <w:highlight w:val="none"/>
          <w:lang w:val="en-US" w:eastAsia="zh-CN"/>
        </w:rPr>
        <w:t>时</w:t>
      </w:r>
      <w:r>
        <w:rPr>
          <w:rFonts w:hint="eastAsia" w:ascii="宋体" w:hAnsi="宋体" w:eastAsia="宋体" w:cs="宋体"/>
          <w:color w:val="auto"/>
          <w:kern w:val="1"/>
          <w:sz w:val="24"/>
          <w:szCs w:val="24"/>
          <w:highlight w:val="none"/>
          <w:lang w:eastAsia="zh-CN"/>
        </w:rPr>
        <w:t>之前</w:t>
      </w:r>
      <w:r>
        <w:rPr>
          <w:rFonts w:hint="eastAsia" w:ascii="宋体" w:hAnsi="宋体" w:eastAsia="宋体" w:cs="宋体"/>
          <w:color w:val="auto"/>
          <w:sz w:val="24"/>
          <w:szCs w:val="24"/>
          <w:highlight w:val="none"/>
        </w:rPr>
        <w:t>将</w:t>
      </w:r>
      <w:r>
        <w:rPr>
          <w:rFonts w:hint="eastAsia" w:ascii="宋体" w:hAnsi="宋体" w:eastAsia="宋体" w:cs="宋体"/>
          <w:color w:val="auto"/>
          <w:kern w:val="1"/>
          <w:sz w:val="24"/>
          <w:szCs w:val="24"/>
          <w:highlight w:val="none"/>
          <w:lang w:val="en-US" w:eastAsia="zh-CN"/>
        </w:rPr>
        <w:t>报名表和</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密封送达</w:t>
      </w:r>
      <w:r>
        <w:rPr>
          <w:rFonts w:hint="eastAsia" w:ascii="宋体" w:hAnsi="宋体" w:eastAsia="宋体" w:cs="宋体"/>
          <w:color w:val="auto"/>
          <w:kern w:val="1"/>
          <w:sz w:val="24"/>
          <w:szCs w:val="24"/>
          <w:highlight w:val="none"/>
          <w:lang w:eastAsia="zh-CN"/>
        </w:rPr>
        <w:t>到</w:t>
      </w:r>
      <w:r>
        <w:rPr>
          <w:rFonts w:hint="eastAsia" w:ascii="宋体" w:hAnsi="宋体" w:cs="宋体"/>
          <w:color w:val="auto"/>
          <w:kern w:val="1"/>
          <w:sz w:val="24"/>
          <w:szCs w:val="24"/>
          <w:highlight w:val="none"/>
          <w:lang w:eastAsia="zh-CN"/>
        </w:rPr>
        <w:t>诸暨市浣东街道215办公室</w:t>
      </w:r>
      <w:r>
        <w:rPr>
          <w:rFonts w:hint="eastAsia" w:ascii="宋体" w:hAnsi="宋体" w:eastAsia="宋体" w:cs="宋体"/>
          <w:color w:val="auto"/>
          <w:sz w:val="24"/>
          <w:szCs w:val="24"/>
          <w:highlight w:val="none"/>
        </w:rPr>
        <w:t>,逾期送达或未密封</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采购人将拒绝接</w:t>
      </w:r>
      <w:r>
        <w:rPr>
          <w:rFonts w:hint="eastAsia" w:ascii="宋体" w:hAnsi="宋体" w:eastAsia="宋体" w:cs="宋体"/>
          <w:color w:val="auto"/>
          <w:kern w:val="1"/>
          <w:sz w:val="24"/>
          <w:szCs w:val="24"/>
          <w:highlight w:val="none"/>
          <w:lang w:val="en-US" w:eastAsia="zh-CN"/>
        </w:rPr>
        <w:t>收。</w:t>
      </w:r>
    </w:p>
    <w:p w14:paraId="0B4E68CC">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八、领取招标文件方式：</w:t>
      </w:r>
      <w:r>
        <w:rPr>
          <w:rFonts w:hint="eastAsia" w:ascii="宋体" w:hAnsi="宋体" w:eastAsia="宋体" w:cs="宋体"/>
          <w:color w:val="auto"/>
          <w:kern w:val="1"/>
          <w:sz w:val="24"/>
          <w:szCs w:val="24"/>
          <w:highlight w:val="none"/>
          <w:lang w:val="en-US" w:eastAsia="zh-CN"/>
        </w:rPr>
        <w:t>网上自行下载</w:t>
      </w:r>
    </w:p>
    <w:p w14:paraId="1CEC27B0">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eastAsia="宋体"/>
          <w:color w:val="auto"/>
          <w:lang w:eastAsia="zh-CN"/>
        </w:rPr>
      </w:pPr>
      <w:r>
        <w:rPr>
          <w:rFonts w:hint="eastAsia" w:ascii="宋体" w:hAnsi="宋体" w:eastAsia="宋体" w:cs="宋体"/>
          <w:b/>
          <w:bCs/>
          <w:color w:val="auto"/>
          <w:kern w:val="1"/>
          <w:sz w:val="24"/>
          <w:szCs w:val="24"/>
          <w:highlight w:val="none"/>
          <w:lang w:val="en-US" w:eastAsia="zh-CN"/>
        </w:rPr>
        <w:t>九、资格审查方式：</w:t>
      </w:r>
      <w:r>
        <w:rPr>
          <w:rFonts w:hint="eastAsia" w:ascii="宋体" w:hAnsi="宋体" w:eastAsia="宋体" w:cs="宋体"/>
          <w:color w:val="auto"/>
          <w:kern w:val="1"/>
          <w:sz w:val="24"/>
          <w:szCs w:val="24"/>
          <w:highlight w:val="none"/>
          <w:lang w:val="en-US" w:eastAsia="zh-CN"/>
        </w:rPr>
        <w:t>资格后审</w:t>
      </w:r>
    </w:p>
    <w:p w14:paraId="714CC8A1">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、业务咨询：</w:t>
      </w:r>
    </w:p>
    <w:p w14:paraId="09CDAC3D">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szCs w:val="24"/>
          <w:highlight w:val="none"/>
        </w:rPr>
        <w:t>采购单位联系人</w:t>
      </w:r>
      <w:r>
        <w:rPr>
          <w:rFonts w:hint="eastAsia" w:ascii="宋体" w:hAnsi="宋体" w:cs="宋体"/>
          <w:color w:val="auto"/>
          <w:sz w:val="24"/>
          <w:szCs w:val="24"/>
          <w:highlight w:val="none"/>
          <w:lang w:val="en-US" w:eastAsia="zh-CN"/>
        </w:rPr>
        <w:t>工作电话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戚仕彪</w:t>
      </w:r>
      <w:r>
        <w:rPr>
          <w:rFonts w:hint="eastAsia" w:ascii="宋体" w:hAnsi="宋体" w:cs="宋体"/>
          <w:color w:val="auto"/>
          <w:sz w:val="24"/>
          <w:szCs w:val="24"/>
          <w:highlight w:val="none"/>
          <w:lang w:val="en-US" w:eastAsia="zh-CN"/>
        </w:rPr>
        <w:t>：0575-89096605</w:t>
      </w:r>
    </w:p>
    <w:p w14:paraId="31B7A847">
      <w:pPr>
        <w:keepNext w:val="0"/>
        <w:keepLines w:val="0"/>
        <w:pageBreakBefore w:val="0"/>
        <w:widowControl w:val="0"/>
        <w:kinsoku/>
        <w:wordWrap/>
        <w:overflowPunct/>
        <w:topLinePunct w:val="0"/>
        <w:autoSpaceDE/>
        <w:autoSpaceDN/>
        <w:bidi w:val="0"/>
        <w:adjustRightInd/>
        <w:spacing w:line="380" w:lineRule="exact"/>
        <w:jc w:val="right"/>
        <w:textAlignment w:val="auto"/>
        <w:rPr>
          <w:rFonts w:hint="eastAsia" w:ascii="宋体" w:hAnsi="宋体" w:cs="宋体"/>
          <w:b w:val="0"/>
          <w:bCs w:val="0"/>
          <w:color w:val="auto"/>
          <w:sz w:val="24"/>
          <w:szCs w:val="24"/>
          <w:highlight w:val="none"/>
          <w:lang w:val="en-US" w:eastAsia="zh-CN"/>
        </w:rPr>
      </w:pPr>
    </w:p>
    <w:p w14:paraId="1C589B5A">
      <w:pPr>
        <w:keepNext w:val="0"/>
        <w:keepLines w:val="0"/>
        <w:pageBreakBefore w:val="0"/>
        <w:widowControl w:val="0"/>
        <w:kinsoku/>
        <w:wordWrap/>
        <w:overflowPunct/>
        <w:topLinePunct w:val="0"/>
        <w:autoSpaceDE/>
        <w:autoSpaceDN/>
        <w:bidi w:val="0"/>
        <w:adjustRightInd/>
        <w:spacing w:line="380" w:lineRule="exact"/>
        <w:jc w:val="right"/>
        <w:textAlignment w:val="auto"/>
        <w:rPr>
          <w:rFonts w:hint="eastAsia" w:ascii="宋体" w:hAnsi="宋体" w:cs="宋体"/>
          <w:b w:val="0"/>
          <w:bCs w:val="0"/>
          <w:color w:val="auto"/>
          <w:sz w:val="24"/>
          <w:szCs w:val="24"/>
          <w:highlight w:val="none"/>
          <w:lang w:val="en-US" w:eastAsia="zh-CN"/>
        </w:rPr>
      </w:pPr>
    </w:p>
    <w:p w14:paraId="6B73B017">
      <w:pPr>
        <w:keepNext w:val="0"/>
        <w:keepLines w:val="0"/>
        <w:pageBreakBefore w:val="0"/>
        <w:widowControl w:val="0"/>
        <w:kinsoku/>
        <w:wordWrap/>
        <w:overflowPunct/>
        <w:topLinePunct w:val="0"/>
        <w:autoSpaceDE/>
        <w:autoSpaceDN/>
        <w:bidi w:val="0"/>
        <w:adjustRightInd/>
        <w:spacing w:line="380" w:lineRule="exact"/>
        <w:jc w:val="righ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诸暨市人民政府浣东街道办事处</w:t>
      </w:r>
    </w:p>
    <w:p w14:paraId="620A75F8">
      <w:pPr>
        <w:keepNext w:val="0"/>
        <w:keepLines w:val="0"/>
        <w:pageBreakBefore w:val="0"/>
        <w:widowControl w:val="0"/>
        <w:kinsoku/>
        <w:wordWrap/>
        <w:overflowPunct/>
        <w:topLinePunct w:val="0"/>
        <w:autoSpaceDE/>
        <w:autoSpaceDN/>
        <w:bidi w:val="0"/>
        <w:adjustRightInd/>
        <w:spacing w:line="380" w:lineRule="exact"/>
        <w:jc w:val="right"/>
        <w:textAlignment w:val="auto"/>
        <w:rPr>
          <w:rFonts w:ascii="宋体" w:hAnsi="宋体" w:cs="宋体"/>
          <w:color w:val="auto"/>
          <w:sz w:val="24"/>
        </w:rPr>
      </w:pPr>
      <w:r>
        <w:rPr>
          <w:rFonts w:hint="eastAsia" w:ascii="宋体" w:hAnsi="宋体" w:cs="宋体"/>
          <w:b w:val="0"/>
          <w:bCs w:val="0"/>
          <w:color w:val="auto"/>
          <w:sz w:val="24"/>
          <w:szCs w:val="24"/>
          <w:highlight w:val="none"/>
          <w:lang w:val="en-US" w:eastAsia="zh-CN"/>
        </w:rPr>
        <w:t>2026</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日</w:t>
      </w:r>
    </w:p>
    <w:bookmarkEnd w:id="36"/>
    <w:p w14:paraId="71141D5B">
      <w:pPr>
        <w:pStyle w:val="5"/>
        <w:autoSpaceDE w:val="0"/>
        <w:autoSpaceDN w:val="0"/>
        <w:adjustRightInd w:val="0"/>
        <w:spacing w:before="0" w:after="0" w:line="360" w:lineRule="auto"/>
        <w:jc w:val="center"/>
        <w:rPr>
          <w:rFonts w:ascii="宋体" w:hAnsi="宋体" w:cs="宋体"/>
          <w:color w:val="auto"/>
          <w:sz w:val="36"/>
          <w:szCs w:val="36"/>
        </w:rPr>
      </w:pPr>
      <w:r>
        <w:rPr>
          <w:rFonts w:hint="eastAsia" w:ascii="宋体" w:hAnsi="宋体" w:cs="宋体"/>
          <w:color w:val="auto"/>
          <w:sz w:val="36"/>
          <w:szCs w:val="36"/>
        </w:rPr>
        <w:br w:type="page"/>
      </w:r>
      <w:r>
        <w:rPr>
          <w:rFonts w:hint="eastAsia" w:ascii="宋体" w:hAnsi="宋体" w:cs="宋体"/>
          <w:color w:val="auto"/>
          <w:sz w:val="36"/>
          <w:szCs w:val="36"/>
        </w:rPr>
        <w:t>第二章   入围须知</w:t>
      </w:r>
    </w:p>
    <w:p w14:paraId="313E6EDB">
      <w:pPr>
        <w:jc w:val="center"/>
        <w:rPr>
          <w:rFonts w:ascii="宋体" w:hAnsi="宋体" w:cs="宋体"/>
          <w:bCs/>
          <w:color w:val="auto"/>
          <w:sz w:val="28"/>
          <w:szCs w:val="28"/>
        </w:rPr>
      </w:pPr>
      <w:r>
        <w:rPr>
          <w:rFonts w:hint="eastAsia" w:ascii="宋体" w:hAnsi="宋体" w:cs="宋体"/>
          <w:bCs/>
          <w:color w:val="auto"/>
          <w:sz w:val="28"/>
          <w:szCs w:val="28"/>
        </w:rPr>
        <w:t>前  附  表（一）</w:t>
      </w:r>
    </w:p>
    <w:tbl>
      <w:tblPr>
        <w:tblStyle w:val="22"/>
        <w:tblW w:w="100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952"/>
        <w:gridCol w:w="7413"/>
      </w:tblGrid>
      <w:tr w14:paraId="5C185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7EB7915">
            <w:pPr>
              <w:pStyle w:val="11"/>
              <w:spacing w:line="440" w:lineRule="exact"/>
              <w:jc w:val="center"/>
              <w:rPr>
                <w:rFonts w:ascii="宋体" w:hAnsi="宋体" w:cs="宋体"/>
                <w:b/>
                <w:color w:val="auto"/>
                <w:szCs w:val="24"/>
              </w:rPr>
            </w:pPr>
            <w:r>
              <w:rPr>
                <w:rFonts w:hint="eastAsia" w:ascii="宋体" w:hAnsi="宋体" w:cs="宋体"/>
                <w:b/>
                <w:color w:val="auto"/>
                <w:szCs w:val="24"/>
              </w:rPr>
              <w:t>序号</w:t>
            </w:r>
          </w:p>
        </w:tc>
        <w:tc>
          <w:tcPr>
            <w:tcW w:w="1952" w:type="dxa"/>
            <w:tcBorders>
              <w:top w:val="single" w:color="auto" w:sz="4" w:space="0"/>
              <w:left w:val="single" w:color="auto" w:sz="4" w:space="0"/>
              <w:bottom w:val="single" w:color="auto" w:sz="4" w:space="0"/>
              <w:right w:val="single" w:color="auto" w:sz="4" w:space="0"/>
            </w:tcBorders>
            <w:vAlign w:val="center"/>
          </w:tcPr>
          <w:p w14:paraId="744CCA0D">
            <w:pPr>
              <w:pStyle w:val="11"/>
              <w:spacing w:line="440" w:lineRule="exact"/>
              <w:jc w:val="center"/>
              <w:rPr>
                <w:rFonts w:ascii="宋体" w:hAnsi="宋体" w:cs="宋体"/>
                <w:b/>
                <w:color w:val="auto"/>
                <w:szCs w:val="24"/>
              </w:rPr>
            </w:pPr>
            <w:r>
              <w:rPr>
                <w:rFonts w:hint="eastAsia" w:ascii="宋体" w:hAnsi="宋体" w:cs="宋体"/>
                <w:b/>
                <w:color w:val="auto"/>
                <w:szCs w:val="24"/>
              </w:rPr>
              <w:t>内容</w:t>
            </w:r>
          </w:p>
        </w:tc>
        <w:tc>
          <w:tcPr>
            <w:tcW w:w="7413" w:type="dxa"/>
            <w:tcBorders>
              <w:top w:val="single" w:color="auto" w:sz="4" w:space="0"/>
              <w:left w:val="single" w:color="auto" w:sz="4" w:space="0"/>
              <w:bottom w:val="single" w:color="auto" w:sz="4" w:space="0"/>
              <w:right w:val="single" w:color="auto" w:sz="4" w:space="0"/>
            </w:tcBorders>
            <w:vAlign w:val="center"/>
          </w:tcPr>
          <w:p w14:paraId="4FAE5DCB">
            <w:pPr>
              <w:pStyle w:val="11"/>
              <w:spacing w:line="440" w:lineRule="exact"/>
              <w:jc w:val="center"/>
              <w:rPr>
                <w:rFonts w:ascii="宋体" w:hAnsi="宋体" w:cs="宋体"/>
                <w:b/>
                <w:color w:val="auto"/>
                <w:szCs w:val="24"/>
              </w:rPr>
            </w:pPr>
            <w:r>
              <w:rPr>
                <w:rFonts w:hint="eastAsia" w:ascii="宋体" w:hAnsi="宋体" w:cs="宋体"/>
                <w:b/>
                <w:color w:val="auto"/>
                <w:szCs w:val="24"/>
              </w:rPr>
              <w:t>说明与要求</w:t>
            </w:r>
          </w:p>
        </w:tc>
      </w:tr>
      <w:tr w14:paraId="648D3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DF2852D">
            <w:pPr>
              <w:pStyle w:val="11"/>
              <w:spacing w:line="440" w:lineRule="exact"/>
              <w:jc w:val="center"/>
              <w:rPr>
                <w:rFonts w:ascii="宋体" w:hAnsi="宋体" w:cs="宋体"/>
                <w:b/>
                <w:color w:val="auto"/>
                <w:szCs w:val="24"/>
              </w:rPr>
            </w:pPr>
            <w:r>
              <w:rPr>
                <w:rFonts w:hint="eastAsia" w:ascii="宋体" w:hAnsi="宋体" w:cs="宋体"/>
                <w:b/>
                <w:color w:val="auto"/>
                <w:szCs w:val="24"/>
              </w:rPr>
              <w:t>1</w:t>
            </w:r>
          </w:p>
        </w:tc>
        <w:tc>
          <w:tcPr>
            <w:tcW w:w="1952" w:type="dxa"/>
            <w:tcBorders>
              <w:top w:val="single" w:color="auto" w:sz="4" w:space="0"/>
              <w:left w:val="single" w:color="auto" w:sz="4" w:space="0"/>
              <w:bottom w:val="single" w:color="auto" w:sz="4" w:space="0"/>
              <w:right w:val="single" w:color="auto" w:sz="4" w:space="0"/>
            </w:tcBorders>
            <w:vAlign w:val="center"/>
          </w:tcPr>
          <w:p w14:paraId="1BB864D6">
            <w:pPr>
              <w:pStyle w:val="11"/>
              <w:jc w:val="center"/>
              <w:rPr>
                <w:rFonts w:ascii="宋体" w:hAnsi="宋体" w:cs="宋体"/>
                <w:bCs/>
                <w:color w:val="auto"/>
                <w:szCs w:val="24"/>
              </w:rPr>
            </w:pPr>
            <w:r>
              <w:rPr>
                <w:rFonts w:hint="eastAsia" w:ascii="宋体" w:hAnsi="宋体" w:cs="宋体"/>
                <w:bCs/>
                <w:color w:val="auto"/>
                <w:szCs w:val="24"/>
              </w:rPr>
              <w:t>项目名称</w:t>
            </w:r>
          </w:p>
        </w:tc>
        <w:tc>
          <w:tcPr>
            <w:tcW w:w="7413" w:type="dxa"/>
            <w:tcBorders>
              <w:top w:val="single" w:color="auto" w:sz="4" w:space="0"/>
              <w:left w:val="single" w:color="auto" w:sz="4" w:space="0"/>
              <w:bottom w:val="single" w:color="auto" w:sz="4" w:space="0"/>
              <w:right w:val="single" w:color="auto" w:sz="4" w:space="0"/>
            </w:tcBorders>
            <w:vAlign w:val="center"/>
          </w:tcPr>
          <w:p w14:paraId="299D7983">
            <w:pPr>
              <w:rPr>
                <w:rFonts w:ascii="宋体" w:hAnsi="宋体" w:cs="宋体"/>
                <w:bCs/>
                <w:color w:val="auto"/>
                <w:sz w:val="24"/>
              </w:rPr>
            </w:pPr>
            <w:r>
              <w:rPr>
                <w:rFonts w:hint="eastAsia" w:ascii="宋体" w:hAnsi="宋体" w:cs="宋体"/>
                <w:b/>
                <w:color w:val="auto"/>
                <w:sz w:val="24"/>
                <w:lang w:eastAsia="zh-CN"/>
              </w:rPr>
              <w:t>诸暨市浣东街道办事处2026年度政府采购代理机构入围项目</w:t>
            </w:r>
          </w:p>
        </w:tc>
      </w:tr>
      <w:tr w14:paraId="0DD4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B37620B">
            <w:pPr>
              <w:pStyle w:val="11"/>
              <w:spacing w:line="440" w:lineRule="exact"/>
              <w:jc w:val="center"/>
              <w:rPr>
                <w:rFonts w:ascii="宋体" w:hAnsi="宋体" w:cs="宋体"/>
                <w:b/>
                <w:color w:val="auto"/>
                <w:szCs w:val="24"/>
              </w:rPr>
            </w:pPr>
            <w:r>
              <w:rPr>
                <w:rFonts w:hint="eastAsia" w:ascii="宋体" w:hAnsi="宋体" w:cs="宋体"/>
                <w:b/>
                <w:color w:val="auto"/>
                <w:szCs w:val="24"/>
              </w:rPr>
              <w:t>2</w:t>
            </w:r>
          </w:p>
        </w:tc>
        <w:tc>
          <w:tcPr>
            <w:tcW w:w="1952" w:type="dxa"/>
            <w:tcBorders>
              <w:top w:val="single" w:color="auto" w:sz="4" w:space="0"/>
              <w:left w:val="single" w:color="auto" w:sz="4" w:space="0"/>
              <w:bottom w:val="single" w:color="auto" w:sz="4" w:space="0"/>
              <w:right w:val="single" w:color="auto" w:sz="4" w:space="0"/>
            </w:tcBorders>
            <w:vAlign w:val="center"/>
          </w:tcPr>
          <w:p w14:paraId="1C4690D2">
            <w:pPr>
              <w:pStyle w:val="11"/>
              <w:jc w:val="center"/>
              <w:rPr>
                <w:rFonts w:ascii="宋体" w:hAnsi="宋体" w:cs="宋体"/>
                <w:bCs/>
                <w:color w:val="auto"/>
                <w:szCs w:val="24"/>
              </w:rPr>
            </w:pPr>
            <w:r>
              <w:rPr>
                <w:rFonts w:hint="eastAsia" w:ascii="宋体" w:hAnsi="宋体" w:cs="宋体"/>
                <w:bCs/>
                <w:color w:val="auto"/>
                <w:szCs w:val="24"/>
              </w:rPr>
              <w:t>采购方式</w:t>
            </w:r>
          </w:p>
        </w:tc>
        <w:tc>
          <w:tcPr>
            <w:tcW w:w="7413" w:type="dxa"/>
            <w:tcBorders>
              <w:top w:val="single" w:color="auto" w:sz="4" w:space="0"/>
              <w:left w:val="single" w:color="auto" w:sz="4" w:space="0"/>
              <w:bottom w:val="single" w:color="auto" w:sz="4" w:space="0"/>
              <w:right w:val="single" w:color="auto" w:sz="4" w:space="0"/>
            </w:tcBorders>
            <w:vAlign w:val="center"/>
          </w:tcPr>
          <w:p w14:paraId="07F2621A">
            <w:pPr>
              <w:pStyle w:val="11"/>
              <w:rPr>
                <w:rFonts w:ascii="宋体" w:hAnsi="宋体" w:cs="宋体"/>
                <w:bCs/>
                <w:color w:val="auto"/>
                <w:szCs w:val="24"/>
              </w:rPr>
            </w:pPr>
            <w:r>
              <w:rPr>
                <w:rFonts w:hint="eastAsia" w:ascii="宋体" w:hAnsi="宋体" w:cs="宋体"/>
                <w:color w:val="auto"/>
                <w:szCs w:val="24"/>
              </w:rPr>
              <w:t>入围采购</w:t>
            </w:r>
          </w:p>
        </w:tc>
      </w:tr>
      <w:tr w14:paraId="6818F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4D798C7">
            <w:pPr>
              <w:pStyle w:val="11"/>
              <w:spacing w:line="440" w:lineRule="exact"/>
              <w:jc w:val="center"/>
              <w:rPr>
                <w:rFonts w:ascii="宋体" w:hAnsi="宋体" w:cs="宋体"/>
                <w:b/>
                <w:color w:val="auto"/>
                <w:szCs w:val="24"/>
              </w:rPr>
            </w:pPr>
            <w:r>
              <w:rPr>
                <w:rFonts w:hint="eastAsia" w:ascii="宋体" w:hAnsi="宋体" w:cs="宋体"/>
                <w:b/>
                <w:color w:val="auto"/>
                <w:szCs w:val="24"/>
              </w:rPr>
              <w:t>3</w:t>
            </w:r>
          </w:p>
        </w:tc>
        <w:tc>
          <w:tcPr>
            <w:tcW w:w="1952" w:type="dxa"/>
            <w:tcBorders>
              <w:top w:val="single" w:color="auto" w:sz="4" w:space="0"/>
              <w:left w:val="single" w:color="auto" w:sz="4" w:space="0"/>
              <w:bottom w:val="single" w:color="auto" w:sz="4" w:space="0"/>
              <w:right w:val="single" w:color="auto" w:sz="4" w:space="0"/>
            </w:tcBorders>
            <w:vAlign w:val="center"/>
          </w:tcPr>
          <w:p w14:paraId="65EE2081">
            <w:pPr>
              <w:pStyle w:val="11"/>
              <w:jc w:val="center"/>
              <w:rPr>
                <w:rFonts w:ascii="宋体" w:hAnsi="宋体" w:cs="宋体"/>
                <w:bCs/>
                <w:color w:val="auto"/>
                <w:szCs w:val="24"/>
              </w:rPr>
            </w:pPr>
            <w:r>
              <w:rPr>
                <w:rFonts w:hint="eastAsia" w:ascii="宋体" w:hAnsi="宋体" w:cs="宋体"/>
                <w:bCs/>
                <w:color w:val="auto"/>
                <w:szCs w:val="24"/>
              </w:rPr>
              <w:t>入围办法</w:t>
            </w:r>
          </w:p>
        </w:tc>
        <w:tc>
          <w:tcPr>
            <w:tcW w:w="7413" w:type="dxa"/>
            <w:tcBorders>
              <w:top w:val="single" w:color="auto" w:sz="4" w:space="0"/>
              <w:left w:val="single" w:color="auto" w:sz="4" w:space="0"/>
              <w:bottom w:val="single" w:color="auto" w:sz="4" w:space="0"/>
              <w:right w:val="single" w:color="auto" w:sz="4" w:space="0"/>
            </w:tcBorders>
            <w:vAlign w:val="center"/>
          </w:tcPr>
          <w:p w14:paraId="4180589E">
            <w:pPr>
              <w:pStyle w:val="11"/>
              <w:ind w:right="-107" w:rightChars="-51"/>
              <w:rPr>
                <w:rFonts w:ascii="宋体" w:hAnsi="宋体" w:cs="宋体"/>
                <w:bCs/>
                <w:color w:val="auto"/>
                <w:szCs w:val="24"/>
              </w:rPr>
            </w:pPr>
            <w:r>
              <w:rPr>
                <w:rFonts w:hint="eastAsia" w:ascii="宋体" w:hAnsi="宋体" w:cs="宋体"/>
                <w:bCs/>
                <w:color w:val="auto"/>
                <w:szCs w:val="24"/>
              </w:rPr>
              <w:t>随机抽签入围</w:t>
            </w:r>
          </w:p>
        </w:tc>
      </w:tr>
      <w:tr w14:paraId="39166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153387F">
            <w:pPr>
              <w:pStyle w:val="11"/>
              <w:spacing w:line="440" w:lineRule="exact"/>
              <w:jc w:val="center"/>
              <w:rPr>
                <w:rFonts w:ascii="宋体" w:hAnsi="宋体" w:cs="宋体"/>
                <w:b/>
                <w:color w:val="auto"/>
                <w:szCs w:val="24"/>
              </w:rPr>
            </w:pPr>
            <w:r>
              <w:rPr>
                <w:rFonts w:hint="eastAsia" w:ascii="宋体" w:hAnsi="宋体" w:cs="宋体"/>
                <w:b/>
                <w:color w:val="auto"/>
                <w:szCs w:val="24"/>
              </w:rPr>
              <w:t>4</w:t>
            </w:r>
          </w:p>
        </w:tc>
        <w:tc>
          <w:tcPr>
            <w:tcW w:w="1952" w:type="dxa"/>
            <w:tcBorders>
              <w:top w:val="single" w:color="auto" w:sz="4" w:space="0"/>
              <w:left w:val="single" w:color="auto" w:sz="4" w:space="0"/>
              <w:bottom w:val="single" w:color="auto" w:sz="4" w:space="0"/>
              <w:right w:val="single" w:color="auto" w:sz="4" w:space="0"/>
            </w:tcBorders>
            <w:vAlign w:val="center"/>
          </w:tcPr>
          <w:p w14:paraId="188CB98B">
            <w:pPr>
              <w:pStyle w:val="11"/>
              <w:jc w:val="center"/>
              <w:rPr>
                <w:rFonts w:ascii="宋体" w:hAnsi="宋体" w:cs="宋体"/>
                <w:bCs/>
                <w:color w:val="auto"/>
                <w:szCs w:val="24"/>
              </w:rPr>
            </w:pPr>
            <w:r>
              <w:rPr>
                <w:rFonts w:hint="eastAsia" w:ascii="宋体" w:hAnsi="宋体" w:cs="宋体"/>
                <w:bCs/>
                <w:color w:val="auto"/>
                <w:szCs w:val="24"/>
              </w:rPr>
              <w:t>服务期限</w:t>
            </w:r>
          </w:p>
        </w:tc>
        <w:tc>
          <w:tcPr>
            <w:tcW w:w="7413" w:type="dxa"/>
            <w:tcBorders>
              <w:top w:val="single" w:color="auto" w:sz="4" w:space="0"/>
              <w:left w:val="single" w:color="auto" w:sz="4" w:space="0"/>
              <w:bottom w:val="single" w:color="auto" w:sz="4" w:space="0"/>
              <w:right w:val="single" w:color="auto" w:sz="4" w:space="0"/>
            </w:tcBorders>
            <w:vAlign w:val="center"/>
          </w:tcPr>
          <w:p w14:paraId="30AF1BEE">
            <w:pPr>
              <w:rPr>
                <w:rFonts w:ascii="宋体" w:hAnsi="宋体" w:cs="宋体"/>
                <w:bCs/>
                <w:color w:val="auto"/>
                <w:sz w:val="24"/>
              </w:rPr>
            </w:pPr>
            <w:r>
              <w:rPr>
                <w:rFonts w:hint="eastAsia" w:ascii="宋体" w:hAnsi="宋体" w:cs="宋体"/>
                <w:bCs/>
                <w:color w:val="auto"/>
                <w:kern w:val="1"/>
                <w:sz w:val="24"/>
              </w:rPr>
              <w:t>自合同签订之日起至202</w:t>
            </w:r>
            <w:r>
              <w:rPr>
                <w:rFonts w:hint="eastAsia" w:ascii="宋体" w:hAnsi="宋体" w:cs="宋体"/>
                <w:bCs/>
                <w:color w:val="auto"/>
                <w:kern w:val="1"/>
                <w:sz w:val="24"/>
                <w:lang w:val="en-US" w:eastAsia="zh-CN"/>
              </w:rPr>
              <w:t>6</w:t>
            </w:r>
            <w:r>
              <w:rPr>
                <w:rFonts w:hint="eastAsia" w:ascii="宋体" w:hAnsi="宋体" w:cs="宋体"/>
                <w:bCs/>
                <w:color w:val="auto"/>
                <w:kern w:val="1"/>
                <w:sz w:val="24"/>
              </w:rPr>
              <w:t>年12月31止</w:t>
            </w:r>
          </w:p>
        </w:tc>
      </w:tr>
      <w:tr w14:paraId="35E63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C87DF9">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rPr>
              <w:t>5</w:t>
            </w:r>
          </w:p>
        </w:tc>
        <w:tc>
          <w:tcPr>
            <w:tcW w:w="1952" w:type="dxa"/>
            <w:tcBorders>
              <w:top w:val="single" w:color="auto" w:sz="4" w:space="0"/>
              <w:left w:val="single" w:color="auto" w:sz="4" w:space="0"/>
              <w:bottom w:val="single" w:color="auto" w:sz="4" w:space="0"/>
              <w:right w:val="single" w:color="auto" w:sz="4" w:space="0"/>
            </w:tcBorders>
            <w:vAlign w:val="center"/>
          </w:tcPr>
          <w:p w14:paraId="0D5182F8">
            <w:pPr>
              <w:pStyle w:val="11"/>
              <w:jc w:val="center"/>
              <w:rPr>
                <w:rFonts w:ascii="宋体" w:hAnsi="宋体" w:cs="宋体"/>
                <w:color w:val="auto"/>
                <w:szCs w:val="24"/>
              </w:rPr>
            </w:pPr>
            <w:r>
              <w:rPr>
                <w:rFonts w:hint="eastAsia" w:ascii="宋体" w:hAnsi="宋体" w:eastAsia="宋体" w:cs="宋体"/>
                <w:color w:val="auto"/>
                <w:szCs w:val="24"/>
                <w:highlight w:val="none"/>
                <w:lang w:eastAsia="zh-CN"/>
              </w:rPr>
              <w:t>入围响应人</w:t>
            </w:r>
            <w:r>
              <w:rPr>
                <w:rFonts w:hint="eastAsia" w:ascii="宋体" w:hAnsi="宋体" w:eastAsia="宋体" w:cs="宋体"/>
                <w:color w:val="auto"/>
                <w:szCs w:val="24"/>
                <w:highlight w:val="none"/>
              </w:rPr>
              <w:t>（供应商）资格要求</w:t>
            </w:r>
          </w:p>
        </w:tc>
        <w:tc>
          <w:tcPr>
            <w:tcW w:w="7413" w:type="dxa"/>
            <w:tcBorders>
              <w:top w:val="single" w:color="auto" w:sz="4" w:space="0"/>
              <w:left w:val="single" w:color="auto" w:sz="4" w:space="0"/>
              <w:bottom w:val="single" w:color="auto" w:sz="4" w:space="0"/>
              <w:right w:val="single" w:color="auto" w:sz="4" w:space="0"/>
            </w:tcBorders>
            <w:vAlign w:val="center"/>
          </w:tcPr>
          <w:p w14:paraId="267E2D34">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1.满足本项目一般资格要求规定：</w:t>
            </w:r>
          </w:p>
          <w:p w14:paraId="7BC5DD85">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1.1具有独立承担民事责任的能力；</w:t>
            </w:r>
          </w:p>
          <w:p w14:paraId="73006886">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1.2具有良好的商业信誉和健全的财务会计制度；</w:t>
            </w:r>
          </w:p>
          <w:p w14:paraId="4CD3C46A">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1.3具有履行合同所必需的设备和专业技术能力；</w:t>
            </w:r>
          </w:p>
          <w:p w14:paraId="5EA7A062">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1.4有依法缴纳税收和社会保障资金的良好记录；</w:t>
            </w:r>
          </w:p>
          <w:p w14:paraId="23A688F8">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1.5参加投标活动前三年内，在经营活动中没有重大违法记录；</w:t>
            </w:r>
          </w:p>
          <w:p w14:paraId="3092E7C1">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1.6法律、行政法规规定的其他条件。</w:t>
            </w:r>
          </w:p>
          <w:p w14:paraId="5D5F648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r>
              <w:rPr>
                <w:rFonts w:hint="eastAsia" w:ascii="宋体" w:hAnsi="宋体" w:cs="宋体"/>
                <w:color w:val="auto"/>
                <w:sz w:val="24"/>
              </w:rPr>
              <w:t>近三年（202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1月1日起</w:t>
            </w:r>
            <w:r>
              <w:rPr>
                <w:rFonts w:hint="eastAsia" w:ascii="宋体" w:hAnsi="宋体" w:cs="宋体"/>
                <w:color w:val="auto"/>
                <w:sz w:val="24"/>
              </w:rPr>
              <w:t>）未被采购单位清退或单方面解除合同</w:t>
            </w:r>
            <w:r>
              <w:rPr>
                <w:rFonts w:hint="eastAsia" w:ascii="宋体" w:hAnsi="宋体" w:cs="宋体"/>
                <w:color w:val="auto"/>
                <w:sz w:val="24"/>
                <w:lang w:val="en-US" w:eastAsia="zh-CN"/>
              </w:rPr>
              <w:t>或受到采购单位或行政部门处罚的</w:t>
            </w:r>
            <w:r>
              <w:rPr>
                <w:rFonts w:hint="eastAsia" w:ascii="宋体" w:hAnsi="宋体" w:cs="宋体"/>
                <w:color w:val="auto"/>
                <w:sz w:val="24"/>
              </w:rPr>
              <w:t>，无不良行为记录、无违法违规行为（提供承诺函</w:t>
            </w:r>
            <w:r>
              <w:rPr>
                <w:rFonts w:hint="eastAsia" w:ascii="宋体" w:hAnsi="宋体" w:cs="宋体"/>
                <w:color w:val="auto"/>
                <w:sz w:val="24"/>
                <w:lang w:eastAsia="zh-CN"/>
              </w:rPr>
              <w:t>，</w:t>
            </w:r>
            <w:r>
              <w:rPr>
                <w:rFonts w:hint="eastAsia" w:ascii="宋体" w:hAnsi="宋体" w:cs="宋体"/>
                <w:color w:val="auto"/>
                <w:sz w:val="24"/>
                <w:lang w:val="en-US" w:eastAsia="zh-CN"/>
              </w:rPr>
              <w:t>格式自拟</w:t>
            </w:r>
            <w:r>
              <w:rPr>
                <w:rFonts w:hint="eastAsia" w:ascii="宋体" w:hAnsi="宋体" w:cs="宋体"/>
                <w:color w:val="auto"/>
                <w:sz w:val="24"/>
              </w:rPr>
              <w:t>）；</w:t>
            </w:r>
          </w:p>
          <w:p w14:paraId="4DFF03F5">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2.已在省级及以上政府采购网完成代理机构登记，且已入驻诸暨市区划范围内代理机构库；</w:t>
            </w:r>
          </w:p>
          <w:p w14:paraId="4C121596">
            <w:pPr>
              <w:pStyle w:val="46"/>
              <w:keepNext w:val="0"/>
              <w:keepLines w:val="0"/>
              <w:pageBreakBefore w:val="0"/>
              <w:widowControl w:val="0"/>
              <w:kinsoku/>
              <w:wordWrap/>
              <w:overflowPunct/>
              <w:topLinePunct w:val="0"/>
              <w:autoSpaceDE/>
              <w:autoSpaceDN/>
              <w:bidi w:val="0"/>
              <w:adjustRightInd/>
              <w:snapToGrid w:val="0"/>
              <w:spacing w:after="0" w:afterLines="0" w:line="240" w:lineRule="auto"/>
              <w:ind w:firstLine="480"/>
              <w:textAlignment w:val="auto"/>
              <w:outlineLvl w:val="9"/>
              <w:rPr>
                <w:rFonts w:ascii="宋体" w:hAnsi="宋体" w:cs="宋体"/>
                <w:color w:val="auto"/>
              </w:rPr>
            </w:pPr>
            <w:r>
              <w:rPr>
                <w:rFonts w:hint="eastAsia" w:ascii="宋体" w:hAnsi="宋体" w:eastAsia="宋体" w:cs="宋体"/>
                <w:b w:val="0"/>
                <w:bCs w:val="0"/>
                <w:color w:val="auto"/>
                <w:sz w:val="24"/>
                <w:szCs w:val="24"/>
                <w:highlight w:val="none"/>
                <w:lang w:val="en-US" w:eastAsia="zh-CN"/>
              </w:rPr>
              <w:t>3.本项目不接受联合体投标。</w:t>
            </w:r>
          </w:p>
        </w:tc>
      </w:tr>
      <w:tr w14:paraId="1A7E4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811002">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rPr>
              <w:t>6</w:t>
            </w:r>
          </w:p>
        </w:tc>
        <w:tc>
          <w:tcPr>
            <w:tcW w:w="1952" w:type="dxa"/>
            <w:tcBorders>
              <w:top w:val="single" w:color="auto" w:sz="4" w:space="0"/>
              <w:left w:val="single" w:color="auto" w:sz="4" w:space="0"/>
              <w:bottom w:val="single" w:color="auto" w:sz="4" w:space="0"/>
              <w:right w:val="single" w:color="auto" w:sz="4" w:space="0"/>
            </w:tcBorders>
            <w:vAlign w:val="center"/>
          </w:tcPr>
          <w:p w14:paraId="0D3C9B59">
            <w:pPr>
              <w:pStyle w:val="11"/>
              <w:jc w:val="center"/>
              <w:rPr>
                <w:rFonts w:ascii="宋体" w:hAnsi="宋体" w:cs="宋体"/>
                <w:b/>
                <w:color w:val="auto"/>
                <w:szCs w:val="24"/>
              </w:rPr>
            </w:pPr>
            <w:r>
              <w:rPr>
                <w:rFonts w:hint="eastAsia" w:ascii="宋体" w:hAnsi="宋体" w:eastAsia="宋体" w:cs="宋体"/>
                <w:color w:val="auto"/>
                <w:szCs w:val="24"/>
                <w:highlight w:val="none"/>
              </w:rPr>
              <w:t>是否接受联合体投标</w:t>
            </w:r>
          </w:p>
        </w:tc>
        <w:tc>
          <w:tcPr>
            <w:tcW w:w="7413" w:type="dxa"/>
            <w:tcBorders>
              <w:top w:val="single" w:color="auto" w:sz="4" w:space="0"/>
              <w:left w:val="single" w:color="auto" w:sz="4" w:space="0"/>
              <w:bottom w:val="single" w:color="auto" w:sz="4" w:space="0"/>
              <w:right w:val="single" w:color="auto" w:sz="4" w:space="0"/>
            </w:tcBorders>
            <w:vAlign w:val="center"/>
          </w:tcPr>
          <w:p w14:paraId="6E225F0F">
            <w:pPr>
              <w:pStyle w:val="11"/>
              <w:rPr>
                <w:rFonts w:ascii="宋体" w:hAnsi="宋体" w:cs="宋体"/>
                <w:color w:val="auto"/>
                <w:szCs w:val="24"/>
              </w:rPr>
            </w:pPr>
            <w:r>
              <w:rPr>
                <w:rFonts w:hint="eastAsia" w:ascii="宋体" w:hAnsi="宋体" w:eastAsia="宋体" w:cs="宋体"/>
                <w:color w:val="auto"/>
                <w:szCs w:val="24"/>
                <w:highlight w:val="none"/>
              </w:rPr>
              <w:t>不接受。</w:t>
            </w:r>
          </w:p>
        </w:tc>
      </w:tr>
      <w:tr w14:paraId="41F0A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B3C911">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rPr>
              <w:t>7</w:t>
            </w:r>
          </w:p>
        </w:tc>
        <w:tc>
          <w:tcPr>
            <w:tcW w:w="1952" w:type="dxa"/>
            <w:tcBorders>
              <w:top w:val="single" w:color="auto" w:sz="4" w:space="0"/>
              <w:left w:val="single" w:color="auto" w:sz="4" w:space="0"/>
              <w:bottom w:val="single" w:color="auto" w:sz="4" w:space="0"/>
              <w:right w:val="single" w:color="auto" w:sz="4" w:space="0"/>
            </w:tcBorders>
            <w:vAlign w:val="center"/>
          </w:tcPr>
          <w:p w14:paraId="40C4EA0F">
            <w:pPr>
              <w:pStyle w:val="11"/>
              <w:jc w:val="center"/>
              <w:rPr>
                <w:rFonts w:ascii="宋体" w:hAnsi="宋体" w:cs="宋体"/>
                <w:color w:val="auto"/>
                <w:szCs w:val="24"/>
              </w:rPr>
            </w:pPr>
            <w:r>
              <w:rPr>
                <w:rFonts w:hint="eastAsia" w:ascii="宋体" w:hAnsi="宋体" w:eastAsia="宋体" w:cs="宋体"/>
                <w:color w:val="auto"/>
                <w:szCs w:val="24"/>
                <w:highlight w:val="none"/>
                <w:lang w:val="en-US" w:eastAsia="zh-CN"/>
              </w:rPr>
              <w:t>入围家数</w:t>
            </w:r>
          </w:p>
        </w:tc>
        <w:tc>
          <w:tcPr>
            <w:tcW w:w="7413" w:type="dxa"/>
            <w:tcBorders>
              <w:top w:val="single" w:color="auto" w:sz="4" w:space="0"/>
              <w:left w:val="single" w:color="auto" w:sz="4" w:space="0"/>
              <w:bottom w:val="single" w:color="auto" w:sz="4" w:space="0"/>
              <w:right w:val="single" w:color="auto" w:sz="4" w:space="0"/>
            </w:tcBorders>
            <w:vAlign w:val="center"/>
          </w:tcPr>
          <w:p w14:paraId="51487AD4">
            <w:pPr>
              <w:snapToGrid w:val="0"/>
              <w:rPr>
                <w:rFonts w:ascii="宋体" w:hAnsi="宋体" w:cs="宋体"/>
                <w:color w:val="auto"/>
                <w:sz w:val="24"/>
              </w:rPr>
            </w:pPr>
            <w:r>
              <w:rPr>
                <w:rFonts w:hint="eastAsia" w:ascii="宋体" w:hAnsi="宋体" w:eastAsia="宋体" w:cs="宋体"/>
                <w:color w:val="auto"/>
                <w:sz w:val="24"/>
                <w:szCs w:val="24"/>
                <w:highlight w:val="none"/>
                <w:u w:val="single"/>
              </w:rPr>
              <w:t>本次招标共</w:t>
            </w:r>
            <w:r>
              <w:rPr>
                <w:rFonts w:hint="eastAsia" w:ascii="宋体" w:hAnsi="宋体" w:eastAsia="宋体" w:cs="宋体"/>
                <w:color w:val="auto"/>
                <w:sz w:val="24"/>
                <w:szCs w:val="24"/>
                <w:highlight w:val="none"/>
                <w:u w:val="single"/>
                <w:lang w:val="en-US" w:eastAsia="zh-CN"/>
              </w:rPr>
              <w:t>入围</w:t>
            </w:r>
            <w:r>
              <w:rPr>
                <w:rFonts w:hint="eastAsia" w:ascii="宋体" w:hAnsi="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val="en-US" w:eastAsia="zh-CN"/>
              </w:rPr>
              <w:t>家单位。</w:t>
            </w:r>
          </w:p>
        </w:tc>
      </w:tr>
      <w:tr w14:paraId="0FF5C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2CB4DC2">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lang w:val="en-US" w:eastAsia="zh-CN"/>
              </w:rPr>
              <w:t>8</w:t>
            </w:r>
          </w:p>
        </w:tc>
        <w:tc>
          <w:tcPr>
            <w:tcW w:w="1952" w:type="dxa"/>
            <w:tcBorders>
              <w:top w:val="single" w:color="auto" w:sz="4" w:space="0"/>
              <w:left w:val="single" w:color="auto" w:sz="4" w:space="0"/>
              <w:bottom w:val="single" w:color="auto" w:sz="4" w:space="0"/>
              <w:right w:val="single" w:color="auto" w:sz="4" w:space="0"/>
            </w:tcBorders>
            <w:vAlign w:val="center"/>
          </w:tcPr>
          <w:p w14:paraId="5A04E277">
            <w:pPr>
              <w:pStyle w:val="11"/>
              <w:jc w:val="center"/>
              <w:rPr>
                <w:rFonts w:ascii="宋体" w:hAnsi="宋体" w:cs="宋体"/>
                <w:color w:val="auto"/>
                <w:szCs w:val="24"/>
              </w:rPr>
            </w:pPr>
            <w:r>
              <w:rPr>
                <w:rFonts w:hint="eastAsia" w:ascii="宋体" w:hAnsi="宋体" w:eastAsia="宋体" w:cs="宋体"/>
                <w:color w:val="auto"/>
                <w:szCs w:val="24"/>
                <w:highlight w:val="none"/>
              </w:rPr>
              <w:t>资格审查</w:t>
            </w:r>
            <w:r>
              <w:rPr>
                <w:rFonts w:hint="eastAsia" w:ascii="宋体" w:hAnsi="宋体" w:eastAsia="宋体" w:cs="宋体"/>
                <w:color w:val="auto"/>
                <w:szCs w:val="24"/>
                <w:highlight w:val="none"/>
                <w:lang w:val="en-US" w:eastAsia="zh-CN"/>
              </w:rPr>
              <w:t>原件</w:t>
            </w:r>
          </w:p>
        </w:tc>
        <w:tc>
          <w:tcPr>
            <w:tcW w:w="7413" w:type="dxa"/>
            <w:tcBorders>
              <w:top w:val="single" w:color="auto" w:sz="4" w:space="0"/>
              <w:left w:val="single" w:color="auto" w:sz="4" w:space="0"/>
              <w:bottom w:val="single" w:color="auto" w:sz="4" w:space="0"/>
              <w:right w:val="single" w:color="auto" w:sz="4" w:space="0"/>
            </w:tcBorders>
            <w:vAlign w:val="center"/>
          </w:tcPr>
          <w:p w14:paraId="549EEAFD">
            <w:pPr>
              <w:pStyle w:val="11"/>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eastAsia="zh-CN"/>
              </w:rPr>
              <w:t>审查原件</w:t>
            </w:r>
            <w:r>
              <w:rPr>
                <w:rFonts w:hint="eastAsia" w:ascii="宋体" w:hAnsi="宋体" w:eastAsia="宋体" w:cs="宋体"/>
                <w:color w:val="auto"/>
                <w:szCs w:val="24"/>
                <w:highlight w:val="none"/>
              </w:rPr>
              <w:t>资料：</w:t>
            </w:r>
          </w:p>
          <w:p w14:paraId="34871268">
            <w:pPr>
              <w:pStyle w:val="11"/>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1、营业执照</w:t>
            </w:r>
            <w:r>
              <w:rPr>
                <w:rFonts w:hint="eastAsia" w:ascii="宋体" w:hAnsi="宋体" w:eastAsia="宋体" w:cs="宋体"/>
                <w:color w:val="auto"/>
                <w:szCs w:val="24"/>
                <w:highlight w:val="none"/>
                <w:lang w:val="en-US" w:eastAsia="zh-CN"/>
              </w:rPr>
              <w:t>原件</w:t>
            </w:r>
            <w:r>
              <w:rPr>
                <w:rFonts w:hint="eastAsia" w:ascii="宋体" w:hAnsi="宋体" w:eastAsia="宋体" w:cs="宋体"/>
                <w:color w:val="auto"/>
                <w:szCs w:val="24"/>
                <w:highlight w:val="none"/>
              </w:rPr>
              <w:t>。</w:t>
            </w:r>
          </w:p>
          <w:p w14:paraId="6F29ADE5">
            <w:pPr>
              <w:pStyle w:val="11"/>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2、授权委托书原件（法人本人投标的只需提供法人身份证原件）。</w:t>
            </w:r>
          </w:p>
          <w:p w14:paraId="6EDA4566">
            <w:pPr>
              <w:pStyle w:val="11"/>
              <w:ind w:firstLine="480" w:firstLineChars="200"/>
              <w:rPr>
                <w:rFonts w:ascii="宋体" w:hAnsi="宋体" w:cs="宋体"/>
                <w:color w:val="auto"/>
                <w:sz w:val="24"/>
                <w:u w:val="single"/>
              </w:rPr>
            </w:pPr>
            <w:r>
              <w:rPr>
                <w:rFonts w:hint="eastAsia" w:ascii="宋体" w:hAnsi="宋体" w:eastAsia="宋体" w:cs="宋体"/>
                <w:color w:val="auto"/>
                <w:highlight w:val="none"/>
                <w:lang w:val="en-US" w:eastAsia="zh-CN"/>
              </w:rPr>
              <w:t>资格审查原件在资格审查通过后现场退回。</w:t>
            </w:r>
          </w:p>
        </w:tc>
      </w:tr>
      <w:tr w14:paraId="379A6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5EFEAAB">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lang w:val="en-US" w:eastAsia="zh-CN"/>
              </w:rPr>
              <w:t>9</w:t>
            </w:r>
          </w:p>
        </w:tc>
        <w:tc>
          <w:tcPr>
            <w:tcW w:w="1952" w:type="dxa"/>
            <w:tcBorders>
              <w:top w:val="single" w:color="auto" w:sz="4" w:space="0"/>
              <w:left w:val="single" w:color="auto" w:sz="4" w:space="0"/>
              <w:bottom w:val="single" w:color="auto" w:sz="4" w:space="0"/>
              <w:right w:val="single" w:color="auto" w:sz="4" w:space="0"/>
            </w:tcBorders>
            <w:vAlign w:val="center"/>
          </w:tcPr>
          <w:p w14:paraId="4E562AC7">
            <w:pPr>
              <w:pStyle w:val="11"/>
              <w:jc w:val="center"/>
              <w:rPr>
                <w:rFonts w:ascii="宋体" w:hAnsi="宋体" w:cs="宋体"/>
                <w:color w:val="auto"/>
                <w:szCs w:val="24"/>
              </w:rPr>
            </w:pPr>
            <w:r>
              <w:rPr>
                <w:rFonts w:hint="eastAsia" w:ascii="宋体" w:hAnsi="宋体" w:eastAsia="宋体" w:cs="宋体"/>
                <w:color w:val="auto"/>
                <w:szCs w:val="24"/>
                <w:highlight w:val="none"/>
                <w:lang w:val="en-US" w:eastAsia="zh-CN"/>
              </w:rPr>
              <w:t>报名表的获取</w:t>
            </w:r>
          </w:p>
        </w:tc>
        <w:tc>
          <w:tcPr>
            <w:tcW w:w="7413" w:type="dxa"/>
            <w:tcBorders>
              <w:top w:val="single" w:color="auto" w:sz="4" w:space="0"/>
              <w:left w:val="single" w:color="auto" w:sz="4" w:space="0"/>
              <w:bottom w:val="single" w:color="auto" w:sz="4" w:space="0"/>
              <w:right w:val="single" w:color="auto" w:sz="4" w:space="0"/>
            </w:tcBorders>
            <w:vAlign w:val="center"/>
          </w:tcPr>
          <w:p w14:paraId="54A12191">
            <w:pPr>
              <w:spacing w:line="360" w:lineRule="auto"/>
              <w:ind w:firstLine="480" w:firstLineChars="200"/>
              <w:rPr>
                <w:rFonts w:ascii="宋体" w:hAnsi="宋体" w:cs="宋体"/>
                <w:b/>
                <w:color w:val="auto"/>
                <w:szCs w:val="24"/>
              </w:rPr>
            </w:pPr>
            <w:r>
              <w:rPr>
                <w:rFonts w:hint="eastAsia" w:ascii="宋体" w:hAnsi="宋体" w:eastAsia="宋体" w:cs="宋体"/>
                <w:color w:val="auto"/>
                <w:sz w:val="24"/>
                <w:szCs w:val="24"/>
                <w:highlight w:val="none"/>
                <w:lang w:val="en-US" w:eastAsia="zh-CN"/>
              </w:rPr>
              <w:t>见附件，参与入围单位自行下载查阅。</w:t>
            </w:r>
          </w:p>
        </w:tc>
      </w:tr>
      <w:tr w14:paraId="2F1BD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F012895">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lang w:val="en-US" w:eastAsia="zh-CN"/>
              </w:rPr>
              <w:t>10</w:t>
            </w:r>
          </w:p>
        </w:tc>
        <w:tc>
          <w:tcPr>
            <w:tcW w:w="1952" w:type="dxa"/>
            <w:tcBorders>
              <w:top w:val="single" w:color="auto" w:sz="4" w:space="0"/>
              <w:left w:val="single" w:color="auto" w:sz="4" w:space="0"/>
              <w:bottom w:val="single" w:color="auto" w:sz="4" w:space="0"/>
              <w:right w:val="single" w:color="auto" w:sz="4" w:space="0"/>
            </w:tcBorders>
            <w:vAlign w:val="center"/>
          </w:tcPr>
          <w:p w14:paraId="051CE9B5">
            <w:pPr>
              <w:pStyle w:val="11"/>
              <w:jc w:val="center"/>
              <w:rPr>
                <w:rFonts w:ascii="宋体" w:hAnsi="宋体" w:cs="宋体"/>
                <w:b/>
                <w:color w:val="auto"/>
                <w:szCs w:val="24"/>
              </w:rPr>
            </w:pPr>
            <w:r>
              <w:rPr>
                <w:rFonts w:hint="eastAsia" w:ascii="宋体" w:hAnsi="宋体" w:eastAsia="宋体" w:cs="宋体"/>
                <w:color w:val="auto"/>
                <w:szCs w:val="24"/>
                <w:highlight w:val="none"/>
                <w:lang w:val="en-US" w:eastAsia="zh-CN"/>
              </w:rPr>
              <w:t>入围</w:t>
            </w:r>
            <w:r>
              <w:rPr>
                <w:rFonts w:hint="eastAsia" w:ascii="宋体" w:hAnsi="宋体" w:eastAsia="宋体" w:cs="宋体"/>
                <w:color w:val="auto"/>
                <w:szCs w:val="24"/>
                <w:highlight w:val="none"/>
              </w:rPr>
              <w:t>保证金</w:t>
            </w:r>
          </w:p>
        </w:tc>
        <w:tc>
          <w:tcPr>
            <w:tcW w:w="7413" w:type="dxa"/>
            <w:tcBorders>
              <w:top w:val="single" w:color="auto" w:sz="4" w:space="0"/>
              <w:left w:val="single" w:color="auto" w:sz="4" w:space="0"/>
              <w:bottom w:val="single" w:color="auto" w:sz="4" w:space="0"/>
              <w:right w:val="single" w:color="auto" w:sz="4" w:space="0"/>
            </w:tcBorders>
            <w:vAlign w:val="center"/>
          </w:tcPr>
          <w:p w14:paraId="081F1B84">
            <w:pPr>
              <w:autoSpaceDE/>
              <w:autoSpaceDN/>
              <w:adjustRightInd/>
              <w:spacing w:line="360" w:lineRule="auto"/>
              <w:ind w:firstLine="480" w:firstLineChars="200"/>
              <w:rPr>
                <w:rFonts w:ascii="宋体" w:hAnsi="宋体" w:cs="宋体"/>
                <w:b/>
                <w:color w:val="auto"/>
                <w:szCs w:val="24"/>
              </w:rPr>
            </w:pPr>
            <w:r>
              <w:rPr>
                <w:rFonts w:hint="eastAsia" w:ascii="宋体" w:hAnsi="宋体" w:eastAsia="宋体" w:cs="宋体"/>
                <w:color w:val="auto"/>
                <w:sz w:val="24"/>
                <w:szCs w:val="24"/>
                <w:highlight w:val="none"/>
              </w:rPr>
              <w:t>本项目免收</w:t>
            </w:r>
            <w:r>
              <w:rPr>
                <w:rFonts w:hint="eastAsia" w:ascii="宋体" w:hAnsi="宋体" w:eastAsia="宋体" w:cs="宋体"/>
                <w:color w:val="auto"/>
                <w:sz w:val="24"/>
                <w:szCs w:val="24"/>
                <w:highlight w:val="none"/>
                <w:lang w:val="en-US" w:eastAsia="zh-CN"/>
              </w:rPr>
              <w:t>入围</w:t>
            </w:r>
            <w:r>
              <w:rPr>
                <w:rFonts w:hint="eastAsia" w:ascii="宋体" w:hAnsi="宋体" w:eastAsia="宋体" w:cs="宋体"/>
                <w:color w:val="auto"/>
                <w:sz w:val="24"/>
                <w:szCs w:val="24"/>
                <w:highlight w:val="none"/>
              </w:rPr>
              <w:t>保证金。</w:t>
            </w:r>
          </w:p>
        </w:tc>
      </w:tr>
      <w:tr w14:paraId="09508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21977C9">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1</w:t>
            </w:r>
          </w:p>
        </w:tc>
        <w:tc>
          <w:tcPr>
            <w:tcW w:w="1952" w:type="dxa"/>
            <w:tcBorders>
              <w:top w:val="single" w:color="auto" w:sz="4" w:space="0"/>
              <w:left w:val="single" w:color="auto" w:sz="4" w:space="0"/>
              <w:bottom w:val="single" w:color="auto" w:sz="4" w:space="0"/>
              <w:right w:val="single" w:color="auto" w:sz="4" w:space="0"/>
            </w:tcBorders>
            <w:vAlign w:val="center"/>
          </w:tcPr>
          <w:p w14:paraId="6230CB12">
            <w:pPr>
              <w:pStyle w:val="11"/>
              <w:jc w:val="center"/>
              <w:rPr>
                <w:rFonts w:ascii="宋体" w:hAnsi="宋体" w:cs="宋体"/>
                <w:color w:val="auto"/>
                <w:szCs w:val="24"/>
              </w:rPr>
            </w:pPr>
            <w:r>
              <w:rPr>
                <w:rFonts w:hint="eastAsia" w:ascii="宋体" w:hAnsi="宋体" w:eastAsia="宋体" w:cs="宋体"/>
                <w:b/>
                <w:color w:val="auto"/>
                <w:szCs w:val="24"/>
                <w:highlight w:val="none"/>
                <w:lang w:val="en-US" w:eastAsia="zh-CN"/>
              </w:rPr>
              <w:t>投标文件</w:t>
            </w:r>
          </w:p>
        </w:tc>
        <w:tc>
          <w:tcPr>
            <w:tcW w:w="7413" w:type="dxa"/>
            <w:tcBorders>
              <w:top w:val="single" w:color="auto" w:sz="4" w:space="0"/>
              <w:left w:val="single" w:color="auto" w:sz="4" w:space="0"/>
              <w:bottom w:val="single" w:color="auto" w:sz="4" w:space="0"/>
              <w:right w:val="single" w:color="auto" w:sz="4" w:space="0"/>
            </w:tcBorders>
            <w:vAlign w:val="center"/>
          </w:tcPr>
          <w:p w14:paraId="04A4DC3A">
            <w:pPr>
              <w:tabs>
                <w:tab w:val="left" w:pos="3870"/>
                <w:tab w:val="left" w:pos="4085"/>
              </w:tabs>
              <w:snapToGrid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）授权委托书原件（法人本人投标的只需提供法人身份证复印件）</w:t>
            </w:r>
          </w:p>
          <w:p w14:paraId="19580E8B">
            <w:pPr>
              <w:tabs>
                <w:tab w:val="left" w:pos="3870"/>
                <w:tab w:val="left" w:pos="4085"/>
              </w:tabs>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582B3379">
            <w:pPr>
              <w:tabs>
                <w:tab w:val="left" w:pos="3870"/>
                <w:tab w:val="left" w:pos="4085"/>
              </w:tabs>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）投标函； </w:t>
            </w:r>
          </w:p>
          <w:p w14:paraId="1932BB43">
            <w:pPr>
              <w:tabs>
                <w:tab w:val="left" w:pos="3870"/>
                <w:tab w:val="left" w:pos="4085"/>
              </w:tabs>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在省</w:t>
            </w:r>
            <w:r>
              <w:rPr>
                <w:rFonts w:hint="eastAsia" w:ascii="宋体" w:hAnsi="宋体" w:cs="宋体"/>
                <w:color w:val="auto"/>
                <w:sz w:val="24"/>
                <w:szCs w:val="24"/>
                <w:highlight w:val="none"/>
                <w:lang w:val="en-US" w:eastAsia="zh-CN"/>
              </w:rPr>
              <w:t>级及以上</w:t>
            </w:r>
            <w:r>
              <w:rPr>
                <w:rFonts w:hint="eastAsia" w:ascii="宋体" w:hAnsi="宋体" w:eastAsia="宋体" w:cs="宋体"/>
                <w:color w:val="auto"/>
                <w:sz w:val="24"/>
                <w:szCs w:val="24"/>
                <w:highlight w:val="none"/>
                <w:lang w:val="en-US" w:eastAsia="zh-CN"/>
              </w:rPr>
              <w:t>政府采购网政府采购网</w:t>
            </w:r>
            <w:r>
              <w:rPr>
                <w:rFonts w:hint="eastAsia" w:ascii="宋体" w:hAnsi="宋体" w:cs="宋体"/>
                <w:color w:val="auto"/>
                <w:sz w:val="24"/>
                <w:szCs w:val="24"/>
                <w:highlight w:val="none"/>
                <w:lang w:val="en-US" w:eastAsia="zh-CN"/>
              </w:rPr>
              <w:t>入驻</w:t>
            </w:r>
            <w:r>
              <w:rPr>
                <w:rFonts w:hint="eastAsia" w:ascii="宋体" w:hAnsi="宋体" w:eastAsia="宋体" w:cs="宋体"/>
                <w:color w:val="auto"/>
                <w:sz w:val="24"/>
                <w:szCs w:val="24"/>
                <w:highlight w:val="none"/>
                <w:lang w:val="en-US" w:eastAsia="zh-CN"/>
              </w:rPr>
              <w:t>截图证明材料</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已入驻诸暨市区划范围内代理机构库</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053E6B7">
            <w:pPr>
              <w:tabs>
                <w:tab w:val="left" w:pos="3870"/>
                <w:tab w:val="left" w:pos="4085"/>
              </w:tabs>
              <w:snapToGrid w:val="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符合性审查材料：</w:t>
            </w:r>
          </w:p>
          <w:p w14:paraId="4EB245DF">
            <w:pPr>
              <w:tabs>
                <w:tab w:val="left" w:pos="3870"/>
                <w:tab w:val="left" w:pos="4085"/>
              </w:tabs>
              <w:snapToGrid w:val="0"/>
              <w:ind w:firstLine="480" w:firstLineChars="200"/>
              <w:jc w:val="left"/>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①在诸暨市具备规范</w:t>
            </w:r>
            <w:r>
              <w:rPr>
                <w:rFonts w:hint="eastAsia" w:ascii="宋体" w:hAnsi="宋体" w:eastAsia="宋体" w:cs="宋体"/>
                <w:snapToGrid/>
                <w:color w:val="auto"/>
                <w:spacing w:val="0"/>
                <w:kern w:val="21"/>
                <w:position w:val="0"/>
                <w:sz w:val="24"/>
                <w:szCs w:val="24"/>
                <w:lang w:val="en-US" w:eastAsia="zh-CN"/>
              </w:rPr>
              <w:t>的开评标场地</w:t>
            </w:r>
            <w:r>
              <w:rPr>
                <w:rFonts w:hint="eastAsia" w:ascii="宋体" w:hAnsi="宋体" w:cs="宋体"/>
                <w:color w:val="auto"/>
                <w:sz w:val="24"/>
                <w:szCs w:val="24"/>
                <w:highlight w:val="none"/>
                <w:lang w:val="en-US" w:eastAsia="zh-CN"/>
              </w:rPr>
              <w:t>：具备</w:t>
            </w:r>
            <w:r>
              <w:rPr>
                <w:rFonts w:hint="eastAsia" w:ascii="宋体" w:hAnsi="宋体" w:eastAsia="宋体" w:cs="宋体"/>
                <w:color w:val="auto"/>
                <w:sz w:val="24"/>
                <w:szCs w:val="24"/>
                <w:highlight w:val="none"/>
                <w:lang w:val="en-US" w:eastAsia="zh-CN"/>
              </w:rPr>
              <w:t>开标室、评标室、监标室、档案室</w:t>
            </w:r>
            <w:r>
              <w:rPr>
                <w:rFonts w:hint="eastAsia" w:ascii="宋体" w:hAnsi="宋体" w:cs="宋体"/>
                <w:color w:val="auto"/>
                <w:sz w:val="24"/>
                <w:szCs w:val="24"/>
                <w:highlight w:val="none"/>
                <w:lang w:val="en-US" w:eastAsia="zh-CN"/>
              </w:rPr>
              <w:t>，场地内须具备可用的监控及监控显示设备，开标室内须具备7台及以上开评标电脑及张贴明显的开评标室纪律（提供办公场地房产证明或房产租赁合同及出租方房产证明复印件，及以上场地设施照片证明材料）</w:t>
            </w:r>
            <w:r>
              <w:rPr>
                <w:rFonts w:hint="eastAsia" w:ascii="宋体" w:hAnsi="宋体" w:eastAsia="宋体" w:cs="宋体"/>
                <w:color w:val="auto"/>
                <w:sz w:val="24"/>
                <w:szCs w:val="24"/>
                <w:highlight w:val="none"/>
                <w:lang w:val="en-US" w:eastAsia="zh-CN"/>
              </w:rPr>
              <w:t>；</w:t>
            </w:r>
          </w:p>
          <w:p w14:paraId="1871967C">
            <w:pPr>
              <w:snapToGrid w:val="0"/>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不少于</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名</w:t>
            </w:r>
            <w:r>
              <w:rPr>
                <w:rFonts w:hint="eastAsia" w:ascii="宋体" w:hAnsi="宋体" w:cs="宋体"/>
                <w:color w:val="auto"/>
                <w:sz w:val="24"/>
                <w:szCs w:val="24"/>
                <w:highlight w:val="none"/>
                <w:lang w:val="en-US" w:eastAsia="zh-CN"/>
              </w:rPr>
              <w:t>政府采购</w:t>
            </w:r>
            <w:r>
              <w:rPr>
                <w:rFonts w:hint="eastAsia" w:ascii="宋体" w:hAnsi="宋体" w:eastAsia="宋体" w:cs="宋体"/>
                <w:color w:val="auto"/>
                <w:sz w:val="24"/>
                <w:szCs w:val="24"/>
                <w:highlight w:val="none"/>
                <w:lang w:val="en-US" w:eastAsia="zh-CN"/>
              </w:rPr>
              <w:t>专职从业人员</w:t>
            </w:r>
            <w:r>
              <w:rPr>
                <w:rFonts w:hint="eastAsia" w:ascii="宋体" w:hAnsi="宋体" w:cs="宋体"/>
                <w:color w:val="auto"/>
                <w:sz w:val="24"/>
                <w:szCs w:val="24"/>
                <w:highlight w:val="none"/>
                <w:lang w:val="en-US" w:eastAsia="zh-CN"/>
              </w:rPr>
              <w:t>（须提供一年内从业培训合格证书及投标人为从业人员缴纳的近6个月社保证明材料）；</w:t>
            </w:r>
          </w:p>
          <w:p w14:paraId="6C6817D4">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④近一年内从事过政府采购代理业务的证明材料（须提供政府采购项目的招标公告及中标结果公告的网页截图证明材料）；</w:t>
            </w:r>
          </w:p>
          <w:p w14:paraId="672C27AC">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cs="宋体"/>
                <w:color w:val="auto"/>
                <w:sz w:val="24"/>
              </w:rPr>
              <w:t>近三年（202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1月1日起</w:t>
            </w:r>
            <w:r>
              <w:rPr>
                <w:rFonts w:hint="eastAsia" w:ascii="宋体" w:hAnsi="宋体" w:cs="宋体"/>
                <w:color w:val="auto"/>
                <w:sz w:val="24"/>
              </w:rPr>
              <w:t>）未被采购单位清退或单方面解除合同</w:t>
            </w:r>
            <w:r>
              <w:rPr>
                <w:rFonts w:hint="eastAsia" w:ascii="宋体" w:hAnsi="宋体" w:cs="宋体"/>
                <w:color w:val="auto"/>
                <w:sz w:val="24"/>
                <w:lang w:val="en-US" w:eastAsia="zh-CN"/>
              </w:rPr>
              <w:t>或受到采购单位或行政部门处罚的</w:t>
            </w:r>
            <w:r>
              <w:rPr>
                <w:rFonts w:hint="eastAsia" w:ascii="宋体" w:hAnsi="宋体" w:cs="宋体"/>
                <w:color w:val="auto"/>
                <w:sz w:val="24"/>
              </w:rPr>
              <w:t>，无不良行为记录、无违法违规行为（提供承诺函</w:t>
            </w:r>
            <w:r>
              <w:rPr>
                <w:rFonts w:hint="eastAsia" w:ascii="宋体" w:hAnsi="宋体" w:cs="宋体"/>
                <w:color w:val="auto"/>
                <w:sz w:val="24"/>
                <w:lang w:eastAsia="zh-CN"/>
              </w:rPr>
              <w:t>，</w:t>
            </w:r>
            <w:r>
              <w:rPr>
                <w:rFonts w:hint="eastAsia" w:ascii="宋体" w:hAnsi="宋体" w:cs="宋体"/>
                <w:color w:val="auto"/>
                <w:sz w:val="24"/>
                <w:lang w:val="en-US" w:eastAsia="zh-CN"/>
              </w:rPr>
              <w:t>格式自拟</w:t>
            </w:r>
            <w:r>
              <w:rPr>
                <w:rFonts w:hint="eastAsia" w:ascii="宋体" w:hAnsi="宋体" w:cs="宋体"/>
                <w:color w:val="auto"/>
                <w:sz w:val="24"/>
              </w:rPr>
              <w:t>）；</w:t>
            </w:r>
          </w:p>
          <w:p w14:paraId="0E57B620">
            <w:pPr>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认为需要提交的证明材料（如有）。</w:t>
            </w:r>
          </w:p>
          <w:p w14:paraId="44BB2266">
            <w:pPr>
              <w:pStyle w:val="11"/>
              <w:ind w:firstLine="480" w:firstLineChars="200"/>
              <w:rPr>
                <w:rFonts w:hint="default" w:ascii="宋体" w:hAnsi="宋体" w:eastAsia="宋体" w:cs="宋体"/>
                <w:color w:val="auto"/>
                <w:szCs w:val="24"/>
                <w:lang w:val="en-US" w:eastAsia="zh-CN"/>
              </w:rPr>
            </w:pPr>
            <w:r>
              <w:rPr>
                <w:rFonts w:hint="eastAsia" w:ascii="宋体" w:hAnsi="宋体" w:eastAsia="宋体" w:cs="宋体"/>
                <w:color w:val="auto"/>
                <w:szCs w:val="24"/>
                <w:highlight w:val="none"/>
              </w:rPr>
              <w:t>注：</w:t>
            </w:r>
            <w:r>
              <w:rPr>
                <w:rFonts w:hint="eastAsia" w:ascii="宋体" w:hAnsi="宋体" w:eastAsia="宋体" w:cs="宋体"/>
                <w:color w:val="auto"/>
                <w:szCs w:val="24"/>
                <w:highlight w:val="none"/>
                <w:lang w:val="en-US" w:eastAsia="zh-CN"/>
              </w:rPr>
              <w:t>以上资料</w:t>
            </w:r>
            <w:r>
              <w:rPr>
                <w:rFonts w:hint="eastAsia" w:ascii="宋体" w:hAnsi="宋体" w:eastAsia="宋体" w:cs="宋体"/>
                <w:color w:val="auto"/>
                <w:szCs w:val="24"/>
                <w:highlight w:val="none"/>
              </w:rPr>
              <w:t>必须</w:t>
            </w:r>
            <w:r>
              <w:rPr>
                <w:rFonts w:hint="eastAsia" w:ascii="宋体" w:hAnsi="宋体" w:cs="宋体"/>
                <w:color w:val="auto"/>
                <w:szCs w:val="24"/>
                <w:highlight w:val="none"/>
                <w:lang w:val="en-US" w:eastAsia="zh-CN"/>
              </w:rPr>
              <w:t>真实有效并</w:t>
            </w:r>
            <w:r>
              <w:rPr>
                <w:rFonts w:hint="eastAsia" w:ascii="宋体" w:hAnsi="宋体" w:eastAsia="宋体" w:cs="宋体"/>
                <w:color w:val="auto"/>
                <w:szCs w:val="24"/>
                <w:highlight w:val="none"/>
              </w:rPr>
              <w:t>加盖单位公章</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未按要求提供或提供虚假材料的，均做无效标处理。</w:t>
            </w:r>
          </w:p>
        </w:tc>
      </w:tr>
      <w:tr w14:paraId="34882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A06FE0">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2</w:t>
            </w:r>
          </w:p>
        </w:tc>
        <w:tc>
          <w:tcPr>
            <w:tcW w:w="1952" w:type="dxa"/>
            <w:tcBorders>
              <w:top w:val="single" w:color="auto" w:sz="4" w:space="0"/>
              <w:left w:val="single" w:color="auto" w:sz="4" w:space="0"/>
              <w:bottom w:val="single" w:color="auto" w:sz="4" w:space="0"/>
              <w:right w:val="single" w:color="auto" w:sz="4" w:space="0"/>
            </w:tcBorders>
            <w:vAlign w:val="center"/>
          </w:tcPr>
          <w:p w14:paraId="5F426D31">
            <w:pPr>
              <w:pStyle w:val="11"/>
              <w:jc w:val="center"/>
              <w:rPr>
                <w:rFonts w:ascii="宋体" w:hAnsi="宋体" w:cs="宋体"/>
                <w:b/>
                <w:color w:val="auto"/>
                <w:szCs w:val="24"/>
              </w:rPr>
            </w:pPr>
            <w:r>
              <w:rPr>
                <w:rFonts w:hint="eastAsia" w:ascii="宋体" w:hAnsi="宋体" w:eastAsia="宋体" w:cs="宋体"/>
                <w:b/>
                <w:color w:val="auto"/>
                <w:szCs w:val="24"/>
                <w:highlight w:val="none"/>
                <w:lang w:val="en-US" w:eastAsia="zh-CN"/>
              </w:rPr>
              <w:t>投标文件</w:t>
            </w:r>
            <w:r>
              <w:rPr>
                <w:rFonts w:hint="eastAsia" w:ascii="宋体" w:hAnsi="宋体" w:eastAsia="宋体" w:cs="宋体"/>
                <w:b/>
                <w:color w:val="auto"/>
                <w:szCs w:val="24"/>
                <w:highlight w:val="none"/>
              </w:rPr>
              <w:t>份数</w:t>
            </w:r>
          </w:p>
        </w:tc>
        <w:tc>
          <w:tcPr>
            <w:tcW w:w="7413" w:type="dxa"/>
            <w:tcBorders>
              <w:top w:val="single" w:color="auto" w:sz="4" w:space="0"/>
              <w:left w:val="single" w:color="auto" w:sz="4" w:space="0"/>
              <w:bottom w:val="single" w:color="auto" w:sz="4" w:space="0"/>
              <w:right w:val="single" w:color="auto" w:sz="4" w:space="0"/>
            </w:tcBorders>
            <w:vAlign w:val="center"/>
          </w:tcPr>
          <w:p w14:paraId="698B7778">
            <w:pPr>
              <w:pStyle w:val="11"/>
              <w:rPr>
                <w:rFonts w:ascii="宋体" w:hAnsi="宋体" w:cs="宋体"/>
                <w:color w:val="auto"/>
                <w:szCs w:val="24"/>
              </w:rPr>
            </w:pPr>
            <w:r>
              <w:rPr>
                <w:rFonts w:hint="eastAsia" w:ascii="宋体" w:hAnsi="宋体" w:eastAsia="宋体" w:cs="宋体"/>
                <w:b/>
                <w:color w:val="auto"/>
                <w:szCs w:val="24"/>
                <w:highlight w:val="none"/>
                <w:lang w:val="en-US" w:eastAsia="zh-CN"/>
              </w:rPr>
              <w:t>投标文件一份，按要求装订并密封。</w:t>
            </w:r>
          </w:p>
        </w:tc>
      </w:tr>
      <w:tr w14:paraId="49648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BB24C40">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3</w:t>
            </w:r>
          </w:p>
        </w:tc>
        <w:tc>
          <w:tcPr>
            <w:tcW w:w="1952" w:type="dxa"/>
            <w:tcBorders>
              <w:top w:val="single" w:color="auto" w:sz="4" w:space="0"/>
              <w:left w:val="single" w:color="auto" w:sz="4" w:space="0"/>
              <w:bottom w:val="single" w:color="auto" w:sz="4" w:space="0"/>
              <w:right w:val="single" w:color="auto" w:sz="4" w:space="0"/>
            </w:tcBorders>
            <w:vAlign w:val="center"/>
          </w:tcPr>
          <w:p w14:paraId="7E23E97F">
            <w:pPr>
              <w:pStyle w:val="11"/>
              <w:jc w:val="center"/>
              <w:rPr>
                <w:rFonts w:ascii="宋体" w:hAnsi="宋体" w:cs="宋体"/>
                <w:color w:val="auto"/>
                <w:szCs w:val="24"/>
              </w:rPr>
            </w:pPr>
            <w:r>
              <w:rPr>
                <w:rFonts w:hint="eastAsia" w:ascii="宋体" w:hAnsi="宋体" w:eastAsia="宋体" w:cs="宋体"/>
                <w:color w:val="auto"/>
                <w:szCs w:val="24"/>
                <w:highlight w:val="none"/>
              </w:rPr>
              <w:t>签订合同时间</w:t>
            </w:r>
          </w:p>
        </w:tc>
        <w:tc>
          <w:tcPr>
            <w:tcW w:w="7413" w:type="dxa"/>
            <w:tcBorders>
              <w:top w:val="single" w:color="auto" w:sz="4" w:space="0"/>
              <w:left w:val="single" w:color="auto" w:sz="4" w:space="0"/>
              <w:bottom w:val="single" w:color="auto" w:sz="4" w:space="0"/>
              <w:right w:val="single" w:color="auto" w:sz="4" w:space="0"/>
            </w:tcBorders>
            <w:vAlign w:val="center"/>
          </w:tcPr>
          <w:p w14:paraId="4E1957DC">
            <w:pPr>
              <w:pStyle w:val="11"/>
              <w:rPr>
                <w:rFonts w:ascii="宋体" w:hAnsi="宋体" w:cs="宋体"/>
                <w:color w:val="auto"/>
              </w:rPr>
            </w:pPr>
            <w:r>
              <w:rPr>
                <w:rFonts w:hint="eastAsia" w:ascii="宋体" w:hAnsi="宋体" w:eastAsia="宋体" w:cs="宋体"/>
                <w:color w:val="auto"/>
                <w:szCs w:val="24"/>
                <w:highlight w:val="none"/>
                <w:lang w:val="en-US" w:eastAsia="zh-CN"/>
              </w:rPr>
              <w:t>入围</w:t>
            </w:r>
            <w:r>
              <w:rPr>
                <w:rFonts w:hint="eastAsia" w:ascii="宋体" w:hAnsi="宋体" w:eastAsia="宋体" w:cs="宋体"/>
                <w:color w:val="auto"/>
                <w:szCs w:val="24"/>
                <w:highlight w:val="none"/>
              </w:rPr>
              <w:t>通知书发出后</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0日内</w:t>
            </w:r>
          </w:p>
        </w:tc>
      </w:tr>
      <w:tr w14:paraId="64D29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CE4F01F">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4</w:t>
            </w:r>
          </w:p>
        </w:tc>
        <w:tc>
          <w:tcPr>
            <w:tcW w:w="1952" w:type="dxa"/>
            <w:tcBorders>
              <w:top w:val="single" w:color="auto" w:sz="4" w:space="0"/>
              <w:left w:val="single" w:color="auto" w:sz="4" w:space="0"/>
              <w:bottom w:val="single" w:color="auto" w:sz="4" w:space="0"/>
              <w:right w:val="single" w:color="auto" w:sz="4" w:space="0"/>
            </w:tcBorders>
            <w:vAlign w:val="center"/>
          </w:tcPr>
          <w:p w14:paraId="06D551FC">
            <w:pPr>
              <w:pStyle w:val="11"/>
              <w:jc w:val="center"/>
              <w:rPr>
                <w:rFonts w:ascii="宋体" w:hAnsi="宋体" w:cs="宋体"/>
                <w:color w:val="auto"/>
                <w:szCs w:val="24"/>
              </w:rPr>
            </w:pPr>
            <w:r>
              <w:rPr>
                <w:rFonts w:hint="eastAsia" w:ascii="宋体" w:hAnsi="宋体" w:eastAsia="宋体" w:cs="宋体"/>
                <w:color w:val="auto"/>
                <w:szCs w:val="24"/>
                <w:highlight w:val="none"/>
              </w:rPr>
              <w:t>转包与分包</w:t>
            </w:r>
          </w:p>
        </w:tc>
        <w:tc>
          <w:tcPr>
            <w:tcW w:w="7413" w:type="dxa"/>
            <w:tcBorders>
              <w:top w:val="single" w:color="auto" w:sz="4" w:space="0"/>
              <w:left w:val="single" w:color="auto" w:sz="4" w:space="0"/>
              <w:bottom w:val="single" w:color="auto" w:sz="4" w:space="0"/>
              <w:right w:val="single" w:color="auto" w:sz="4" w:space="0"/>
            </w:tcBorders>
            <w:vAlign w:val="center"/>
          </w:tcPr>
          <w:p w14:paraId="13080EC3">
            <w:pPr>
              <w:pStyle w:val="11"/>
              <w:rPr>
                <w:rFonts w:ascii="宋体" w:hAnsi="宋体" w:cs="宋体"/>
                <w:color w:val="auto"/>
                <w:szCs w:val="24"/>
              </w:rPr>
            </w:pPr>
            <w:r>
              <w:rPr>
                <w:rFonts w:hint="eastAsia" w:ascii="宋体" w:hAnsi="宋体" w:eastAsia="宋体" w:cs="宋体"/>
                <w:color w:val="auto"/>
                <w:szCs w:val="24"/>
                <w:highlight w:val="none"/>
              </w:rPr>
              <w:t>本项目不允许转包和违法分包。</w:t>
            </w:r>
          </w:p>
        </w:tc>
      </w:tr>
      <w:tr w14:paraId="5E000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6BC9CA4">
            <w:pPr>
              <w:pStyle w:val="11"/>
              <w:spacing w:line="440" w:lineRule="exact"/>
              <w:jc w:val="center"/>
              <w:rPr>
                <w:rFonts w:ascii="宋体" w:hAnsi="宋体" w:cs="宋体"/>
                <w:b/>
                <w:color w:val="auto"/>
                <w:szCs w:val="24"/>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5</w:t>
            </w:r>
          </w:p>
        </w:tc>
        <w:tc>
          <w:tcPr>
            <w:tcW w:w="1952" w:type="dxa"/>
            <w:tcBorders>
              <w:top w:val="single" w:color="auto" w:sz="4" w:space="0"/>
              <w:left w:val="single" w:color="auto" w:sz="4" w:space="0"/>
              <w:bottom w:val="single" w:color="auto" w:sz="4" w:space="0"/>
              <w:right w:val="single" w:color="auto" w:sz="4" w:space="0"/>
            </w:tcBorders>
            <w:vAlign w:val="center"/>
          </w:tcPr>
          <w:p w14:paraId="07AA259A">
            <w:pPr>
              <w:pStyle w:val="11"/>
              <w:jc w:val="center"/>
              <w:rPr>
                <w:rFonts w:ascii="宋体" w:hAnsi="宋体" w:cs="宋体"/>
                <w:b/>
                <w:color w:val="auto"/>
                <w:szCs w:val="24"/>
              </w:rPr>
            </w:pPr>
            <w:r>
              <w:rPr>
                <w:rFonts w:hint="eastAsia" w:ascii="宋体" w:hAnsi="宋体" w:eastAsia="宋体" w:cs="宋体"/>
                <w:color w:val="auto"/>
                <w:szCs w:val="24"/>
                <w:highlight w:val="none"/>
                <w:lang w:val="en-US" w:eastAsia="zh-CN"/>
              </w:rPr>
              <w:t>投标文件</w:t>
            </w:r>
            <w:r>
              <w:rPr>
                <w:rFonts w:hint="eastAsia" w:ascii="宋体" w:hAnsi="宋体" w:eastAsia="宋体" w:cs="宋体"/>
                <w:color w:val="auto"/>
                <w:szCs w:val="24"/>
                <w:highlight w:val="none"/>
              </w:rPr>
              <w:t>递交截止时间</w:t>
            </w:r>
          </w:p>
        </w:tc>
        <w:tc>
          <w:tcPr>
            <w:tcW w:w="7413" w:type="dxa"/>
            <w:tcBorders>
              <w:top w:val="single" w:color="auto" w:sz="4" w:space="0"/>
              <w:left w:val="single" w:color="auto" w:sz="4" w:space="0"/>
              <w:bottom w:val="single" w:color="auto" w:sz="4" w:space="0"/>
              <w:right w:val="single" w:color="auto" w:sz="4" w:space="0"/>
            </w:tcBorders>
            <w:vAlign w:val="center"/>
          </w:tcPr>
          <w:p w14:paraId="197EAFE9">
            <w:pPr>
              <w:snapToGrid w:val="0"/>
              <w:spacing w:line="500" w:lineRule="exact"/>
              <w:rPr>
                <w:color w:val="auto"/>
              </w:rPr>
            </w:pPr>
            <w:r>
              <w:rPr>
                <w:rFonts w:hint="eastAsia" w:ascii="宋体" w:hAnsi="宋体" w:cs="宋体"/>
                <w:color w:val="auto"/>
                <w:sz w:val="24"/>
                <w:szCs w:val="24"/>
                <w:highlight w:val="none"/>
                <w:lang w:eastAsia="zh-CN"/>
              </w:rPr>
              <w:t>2026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10：00</w:t>
            </w:r>
            <w:r>
              <w:rPr>
                <w:rFonts w:hint="eastAsia" w:ascii="宋体" w:hAnsi="宋体" w:eastAsia="宋体" w:cs="宋体"/>
                <w:color w:val="auto"/>
                <w:sz w:val="24"/>
                <w:szCs w:val="24"/>
                <w:highlight w:val="none"/>
                <w:lang w:eastAsia="zh-CN"/>
              </w:rPr>
              <w:t>时</w:t>
            </w:r>
          </w:p>
        </w:tc>
      </w:tr>
      <w:tr w14:paraId="1553E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B4C8564">
            <w:pPr>
              <w:pStyle w:val="11"/>
              <w:spacing w:line="440" w:lineRule="exact"/>
              <w:jc w:val="center"/>
              <w:rPr>
                <w:rFonts w:hint="eastAsia" w:ascii="宋体" w:hAnsi="宋体" w:cs="宋体"/>
                <w:b/>
                <w:color w:val="auto"/>
                <w:szCs w:val="24"/>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6</w:t>
            </w:r>
          </w:p>
        </w:tc>
        <w:tc>
          <w:tcPr>
            <w:tcW w:w="1952" w:type="dxa"/>
            <w:tcBorders>
              <w:top w:val="single" w:color="auto" w:sz="4" w:space="0"/>
              <w:left w:val="single" w:color="auto" w:sz="4" w:space="0"/>
              <w:bottom w:val="single" w:color="auto" w:sz="4" w:space="0"/>
              <w:right w:val="single" w:color="auto" w:sz="4" w:space="0"/>
            </w:tcBorders>
            <w:vAlign w:val="center"/>
          </w:tcPr>
          <w:p w14:paraId="0C1C858E">
            <w:pPr>
              <w:pStyle w:val="11"/>
              <w:jc w:val="center"/>
              <w:rPr>
                <w:rFonts w:hint="eastAsia" w:ascii="宋体" w:hAnsi="宋体" w:cs="宋体"/>
                <w:b/>
                <w:color w:val="auto"/>
                <w:szCs w:val="24"/>
              </w:rPr>
            </w:pPr>
            <w:r>
              <w:rPr>
                <w:rFonts w:hint="eastAsia" w:ascii="宋体" w:hAnsi="宋体" w:eastAsia="宋体" w:cs="宋体"/>
                <w:color w:val="auto"/>
                <w:szCs w:val="24"/>
                <w:highlight w:val="none"/>
                <w:lang w:val="en-US" w:eastAsia="zh-CN"/>
              </w:rPr>
              <w:t>投标文件</w:t>
            </w:r>
            <w:r>
              <w:rPr>
                <w:rFonts w:hint="eastAsia" w:ascii="宋体" w:hAnsi="宋体" w:eastAsia="宋体" w:cs="宋体"/>
                <w:color w:val="auto"/>
                <w:szCs w:val="24"/>
                <w:highlight w:val="none"/>
              </w:rPr>
              <w:t>递交地点</w:t>
            </w:r>
          </w:p>
        </w:tc>
        <w:tc>
          <w:tcPr>
            <w:tcW w:w="7413" w:type="dxa"/>
            <w:tcBorders>
              <w:top w:val="single" w:color="auto" w:sz="4" w:space="0"/>
              <w:left w:val="single" w:color="auto" w:sz="4" w:space="0"/>
              <w:bottom w:val="single" w:color="auto" w:sz="4" w:space="0"/>
              <w:right w:val="single" w:color="auto" w:sz="4" w:space="0"/>
            </w:tcBorders>
            <w:vAlign w:val="center"/>
          </w:tcPr>
          <w:p w14:paraId="1C22E9BA">
            <w:pPr>
              <w:pStyle w:val="11"/>
              <w:rPr>
                <w:rFonts w:hint="eastAsia" w:ascii="宋体" w:hAnsi="宋体" w:cs="宋体"/>
                <w:color w:val="auto"/>
                <w:kern w:val="1"/>
                <w:sz w:val="24"/>
              </w:rPr>
            </w:pPr>
            <w:r>
              <w:rPr>
                <w:rFonts w:hint="eastAsia" w:ascii="宋体" w:hAnsi="宋体" w:cs="宋体"/>
                <w:color w:val="auto"/>
                <w:kern w:val="1"/>
                <w:sz w:val="24"/>
                <w:szCs w:val="24"/>
                <w:highlight w:val="none"/>
                <w:lang w:eastAsia="zh-CN"/>
              </w:rPr>
              <w:t>诸暨市浣东街道215办公室</w:t>
            </w:r>
          </w:p>
        </w:tc>
      </w:tr>
      <w:tr w14:paraId="3C536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68143B">
            <w:pPr>
              <w:pStyle w:val="11"/>
              <w:spacing w:line="440" w:lineRule="exact"/>
              <w:jc w:val="center"/>
              <w:rPr>
                <w:rFonts w:hint="eastAsia" w:ascii="宋体" w:hAnsi="宋体" w:cs="宋体"/>
                <w:b/>
                <w:color w:val="auto"/>
                <w:szCs w:val="24"/>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7</w:t>
            </w:r>
          </w:p>
        </w:tc>
        <w:tc>
          <w:tcPr>
            <w:tcW w:w="1952" w:type="dxa"/>
            <w:tcBorders>
              <w:top w:val="single" w:color="auto" w:sz="4" w:space="0"/>
              <w:left w:val="single" w:color="auto" w:sz="4" w:space="0"/>
              <w:bottom w:val="single" w:color="auto" w:sz="4" w:space="0"/>
              <w:right w:val="single" w:color="auto" w:sz="4" w:space="0"/>
            </w:tcBorders>
            <w:vAlign w:val="center"/>
          </w:tcPr>
          <w:p w14:paraId="287F2014">
            <w:pPr>
              <w:pStyle w:val="11"/>
              <w:jc w:val="center"/>
              <w:rPr>
                <w:rFonts w:hint="eastAsia" w:ascii="宋体" w:hAnsi="宋体" w:cs="宋体"/>
                <w:b/>
                <w:color w:val="auto"/>
                <w:szCs w:val="24"/>
              </w:rPr>
            </w:pPr>
            <w:r>
              <w:rPr>
                <w:rFonts w:hint="eastAsia" w:ascii="宋体" w:hAnsi="宋体" w:eastAsia="宋体" w:cs="宋体"/>
                <w:b/>
                <w:color w:val="auto"/>
                <w:szCs w:val="24"/>
                <w:highlight w:val="none"/>
              </w:rPr>
              <w:t>其他</w:t>
            </w:r>
          </w:p>
        </w:tc>
        <w:tc>
          <w:tcPr>
            <w:tcW w:w="7413" w:type="dxa"/>
            <w:tcBorders>
              <w:top w:val="single" w:color="auto" w:sz="4" w:space="0"/>
              <w:left w:val="single" w:color="auto" w:sz="4" w:space="0"/>
              <w:bottom w:val="single" w:color="auto" w:sz="4" w:space="0"/>
              <w:right w:val="single" w:color="auto" w:sz="4" w:space="0"/>
            </w:tcBorders>
            <w:vAlign w:val="center"/>
          </w:tcPr>
          <w:p w14:paraId="7BD77DD9">
            <w:pPr>
              <w:pStyle w:val="11"/>
              <w:rPr>
                <w:rFonts w:hint="eastAsia" w:ascii="宋体" w:hAnsi="宋体" w:eastAsia="宋体" w:cs="宋体"/>
                <w:b/>
                <w:color w:val="auto"/>
                <w:highlight w:val="none"/>
              </w:rPr>
            </w:pPr>
            <w:r>
              <w:rPr>
                <w:rFonts w:hint="eastAsia" w:ascii="宋体" w:hAnsi="宋体" w:eastAsia="宋体" w:cs="宋体"/>
                <w:b/>
                <w:color w:val="auto"/>
                <w:highlight w:val="none"/>
              </w:rPr>
              <w:t>特别提醒：</w:t>
            </w:r>
          </w:p>
          <w:p w14:paraId="02A31B06">
            <w:pPr>
              <w:numPr>
                <w:ilvl w:val="0"/>
                <w:numId w:val="0"/>
              </w:numPr>
              <w:spacing w:line="42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1、原则上</w:t>
            </w:r>
            <w:r>
              <w:rPr>
                <w:rFonts w:hint="eastAsia" w:ascii="宋体" w:hAnsi="宋体" w:eastAsia="宋体" w:cs="宋体"/>
                <w:color w:val="auto"/>
                <w:kern w:val="1"/>
                <w:sz w:val="24"/>
                <w:szCs w:val="24"/>
                <w:highlight w:val="none"/>
                <w:lang w:val="en-US" w:eastAsia="zh-CN"/>
              </w:rPr>
              <w:t>入围单位</w:t>
            </w:r>
            <w:r>
              <w:rPr>
                <w:rFonts w:hint="eastAsia" w:ascii="宋体" w:hAnsi="宋体" w:eastAsia="宋体" w:cs="宋体"/>
                <w:color w:val="auto"/>
                <w:sz w:val="24"/>
                <w:highlight w:val="none"/>
                <w:lang w:val="en-US" w:eastAsia="zh-CN"/>
              </w:rPr>
              <w:t>在招标人提供完整招标所需资料后按采购相关法律法规规定时间，完成相关招标工作。</w:t>
            </w:r>
          </w:p>
          <w:p w14:paraId="1F5082DD">
            <w:pPr>
              <w:keepNext w:val="0"/>
              <w:keepLines w:val="0"/>
              <w:pageBreakBefore w:val="0"/>
              <w:kinsoku/>
              <w:wordWrap/>
              <w:overflowPunct/>
              <w:topLinePunct w:val="0"/>
              <w:autoSpaceDE/>
              <w:bidi w:val="0"/>
              <w:adjustRightInd/>
              <w:spacing w:line="42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2、分派方式：按各采购单位的入围顺序，依次轮流（如遇项目政策性强、技术要求高、时间紧等特殊的项目，经相关领导审批通过后择优选定服务单位），入围单位不得以单个项目金额大小及其它各种理由为借口拒绝或推诿相关采购代理工作。</w:t>
            </w:r>
          </w:p>
          <w:p w14:paraId="533E61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right="0" w:rightChars="0"/>
              <w:jc w:val="left"/>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3、后续负责代理工作人员需与投标时提供拟派项目人员一致，若因人员离职、伤亡等其它非预见性原因需跟换代理工作人员的，更换人员的经验和资质不得低于被更换的人员并报招标人审批通过后方可替换，若发现实际服务人员与投标时拟派人员不一致或未经审批擅自更换的，招标人有权解除年度服务合同。</w:t>
            </w:r>
          </w:p>
          <w:p w14:paraId="12389E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right="0" w:rightChars="0"/>
              <w:jc w:val="left"/>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4、入围单位在项目代理过程中，因与其项目相关单位恶意串通、弄虚作假、徇私舞弊、玩忽职守或滥用职权造成审核结果失实以及发生其它过失情况的，除解除合同、抄告相关行政主管部门，还将依法追究其经济责任和法律责任。</w:t>
            </w:r>
          </w:p>
          <w:p w14:paraId="6CD493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right="0" w:rightChars="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kern w:val="1"/>
                <w:sz w:val="24"/>
                <w:szCs w:val="24"/>
                <w:highlight w:val="none"/>
                <w:lang w:val="en-US" w:eastAsia="zh-CN"/>
              </w:rPr>
              <w:t>入围单位</w:t>
            </w:r>
            <w:r>
              <w:rPr>
                <w:rFonts w:hint="eastAsia" w:ascii="宋体" w:hAnsi="宋体" w:eastAsia="宋体" w:cs="宋体"/>
                <w:color w:val="auto"/>
                <w:sz w:val="24"/>
                <w:highlight w:val="none"/>
                <w:lang w:val="en-US" w:eastAsia="zh-CN"/>
              </w:rPr>
              <w:t>在项目代理过程中，不按招标程序，吃拿卡要，对潜在投标单位设置障碍，故意刁难、粗暴对待的，经核实除解除合同、抄告相关行政主管部门，还将依法追究其经济责任和法律责任。</w:t>
            </w:r>
          </w:p>
          <w:p w14:paraId="012149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right="0" w:rightChars="0"/>
              <w:jc w:val="left"/>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6、</w:t>
            </w:r>
            <w:r>
              <w:rPr>
                <w:rFonts w:hint="eastAsia" w:ascii="宋体" w:hAnsi="宋体" w:eastAsia="宋体" w:cs="宋体"/>
                <w:color w:val="auto"/>
                <w:sz w:val="24"/>
                <w:highlight w:val="none"/>
                <w:lang w:val="en-US" w:eastAsia="zh-CN"/>
              </w:rPr>
              <w:t>招标人将依据</w:t>
            </w:r>
            <w:r>
              <w:rPr>
                <w:rFonts w:hint="eastAsia" w:ascii="宋体" w:hAnsi="宋体" w:cs="宋体"/>
                <w:color w:val="auto"/>
                <w:sz w:val="24"/>
                <w:highlight w:val="none"/>
                <w:lang w:val="en-US" w:eastAsia="zh-CN"/>
              </w:rPr>
              <w:t>本街道</w:t>
            </w:r>
            <w:r>
              <w:rPr>
                <w:rFonts w:hint="eastAsia" w:ascii="宋体" w:hAnsi="宋体" w:eastAsia="宋体" w:cs="宋体"/>
                <w:color w:val="auto"/>
                <w:sz w:val="24"/>
                <w:highlight w:val="none"/>
                <w:lang w:val="en-US" w:eastAsia="zh-CN"/>
              </w:rPr>
              <w:t>关于开展第三方服务单位相关规定对</w:t>
            </w:r>
            <w:r>
              <w:rPr>
                <w:rFonts w:hint="eastAsia" w:ascii="宋体" w:hAnsi="宋体" w:eastAsia="宋体" w:cs="宋体"/>
                <w:color w:val="auto"/>
                <w:kern w:val="1"/>
                <w:sz w:val="24"/>
                <w:szCs w:val="24"/>
                <w:highlight w:val="none"/>
                <w:lang w:val="en-US" w:eastAsia="zh-CN"/>
              </w:rPr>
              <w:t>入围单位</w:t>
            </w:r>
            <w:r>
              <w:rPr>
                <w:rFonts w:hint="eastAsia" w:ascii="宋体" w:hAnsi="宋体" w:eastAsia="宋体" w:cs="宋体"/>
                <w:color w:val="auto"/>
                <w:sz w:val="24"/>
                <w:highlight w:val="none"/>
                <w:lang w:val="en-US" w:eastAsia="zh-CN"/>
              </w:rPr>
              <w:t>代理服务质量进行日常考核，</w:t>
            </w:r>
            <w:r>
              <w:rPr>
                <w:rFonts w:hint="eastAsia" w:ascii="宋体" w:hAnsi="宋体" w:eastAsia="宋体" w:cs="宋体"/>
                <w:color w:val="auto"/>
                <w:kern w:val="1"/>
                <w:sz w:val="24"/>
                <w:szCs w:val="24"/>
                <w:highlight w:val="none"/>
                <w:lang w:val="en-US" w:eastAsia="zh-CN"/>
              </w:rPr>
              <w:t>入围单位</w:t>
            </w:r>
            <w:r>
              <w:rPr>
                <w:rFonts w:hint="eastAsia" w:ascii="宋体" w:hAnsi="宋体" w:eastAsia="宋体" w:cs="宋体"/>
                <w:color w:val="auto"/>
                <w:sz w:val="24"/>
                <w:highlight w:val="none"/>
                <w:lang w:val="en-US" w:eastAsia="zh-CN"/>
              </w:rPr>
              <w:t>需无条件服从，招标人有权根据日常考核结果优劣进行处理，处理结果包括但不限于：责令其限期改正、警告、取消其一定次数或一段时限承揽</w:t>
            </w:r>
            <w:r>
              <w:rPr>
                <w:rFonts w:hint="eastAsia" w:ascii="宋体" w:hAnsi="宋体" w:cs="宋体"/>
                <w:color w:val="auto"/>
                <w:sz w:val="24"/>
                <w:highlight w:val="none"/>
                <w:lang w:val="en-US" w:eastAsia="zh-CN"/>
              </w:rPr>
              <w:t>本街道</w:t>
            </w:r>
            <w:r>
              <w:rPr>
                <w:rFonts w:hint="eastAsia" w:ascii="宋体" w:hAnsi="宋体" w:eastAsia="宋体" w:cs="宋体"/>
                <w:color w:val="auto"/>
                <w:sz w:val="24"/>
                <w:highlight w:val="none"/>
                <w:lang w:val="en-US" w:eastAsia="zh-CN"/>
              </w:rPr>
              <w:t>的招标代理资格、解除合同等；给业主单位、投标单位造成损失的，应当承担赔偿责任；构成犯罪的，移交司法机关依法追究其刑事责任</w:t>
            </w:r>
            <w:r>
              <w:rPr>
                <w:rFonts w:hint="eastAsia" w:ascii="宋体" w:hAnsi="宋体" w:eastAsia="宋体" w:cs="宋体"/>
                <w:color w:val="auto"/>
                <w:kern w:val="1"/>
                <w:sz w:val="24"/>
                <w:szCs w:val="24"/>
                <w:highlight w:val="none"/>
                <w:lang w:val="en-US" w:eastAsia="zh-CN"/>
              </w:rPr>
              <w:t>。</w:t>
            </w:r>
          </w:p>
          <w:p w14:paraId="7225780A">
            <w:pPr>
              <w:pStyle w:val="11"/>
              <w:rPr>
                <w:rFonts w:hint="eastAsia" w:ascii="宋体" w:hAnsi="宋体" w:cs="宋体"/>
                <w:color w:val="auto"/>
                <w:sz w:val="24"/>
              </w:rPr>
            </w:pPr>
            <w:r>
              <w:rPr>
                <w:rFonts w:hint="eastAsia" w:ascii="宋体" w:hAnsi="宋体" w:eastAsia="宋体" w:cs="宋体"/>
                <w:b w:val="0"/>
                <w:bCs w:val="0"/>
                <w:color w:val="auto"/>
                <w:kern w:val="1"/>
                <w:sz w:val="24"/>
                <w:szCs w:val="24"/>
                <w:highlight w:val="none"/>
                <w:lang w:val="en-US" w:eastAsia="zh-CN"/>
              </w:rPr>
              <w:t>7、</w:t>
            </w:r>
            <w:r>
              <w:rPr>
                <w:rFonts w:hint="eastAsia" w:ascii="宋体" w:hAnsi="宋体" w:cs="宋体"/>
                <w:color w:val="auto"/>
                <w:sz w:val="24"/>
              </w:rPr>
              <w:t>采购项目的招标代理费由中标方支付，具体收费标准按</w:t>
            </w:r>
            <w:r>
              <w:rPr>
                <w:rFonts w:hint="eastAsia" w:ascii="宋体" w:hAnsi="宋体" w:cs="宋体"/>
                <w:color w:val="auto"/>
                <w:sz w:val="24"/>
                <w:lang w:val="en-US" w:eastAsia="zh-CN"/>
              </w:rPr>
              <w:t>表格中计算标准</w:t>
            </w:r>
            <w:r>
              <w:rPr>
                <w:rFonts w:hint="eastAsia" w:ascii="宋体" w:hAnsi="宋体" w:cs="宋体"/>
                <w:color w:val="auto"/>
                <w:sz w:val="24"/>
              </w:rPr>
              <w:t>执行。本项目约定最高收费不超过人民币壹万伍仟元，不足3000元按3000元收取。</w:t>
            </w:r>
          </w:p>
          <w:tbl>
            <w:tblPr>
              <w:tblStyle w:val="23"/>
              <w:tblW w:w="7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644"/>
              <w:gridCol w:w="1644"/>
              <w:gridCol w:w="1644"/>
            </w:tblGrid>
            <w:tr w14:paraId="0E70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171" w:type="dxa"/>
                  <mc:AlternateContent>
                    <mc:Choice Requires="wpsCustomData">
                      <wpsCustomData:diagonals>
                        <wpsCustomData:diagonal from="13600" to="30000">
                          <wpsCustomData:border w:val="single" w:color="auto" w:sz="4" w:space="0"/>
                        </wpsCustomData:diagonal>
                        <wpsCustomData:diagonal from="6200" to="30800">
                          <wpsCustomData:border w:val="single" w:color="auto" w:sz="4" w:space="0"/>
                        </wpsCustomData:diagonal>
                      </wpsCustomData:diagonals>
                    </mc:Choice>
                  </mc:AlternateContent>
                </w:tcPr>
                <w:p w14:paraId="37FE4A16">
                  <w:pPr>
                    <w:snapToGrid w:val="0"/>
                    <w:spacing w:line="240" w:lineRule="auto"/>
                    <w:rPr>
                      <w:rFonts w:hint="eastAsia" w:ascii="宋体" w:hAnsi="宋体" w:cs="宋体"/>
                      <w:color w:val="auto"/>
                      <w:sz w:val="15"/>
                      <w:szCs w:val="15"/>
                      <w:highlight w:val="none"/>
                      <w:vertAlign w:val="baseline"/>
                      <w:lang w:val="en-US" w:eastAsia="zh-CN"/>
                    </w:rPr>
                  </w:pPr>
                </w:p>
                <w:p w14:paraId="61D9C2A2">
                  <w:pPr>
                    <w:snapToGrid w:val="0"/>
                    <w:spacing w:line="240" w:lineRule="auto"/>
                    <w:rPr>
                      <w:rFonts w:hint="eastAsia" w:ascii="宋体" w:hAnsi="宋体" w:cs="宋体"/>
                      <w:color w:val="auto"/>
                      <w:sz w:val="15"/>
                      <w:szCs w:val="15"/>
                      <w:highlight w:val="none"/>
                      <w:vertAlign w:val="baseline"/>
                      <w:lang w:val="en-US" w:eastAsia="zh-CN"/>
                    </w:rPr>
                  </w:pPr>
                </w:p>
                <w:p w14:paraId="7CC07D9E">
                  <w:pPr>
                    <w:snapToGrid w:val="0"/>
                    <w:spacing w:line="240" w:lineRule="auto"/>
                    <mc:AlternateContent>
                      <mc:Choice Requires="wpsCustomData">
                        <wpsCustomData:diagonalParaType/>
                      </mc:Choice>
                    </mc:AlternateContent>
                    <w:rPr>
                      <w:rFonts w:hint="default"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中标金额（万元）</w:t>
                  </w:r>
                </w:p>
                <w:p w14:paraId="5C0A03BE">
                  <w:pPr>
                    <w:snapToGrid w:val="0"/>
                    <w:spacing w:line="240" w:lineRule="auto"/>
                    <w:rPr>
                      <w:rFonts w:hint="eastAsia" w:ascii="宋体" w:hAnsi="宋体" w:cs="宋体"/>
                      <w:color w:val="auto"/>
                      <w:sz w:val="15"/>
                      <w:szCs w:val="15"/>
                      <w:highlight w:val="none"/>
                      <w:vertAlign w:val="baseline"/>
                      <w:lang w:val="en-US" w:eastAsia="zh-CN"/>
                    </w:rPr>
                  </w:pPr>
                </w:p>
                <w:p w14:paraId="304F0BC2">
                  <w:pPr>
                    <w:snapToGrid w:val="0"/>
                    <w:spacing w:line="240" w:lineRule="auto"/>
                    <mc:AlternateContent>
                      <mc:Choice Requires="wpsCustomData">
                        <wpsCustomData:diagonalParaType/>
                      </mc:Choice>
                    </mc:AlternateContent>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费率</w:t>
                  </w:r>
                </w:p>
                <w:p w14:paraId="6F5FD7F6">
                  <w:pPr>
                    <w:rPr>
                      <w:rFonts w:hint="eastAsia" w:ascii="宋体" w:hAnsi="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服务</w:t>
                  </w:r>
                </w:p>
                <w:p w14:paraId="60A3B8B8">
                  <w:pPr>
                    <w:rPr>
                      <w:rFonts w:hint="default" w:ascii="宋体" w:hAnsi="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类型</w:t>
                  </w:r>
                </w:p>
                <w:p w14:paraId="036CEB51">
                  <w:pPr>
                    <w:pStyle w:val="2"/>
                    <w:rPr>
                      <w:rFonts w:hint="eastAsia"/>
                      <w:color w:val="auto"/>
                      <w:lang w:val="en-US" w:eastAsia="zh-CN"/>
                    </w:rPr>
                  </w:pPr>
                </w:p>
              </w:tc>
              <w:tc>
                <w:tcPr>
                  <w:tcW w:w="1644" w:type="dxa"/>
                  <w:vAlign w:val="center"/>
                </w:tcPr>
                <w:p w14:paraId="20BD6047">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货物招标</w:t>
                  </w:r>
                </w:p>
              </w:tc>
              <w:tc>
                <w:tcPr>
                  <w:tcW w:w="1644" w:type="dxa"/>
                  <w:vAlign w:val="center"/>
                </w:tcPr>
                <w:p w14:paraId="63C037D6">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服务招标</w:t>
                  </w:r>
                </w:p>
              </w:tc>
              <w:tc>
                <w:tcPr>
                  <w:tcW w:w="1644" w:type="dxa"/>
                  <w:vAlign w:val="center"/>
                </w:tcPr>
                <w:p w14:paraId="56BF3600">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工程招标</w:t>
                  </w:r>
                </w:p>
              </w:tc>
            </w:tr>
            <w:tr w14:paraId="4092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vAlign w:val="top"/>
                </w:tcPr>
                <w:p w14:paraId="1AC3A3B5">
                  <w:pP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100以下</w:t>
                  </w:r>
                </w:p>
              </w:tc>
              <w:tc>
                <w:tcPr>
                  <w:tcW w:w="1644" w:type="dxa"/>
                  <w:vAlign w:val="top"/>
                </w:tcPr>
                <w:p w14:paraId="60D03422">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1.5%</w:t>
                  </w:r>
                </w:p>
              </w:tc>
              <w:tc>
                <w:tcPr>
                  <w:tcW w:w="1644" w:type="dxa"/>
                  <w:vAlign w:val="top"/>
                </w:tcPr>
                <w:p w14:paraId="32C91178">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1.5%</w:t>
                  </w:r>
                </w:p>
              </w:tc>
              <w:tc>
                <w:tcPr>
                  <w:tcW w:w="1644" w:type="dxa"/>
                  <w:vAlign w:val="top"/>
                </w:tcPr>
                <w:p w14:paraId="5A2465BD">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1.0%</w:t>
                  </w:r>
                </w:p>
              </w:tc>
            </w:tr>
            <w:tr w14:paraId="5D81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vAlign w:val="top"/>
                </w:tcPr>
                <w:p w14:paraId="35826B6A">
                  <w:pP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100-500</w:t>
                  </w:r>
                </w:p>
              </w:tc>
              <w:tc>
                <w:tcPr>
                  <w:tcW w:w="1644" w:type="dxa"/>
                  <w:vAlign w:val="top"/>
                </w:tcPr>
                <w:p w14:paraId="54C41FA5">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1.1%</w:t>
                  </w:r>
                </w:p>
              </w:tc>
              <w:tc>
                <w:tcPr>
                  <w:tcW w:w="1644" w:type="dxa"/>
                  <w:vAlign w:val="top"/>
                </w:tcPr>
                <w:p w14:paraId="3BDE5E30">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0.8%</w:t>
                  </w:r>
                </w:p>
              </w:tc>
              <w:tc>
                <w:tcPr>
                  <w:tcW w:w="1644" w:type="dxa"/>
                  <w:vAlign w:val="top"/>
                </w:tcPr>
                <w:p w14:paraId="6FE6FCFF">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0.7%</w:t>
                  </w:r>
                </w:p>
              </w:tc>
            </w:tr>
            <w:tr w14:paraId="71BD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vAlign w:val="top"/>
                </w:tcPr>
                <w:p w14:paraId="11595817">
                  <w:pP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500-1000</w:t>
                  </w:r>
                </w:p>
              </w:tc>
              <w:tc>
                <w:tcPr>
                  <w:tcW w:w="1644" w:type="dxa"/>
                  <w:vAlign w:val="top"/>
                </w:tcPr>
                <w:p w14:paraId="0EDD3944">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0.8%</w:t>
                  </w:r>
                </w:p>
              </w:tc>
              <w:tc>
                <w:tcPr>
                  <w:tcW w:w="1644" w:type="dxa"/>
                  <w:vAlign w:val="top"/>
                </w:tcPr>
                <w:p w14:paraId="793AFA53">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0.45%</w:t>
                  </w:r>
                </w:p>
              </w:tc>
              <w:tc>
                <w:tcPr>
                  <w:tcW w:w="1644" w:type="dxa"/>
                  <w:vAlign w:val="top"/>
                </w:tcPr>
                <w:p w14:paraId="20A2CC85">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0.55%</w:t>
                  </w:r>
                </w:p>
              </w:tc>
            </w:tr>
            <w:tr w14:paraId="600D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vAlign w:val="top"/>
                </w:tcPr>
                <w:p w14:paraId="704202BA">
                  <w:pP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1000-5000</w:t>
                  </w:r>
                </w:p>
              </w:tc>
              <w:tc>
                <w:tcPr>
                  <w:tcW w:w="1644" w:type="dxa"/>
                  <w:vAlign w:val="top"/>
                </w:tcPr>
                <w:p w14:paraId="0BBC0529">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0.5%</w:t>
                  </w:r>
                </w:p>
              </w:tc>
              <w:tc>
                <w:tcPr>
                  <w:tcW w:w="1644" w:type="dxa"/>
                  <w:vAlign w:val="top"/>
                </w:tcPr>
                <w:p w14:paraId="4AE9B170">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0.25%</w:t>
                  </w:r>
                </w:p>
              </w:tc>
              <w:tc>
                <w:tcPr>
                  <w:tcW w:w="1644" w:type="dxa"/>
                  <w:vAlign w:val="top"/>
                </w:tcPr>
                <w:p w14:paraId="54C819AA">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0.35%</w:t>
                  </w:r>
                </w:p>
              </w:tc>
            </w:tr>
            <w:tr w14:paraId="5601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vAlign w:val="top"/>
                </w:tcPr>
                <w:p w14:paraId="2B4C0B70">
                  <w:pP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5000-10000</w:t>
                  </w:r>
                </w:p>
              </w:tc>
              <w:tc>
                <w:tcPr>
                  <w:tcW w:w="1644" w:type="dxa"/>
                  <w:vAlign w:val="top"/>
                </w:tcPr>
                <w:p w14:paraId="285AAE73">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0.25%</w:t>
                  </w:r>
                </w:p>
              </w:tc>
              <w:tc>
                <w:tcPr>
                  <w:tcW w:w="1644" w:type="dxa"/>
                  <w:vAlign w:val="top"/>
                </w:tcPr>
                <w:p w14:paraId="298A2691">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0.1%</w:t>
                  </w:r>
                </w:p>
              </w:tc>
              <w:tc>
                <w:tcPr>
                  <w:tcW w:w="1644" w:type="dxa"/>
                  <w:vAlign w:val="top"/>
                </w:tcPr>
                <w:p w14:paraId="5E5275B2">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0.2%</w:t>
                  </w:r>
                </w:p>
              </w:tc>
            </w:tr>
            <w:tr w14:paraId="39CC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vAlign w:val="top"/>
                </w:tcPr>
                <w:p w14:paraId="39AFD854">
                  <w:pP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10000-100000</w:t>
                  </w:r>
                </w:p>
              </w:tc>
              <w:tc>
                <w:tcPr>
                  <w:tcW w:w="1644" w:type="dxa"/>
                  <w:vAlign w:val="top"/>
                </w:tcPr>
                <w:p w14:paraId="1456AB56">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0.05%</w:t>
                  </w:r>
                </w:p>
              </w:tc>
              <w:tc>
                <w:tcPr>
                  <w:tcW w:w="1644" w:type="dxa"/>
                  <w:vAlign w:val="top"/>
                </w:tcPr>
                <w:p w14:paraId="631346F2">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0.05%</w:t>
                  </w:r>
                </w:p>
              </w:tc>
              <w:tc>
                <w:tcPr>
                  <w:tcW w:w="1644" w:type="dxa"/>
                  <w:vAlign w:val="top"/>
                </w:tcPr>
                <w:p w14:paraId="48DA5B90">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0.05%</w:t>
                  </w:r>
                </w:p>
              </w:tc>
            </w:tr>
            <w:tr w14:paraId="6524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vAlign w:val="top"/>
                </w:tcPr>
                <w:p w14:paraId="1E97EEB4">
                  <w:pP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1000000以上</w:t>
                  </w:r>
                </w:p>
              </w:tc>
              <w:tc>
                <w:tcPr>
                  <w:tcW w:w="1644" w:type="dxa"/>
                  <w:vAlign w:val="top"/>
                </w:tcPr>
                <w:p w14:paraId="45CA9074">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0.01%</w:t>
                  </w:r>
                </w:p>
              </w:tc>
              <w:tc>
                <w:tcPr>
                  <w:tcW w:w="1644" w:type="dxa"/>
                  <w:vAlign w:val="top"/>
                </w:tcPr>
                <w:p w14:paraId="29016BAE">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0.01%</w:t>
                  </w:r>
                </w:p>
              </w:tc>
              <w:tc>
                <w:tcPr>
                  <w:tcW w:w="1644" w:type="dxa"/>
                  <w:vAlign w:val="top"/>
                </w:tcPr>
                <w:p w14:paraId="71B5CCA0">
                  <w:pPr>
                    <w:jc w:val="center"/>
                    <w:rPr>
                      <w:rFonts w:hint="eastAsia" w:ascii="宋体" w:hAnsi="宋体" w:eastAsia="宋体" w:cs="宋体"/>
                      <w:color w:val="auto"/>
                      <w:sz w:val="15"/>
                      <w:szCs w:val="15"/>
                      <w:highlight w:val="none"/>
                      <w:vertAlign w:val="baseline"/>
                    </w:rPr>
                  </w:pPr>
                  <w:r>
                    <w:rPr>
                      <w:rFonts w:hint="eastAsia" w:ascii="宋体" w:hAnsi="宋体" w:cs="宋体"/>
                      <w:b w:val="0"/>
                      <w:bCs w:val="0"/>
                      <w:color w:val="auto"/>
                      <w:sz w:val="18"/>
                      <w:szCs w:val="18"/>
                      <w:vertAlign w:val="baseline"/>
                      <w:lang w:val="en-US" w:eastAsia="zh-CN"/>
                    </w:rPr>
                    <w:t>0.01%</w:t>
                  </w:r>
                </w:p>
              </w:tc>
            </w:tr>
          </w:tbl>
          <w:p w14:paraId="61B5FCB4">
            <w:pPr>
              <w:pStyle w:val="4"/>
              <w:ind w:left="0" w:leftChars="0" w:firstLine="0" w:firstLineChars="0"/>
              <w:rPr>
                <w:rFonts w:hint="eastAsia"/>
                <w:color w:val="auto"/>
              </w:rPr>
            </w:pPr>
          </w:p>
        </w:tc>
      </w:tr>
      <w:bookmarkEnd w:id="7"/>
    </w:tbl>
    <w:p w14:paraId="31D8DCF6">
      <w:pPr>
        <w:rPr>
          <w:rFonts w:ascii="宋体" w:hAnsi="宋体" w:cs="宋体"/>
          <w:b/>
          <w:bCs/>
          <w:color w:val="auto"/>
          <w:sz w:val="32"/>
          <w:szCs w:val="44"/>
        </w:rPr>
        <w:sectPr>
          <w:footerReference r:id="rId6" w:type="first"/>
          <w:footerReference r:id="rId5" w:type="default"/>
          <w:pgSz w:w="11906" w:h="16838"/>
          <w:pgMar w:top="1134" w:right="1174" w:bottom="1134" w:left="1380" w:header="851" w:footer="992" w:gutter="0"/>
          <w:pgNumType w:start="1"/>
          <w:cols w:space="720" w:num="1"/>
          <w:titlePg/>
          <w:docGrid w:type="lines" w:linePitch="312" w:charSpace="0"/>
        </w:sectPr>
      </w:pPr>
    </w:p>
    <w:p w14:paraId="0000CD7B">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前附表（二）</w:t>
      </w:r>
    </w:p>
    <w:p w14:paraId="6022F9CC">
      <w:pPr>
        <w:pStyle w:val="2"/>
        <w:numPr>
          <w:ilvl w:val="0"/>
          <w:numId w:val="0"/>
        </w:num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日程安排表</w:t>
      </w:r>
    </w:p>
    <w:tbl>
      <w:tblPr>
        <w:tblStyle w:val="22"/>
        <w:tblpPr w:leftFromText="180" w:rightFromText="180" w:vertAnchor="text" w:horzAnchor="margin" w:tblpXSpec="left" w:tblpY="626"/>
        <w:tblW w:w="98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8"/>
        <w:gridCol w:w="3472"/>
        <w:gridCol w:w="2768"/>
        <w:gridCol w:w="1795"/>
      </w:tblGrid>
      <w:tr w14:paraId="60CCD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848" w:type="dxa"/>
            <w:tcBorders>
              <w:top w:val="single" w:color="auto" w:sz="4" w:space="0"/>
              <w:left w:val="single" w:color="auto" w:sz="4" w:space="0"/>
              <w:bottom w:val="single" w:color="auto" w:sz="4" w:space="0"/>
              <w:right w:val="single" w:color="auto" w:sz="4" w:space="0"/>
              <w:tl2br w:val="single" w:color="auto" w:sz="4" w:space="0"/>
            </w:tcBorders>
          </w:tcPr>
          <w:p w14:paraId="187FC47C">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安排</w:t>
            </w:r>
          </w:p>
          <w:p w14:paraId="63747B41">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程序</w:t>
            </w:r>
          </w:p>
        </w:tc>
        <w:tc>
          <w:tcPr>
            <w:tcW w:w="3472" w:type="dxa"/>
            <w:tcBorders>
              <w:top w:val="single" w:color="auto" w:sz="4" w:space="0"/>
              <w:left w:val="single" w:color="auto" w:sz="4" w:space="0"/>
              <w:bottom w:val="single" w:color="auto" w:sz="4" w:space="0"/>
              <w:right w:val="single" w:color="auto" w:sz="4" w:space="0"/>
            </w:tcBorders>
            <w:vAlign w:val="center"/>
          </w:tcPr>
          <w:p w14:paraId="4492EC97">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2768" w:type="dxa"/>
            <w:tcBorders>
              <w:top w:val="single" w:color="auto" w:sz="4" w:space="0"/>
              <w:left w:val="single" w:color="auto" w:sz="4" w:space="0"/>
              <w:bottom w:val="single" w:color="auto" w:sz="4" w:space="0"/>
              <w:right w:val="single" w:color="auto" w:sz="4" w:space="0"/>
            </w:tcBorders>
            <w:vAlign w:val="center"/>
          </w:tcPr>
          <w:p w14:paraId="52EB8B45">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795" w:type="dxa"/>
            <w:tcBorders>
              <w:top w:val="single" w:color="auto" w:sz="4" w:space="0"/>
              <w:left w:val="single" w:color="auto" w:sz="4" w:space="0"/>
              <w:bottom w:val="single" w:color="auto" w:sz="4" w:space="0"/>
              <w:right w:val="single" w:color="auto" w:sz="4" w:space="0"/>
            </w:tcBorders>
            <w:vAlign w:val="center"/>
          </w:tcPr>
          <w:p w14:paraId="799CC762">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47C2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0" w:hRule="exact"/>
        </w:trPr>
        <w:tc>
          <w:tcPr>
            <w:tcW w:w="1848" w:type="dxa"/>
            <w:tcBorders>
              <w:top w:val="single" w:color="auto" w:sz="4" w:space="0"/>
              <w:left w:val="single" w:color="auto" w:sz="4" w:space="0"/>
              <w:bottom w:val="single" w:color="auto" w:sz="4" w:space="0"/>
              <w:right w:val="single" w:color="auto" w:sz="4" w:space="0"/>
            </w:tcBorders>
            <w:vAlign w:val="center"/>
          </w:tcPr>
          <w:p w14:paraId="2A4757C5">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信息发布</w:t>
            </w:r>
          </w:p>
        </w:tc>
        <w:tc>
          <w:tcPr>
            <w:tcW w:w="3472" w:type="dxa"/>
            <w:tcBorders>
              <w:top w:val="single" w:color="auto" w:sz="4" w:space="0"/>
              <w:left w:val="single" w:color="auto" w:sz="4" w:space="0"/>
              <w:bottom w:val="single" w:color="auto" w:sz="4" w:space="0"/>
              <w:right w:val="single" w:color="auto" w:sz="4" w:space="0"/>
            </w:tcBorders>
            <w:vAlign w:val="center"/>
          </w:tcPr>
          <w:p w14:paraId="3D55FCA9">
            <w:pPr>
              <w:spacing w:line="32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日8:30</w:t>
            </w:r>
            <w:r>
              <w:rPr>
                <w:rFonts w:hint="eastAsia" w:ascii="宋体" w:hAnsi="宋体" w:eastAsia="宋体" w:cs="宋体"/>
                <w:color w:val="auto"/>
                <w:szCs w:val="21"/>
                <w:highlight w:val="none"/>
                <w:lang w:eastAsia="zh-CN"/>
              </w:rPr>
              <w:t>时</w:t>
            </w:r>
            <w:r>
              <w:rPr>
                <w:rFonts w:hint="eastAsia" w:ascii="宋体" w:hAnsi="宋体" w:eastAsia="宋体" w:cs="宋体"/>
                <w:color w:val="auto"/>
                <w:szCs w:val="21"/>
                <w:highlight w:val="none"/>
              </w:rPr>
              <w:t>—</w:t>
            </w:r>
          </w:p>
          <w:p w14:paraId="3B965C86">
            <w:pPr>
              <w:spacing w:line="32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日1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eastAsia="zh-CN"/>
              </w:rPr>
              <w:t>时</w:t>
            </w:r>
            <w:r>
              <w:rPr>
                <w:rFonts w:hint="eastAsia" w:ascii="宋体" w:hAnsi="宋体" w:eastAsia="宋体" w:cs="宋体"/>
                <w:color w:val="auto"/>
                <w:szCs w:val="21"/>
                <w:highlight w:val="none"/>
              </w:rPr>
              <w:t>止</w:t>
            </w:r>
          </w:p>
        </w:tc>
        <w:tc>
          <w:tcPr>
            <w:tcW w:w="2768" w:type="dxa"/>
            <w:tcBorders>
              <w:top w:val="single" w:color="auto" w:sz="4" w:space="0"/>
              <w:left w:val="single" w:color="auto" w:sz="4" w:space="0"/>
              <w:bottom w:val="single" w:color="auto" w:sz="4" w:space="0"/>
              <w:right w:val="single" w:color="auto" w:sz="4" w:space="0"/>
            </w:tcBorders>
            <w:vAlign w:val="center"/>
          </w:tcPr>
          <w:p w14:paraId="61BA75F5">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诸暨市公共资源交易网</w:t>
            </w:r>
          </w:p>
        </w:tc>
        <w:tc>
          <w:tcPr>
            <w:tcW w:w="1795" w:type="dxa"/>
            <w:tcBorders>
              <w:top w:val="single" w:color="auto" w:sz="4" w:space="0"/>
              <w:left w:val="single" w:color="auto" w:sz="4" w:space="0"/>
              <w:bottom w:val="single" w:color="auto" w:sz="4" w:space="0"/>
              <w:right w:val="single" w:color="auto" w:sz="4" w:space="0"/>
            </w:tcBorders>
            <w:vAlign w:val="center"/>
          </w:tcPr>
          <w:p w14:paraId="14EF8B00">
            <w:pPr>
              <w:spacing w:line="320" w:lineRule="exact"/>
              <w:jc w:val="center"/>
              <w:rPr>
                <w:rFonts w:hint="eastAsia" w:ascii="宋体" w:hAnsi="宋体" w:eastAsia="宋体" w:cs="宋体"/>
                <w:color w:val="auto"/>
                <w:szCs w:val="21"/>
                <w:highlight w:val="none"/>
              </w:rPr>
            </w:pPr>
          </w:p>
        </w:tc>
      </w:tr>
      <w:tr w14:paraId="753E7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exact"/>
        </w:trPr>
        <w:tc>
          <w:tcPr>
            <w:tcW w:w="1848" w:type="dxa"/>
            <w:tcBorders>
              <w:top w:val="single" w:color="auto" w:sz="4" w:space="0"/>
              <w:left w:val="single" w:color="auto" w:sz="4" w:space="0"/>
              <w:bottom w:val="single" w:color="auto" w:sz="4" w:space="0"/>
              <w:right w:val="single" w:color="auto" w:sz="4" w:space="0"/>
            </w:tcBorders>
            <w:vAlign w:val="center"/>
          </w:tcPr>
          <w:p w14:paraId="4E4906CD">
            <w:pPr>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w:t>
            </w:r>
          </w:p>
        </w:tc>
        <w:tc>
          <w:tcPr>
            <w:tcW w:w="3472" w:type="dxa"/>
            <w:tcBorders>
              <w:top w:val="single" w:color="auto" w:sz="4" w:space="0"/>
              <w:left w:val="single" w:color="auto" w:sz="4" w:space="0"/>
              <w:bottom w:val="single" w:color="auto" w:sz="4" w:space="0"/>
              <w:right w:val="single" w:color="auto" w:sz="4" w:space="0"/>
            </w:tcBorders>
            <w:vAlign w:val="center"/>
          </w:tcPr>
          <w:p w14:paraId="7AD4D3FD">
            <w:pPr>
              <w:spacing w:line="32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p>
        </w:tc>
        <w:tc>
          <w:tcPr>
            <w:tcW w:w="2768" w:type="dxa"/>
            <w:tcBorders>
              <w:top w:val="single" w:color="auto" w:sz="4" w:space="0"/>
              <w:left w:val="single" w:color="auto" w:sz="4" w:space="0"/>
              <w:bottom w:val="single" w:color="auto" w:sz="4" w:space="0"/>
              <w:right w:val="single" w:color="auto" w:sz="4" w:space="0"/>
            </w:tcBorders>
            <w:vAlign w:val="center"/>
          </w:tcPr>
          <w:p w14:paraId="29BEBE77">
            <w:pPr>
              <w:spacing w:line="320" w:lineRule="exact"/>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诸暨市公共资源交易网</w:t>
            </w:r>
            <w:r>
              <w:rPr>
                <w:rFonts w:hint="eastAsia" w:ascii="宋体" w:hAnsi="宋体" w:eastAsia="宋体" w:cs="宋体"/>
                <w:b w:val="0"/>
                <w:bCs w:val="0"/>
                <w:i w:val="0"/>
                <w:iCs w:val="0"/>
                <w:color w:val="auto"/>
                <w:kern w:val="2"/>
                <w:sz w:val="21"/>
                <w:szCs w:val="21"/>
                <w:highlight w:val="none"/>
                <w:vertAlign w:val="baseline"/>
                <w:lang w:val="en-US" w:eastAsia="zh-CN" w:bidi="ar-SA"/>
              </w:rPr>
              <w:t>自行下载</w:t>
            </w:r>
          </w:p>
        </w:tc>
        <w:tc>
          <w:tcPr>
            <w:tcW w:w="1795" w:type="dxa"/>
            <w:tcBorders>
              <w:top w:val="single" w:color="auto" w:sz="4" w:space="0"/>
              <w:left w:val="single" w:color="auto" w:sz="4" w:space="0"/>
              <w:bottom w:val="single" w:color="auto" w:sz="4" w:space="0"/>
              <w:right w:val="single" w:color="auto" w:sz="4" w:space="0"/>
            </w:tcBorders>
            <w:vAlign w:val="center"/>
          </w:tcPr>
          <w:p w14:paraId="27B65C94">
            <w:pPr>
              <w:spacing w:line="320" w:lineRule="exact"/>
              <w:jc w:val="left"/>
              <w:rPr>
                <w:rFonts w:hint="eastAsia" w:ascii="宋体" w:hAnsi="宋体" w:eastAsia="宋体" w:cs="宋体"/>
                <w:color w:val="auto"/>
                <w:kern w:val="2"/>
                <w:sz w:val="21"/>
                <w:szCs w:val="21"/>
                <w:highlight w:val="none"/>
                <w:lang w:val="en-US" w:eastAsia="zh-CN" w:bidi="ar-SA"/>
              </w:rPr>
            </w:pPr>
          </w:p>
        </w:tc>
      </w:tr>
      <w:tr w14:paraId="5C2D6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3" w:hRule="exact"/>
        </w:trPr>
        <w:tc>
          <w:tcPr>
            <w:tcW w:w="1848" w:type="dxa"/>
            <w:tcBorders>
              <w:top w:val="single" w:color="auto" w:sz="4" w:space="0"/>
              <w:left w:val="single" w:color="auto" w:sz="4" w:space="0"/>
              <w:bottom w:val="single" w:color="auto" w:sz="4" w:space="0"/>
              <w:right w:val="single" w:color="auto" w:sz="4" w:space="0"/>
            </w:tcBorders>
            <w:vAlign w:val="center"/>
          </w:tcPr>
          <w:p w14:paraId="09B0FF36">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招标文件澄清</w:t>
            </w:r>
            <w:r>
              <w:rPr>
                <w:rFonts w:hint="eastAsia" w:ascii="宋体" w:hAnsi="宋体" w:eastAsia="宋体" w:cs="宋体"/>
                <w:color w:val="auto"/>
                <w:szCs w:val="21"/>
                <w:highlight w:val="none"/>
              </w:rPr>
              <w:t>截止时间</w:t>
            </w:r>
          </w:p>
        </w:tc>
        <w:tc>
          <w:tcPr>
            <w:tcW w:w="3472" w:type="dxa"/>
            <w:tcBorders>
              <w:top w:val="single" w:color="auto" w:sz="4" w:space="0"/>
              <w:left w:val="single" w:color="auto" w:sz="4" w:space="0"/>
              <w:bottom w:val="single" w:color="auto" w:sz="4" w:space="0"/>
              <w:right w:val="single" w:color="auto" w:sz="4" w:space="0"/>
            </w:tcBorders>
            <w:vAlign w:val="center"/>
          </w:tcPr>
          <w:p w14:paraId="2CC7A35D">
            <w:pPr>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日</w:t>
            </w:r>
            <w:r>
              <w:rPr>
                <w:rFonts w:hint="default" w:ascii="宋体" w:hAnsi="宋体" w:eastAsia="宋体" w:cs="宋体"/>
                <w:color w:val="auto"/>
                <w:szCs w:val="21"/>
                <w:highlight w:val="none"/>
                <w:lang w:val="en-US"/>
              </w:rPr>
              <w:t>12</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00</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rPr>
              <w:t>止</w:t>
            </w:r>
          </w:p>
        </w:tc>
        <w:tc>
          <w:tcPr>
            <w:tcW w:w="2768" w:type="dxa"/>
            <w:tcBorders>
              <w:top w:val="single" w:color="auto" w:sz="4" w:space="0"/>
              <w:left w:val="single" w:color="auto" w:sz="4" w:space="0"/>
              <w:bottom w:val="single" w:color="auto" w:sz="4" w:space="0"/>
              <w:right w:val="single" w:color="auto" w:sz="4" w:space="0"/>
            </w:tcBorders>
            <w:vAlign w:val="center"/>
          </w:tcPr>
          <w:p w14:paraId="45B84D53">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如有疑问请以书面形式并加盖单位公章，</w:t>
            </w:r>
            <w:r>
              <w:rPr>
                <w:rFonts w:hint="eastAsia" w:ascii="宋体" w:hAnsi="宋体" w:cs="宋体"/>
                <w:color w:val="auto"/>
                <w:szCs w:val="21"/>
                <w:highlight w:val="none"/>
                <w:lang w:val="en-US" w:eastAsia="zh-CN"/>
              </w:rPr>
              <w:t>递交</w:t>
            </w:r>
            <w:r>
              <w:rPr>
                <w:rFonts w:hint="eastAsia" w:ascii="宋体" w:hAnsi="宋体" w:eastAsia="宋体" w:cs="宋体"/>
                <w:color w:val="auto"/>
                <w:szCs w:val="21"/>
                <w:highlight w:val="none"/>
                <w:lang w:eastAsia="zh-CN"/>
              </w:rPr>
              <w:t>到浣东街道交易办</w:t>
            </w:r>
          </w:p>
        </w:tc>
        <w:tc>
          <w:tcPr>
            <w:tcW w:w="1795" w:type="dxa"/>
            <w:tcBorders>
              <w:top w:val="single" w:color="auto" w:sz="4" w:space="0"/>
              <w:left w:val="single" w:color="auto" w:sz="4" w:space="0"/>
              <w:bottom w:val="single" w:color="auto" w:sz="4" w:space="0"/>
              <w:right w:val="single" w:color="auto" w:sz="4" w:space="0"/>
            </w:tcBorders>
            <w:vAlign w:val="center"/>
          </w:tcPr>
          <w:p w14:paraId="39C91794">
            <w:pPr>
              <w:pStyle w:val="36"/>
              <w:spacing w:line="400" w:lineRule="exact"/>
              <w:jc w:val="center"/>
              <w:rPr>
                <w:rFonts w:hint="eastAsia" w:ascii="宋体" w:hAnsi="宋体" w:eastAsia="宋体" w:cs="宋体"/>
                <w:color w:val="auto"/>
                <w:szCs w:val="21"/>
                <w:highlight w:val="none"/>
              </w:rPr>
            </w:pPr>
          </w:p>
        </w:tc>
      </w:tr>
      <w:tr w14:paraId="385AC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2" w:hRule="exact"/>
        </w:trPr>
        <w:tc>
          <w:tcPr>
            <w:tcW w:w="1848" w:type="dxa"/>
            <w:tcBorders>
              <w:top w:val="single" w:color="auto" w:sz="4" w:space="0"/>
              <w:left w:val="single" w:color="auto" w:sz="4" w:space="0"/>
              <w:bottom w:val="single" w:color="auto" w:sz="4" w:space="0"/>
              <w:right w:val="single" w:color="auto" w:sz="4" w:space="0"/>
            </w:tcBorders>
            <w:vAlign w:val="center"/>
          </w:tcPr>
          <w:p w14:paraId="174948B1">
            <w:pPr>
              <w:spacing w:line="32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投标文件递交（投标截止时间）</w:t>
            </w:r>
          </w:p>
        </w:tc>
        <w:tc>
          <w:tcPr>
            <w:tcW w:w="3472" w:type="dxa"/>
            <w:tcBorders>
              <w:top w:val="single" w:color="auto" w:sz="4" w:space="0"/>
              <w:left w:val="single" w:color="auto" w:sz="4" w:space="0"/>
              <w:bottom w:val="single" w:color="auto" w:sz="4" w:space="0"/>
              <w:right w:val="single" w:color="auto" w:sz="4" w:space="0"/>
            </w:tcBorders>
            <w:vAlign w:val="center"/>
          </w:tcPr>
          <w:p w14:paraId="524828E2">
            <w:pPr>
              <w:spacing w:line="32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10：0</w:t>
            </w:r>
            <w:r>
              <w:rPr>
                <w:rFonts w:hint="default" w:ascii="宋体" w:hAnsi="宋体" w:cs="宋体"/>
                <w:color w:val="auto"/>
                <w:szCs w:val="21"/>
                <w:highlight w:val="none"/>
                <w:lang w:val="en-US" w:eastAsia="zh-CN"/>
              </w:rPr>
              <w:t>0</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rPr>
              <w:t>止</w:t>
            </w:r>
          </w:p>
        </w:tc>
        <w:tc>
          <w:tcPr>
            <w:tcW w:w="2768" w:type="dxa"/>
            <w:tcBorders>
              <w:top w:val="single" w:color="auto" w:sz="4" w:space="0"/>
              <w:left w:val="single" w:color="auto" w:sz="4" w:space="0"/>
              <w:bottom w:val="single" w:color="auto" w:sz="4" w:space="0"/>
              <w:right w:val="single" w:color="auto" w:sz="4" w:space="0"/>
            </w:tcBorders>
            <w:vAlign w:val="center"/>
          </w:tcPr>
          <w:p w14:paraId="3E9C947B">
            <w:pPr>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i w:val="0"/>
                <w:iCs w:val="0"/>
                <w:color w:val="auto"/>
                <w:kern w:val="1"/>
                <w:sz w:val="24"/>
                <w:szCs w:val="24"/>
                <w:highlight w:val="none"/>
                <w:vertAlign w:val="baseline"/>
                <w:lang w:val="en-US" w:eastAsia="zh-CN" w:bidi="ar-SA"/>
              </w:rPr>
              <w:t>诸暨市浣东街道215办公室</w:t>
            </w:r>
          </w:p>
        </w:tc>
        <w:tc>
          <w:tcPr>
            <w:tcW w:w="1795" w:type="dxa"/>
            <w:tcBorders>
              <w:top w:val="single" w:color="auto" w:sz="4" w:space="0"/>
              <w:left w:val="single" w:color="auto" w:sz="4" w:space="0"/>
              <w:bottom w:val="single" w:color="auto" w:sz="4" w:space="0"/>
              <w:right w:val="single" w:color="auto" w:sz="4" w:space="0"/>
            </w:tcBorders>
            <w:vAlign w:val="center"/>
          </w:tcPr>
          <w:p w14:paraId="6CACAEA6">
            <w:pPr>
              <w:pStyle w:val="36"/>
              <w:spacing w:line="400" w:lineRule="exact"/>
              <w:jc w:val="center"/>
              <w:rPr>
                <w:rFonts w:hint="eastAsia" w:ascii="宋体" w:hAnsi="宋体" w:eastAsia="宋体" w:cs="宋体"/>
                <w:color w:val="auto"/>
                <w:kern w:val="2"/>
                <w:sz w:val="21"/>
                <w:szCs w:val="21"/>
                <w:highlight w:val="none"/>
              </w:rPr>
            </w:pPr>
            <w:r>
              <w:rPr>
                <w:rFonts w:hint="default" w:ascii="宋体" w:hAnsi="宋体" w:eastAsia="宋体" w:cs="宋体"/>
                <w:b w:val="0"/>
                <w:bCs w:val="0"/>
                <w:i w:val="0"/>
                <w:iCs w:val="0"/>
                <w:color w:val="auto"/>
                <w:kern w:val="2"/>
                <w:sz w:val="21"/>
                <w:szCs w:val="21"/>
                <w:highlight w:val="none"/>
                <w:vertAlign w:val="baseline"/>
                <w:lang w:val="en-US" w:eastAsia="zh-CN" w:bidi="ar-SA"/>
              </w:rPr>
              <w:t>现场递交，逾时视为弃权</w:t>
            </w:r>
          </w:p>
        </w:tc>
      </w:tr>
      <w:tr w14:paraId="641EE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6" w:hRule="exact"/>
        </w:trPr>
        <w:tc>
          <w:tcPr>
            <w:tcW w:w="1848" w:type="dxa"/>
            <w:tcBorders>
              <w:top w:val="single" w:color="auto" w:sz="4" w:space="0"/>
              <w:left w:val="single" w:color="auto" w:sz="4" w:space="0"/>
              <w:bottom w:val="single" w:color="auto" w:sz="4" w:space="0"/>
              <w:right w:val="single" w:color="auto" w:sz="4" w:space="0"/>
            </w:tcBorders>
            <w:vAlign w:val="center"/>
          </w:tcPr>
          <w:p w14:paraId="75154E4D">
            <w:pPr>
              <w:spacing w:line="32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开标</w:t>
            </w:r>
          </w:p>
        </w:tc>
        <w:tc>
          <w:tcPr>
            <w:tcW w:w="3472" w:type="dxa"/>
            <w:tcBorders>
              <w:top w:val="single" w:color="auto" w:sz="4" w:space="0"/>
              <w:left w:val="single" w:color="auto" w:sz="4" w:space="0"/>
              <w:bottom w:val="single" w:color="auto" w:sz="4" w:space="0"/>
              <w:right w:val="single" w:color="auto" w:sz="4" w:space="0"/>
            </w:tcBorders>
            <w:vAlign w:val="center"/>
          </w:tcPr>
          <w:p w14:paraId="15B5C1E4">
            <w:pPr>
              <w:spacing w:line="32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0</w:t>
            </w:r>
            <w:r>
              <w:rPr>
                <w:rFonts w:hint="default"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en-US" w:eastAsia="zh-CN"/>
              </w:rPr>
              <w:t xml:space="preserve">时  </w:t>
            </w:r>
          </w:p>
        </w:tc>
        <w:tc>
          <w:tcPr>
            <w:tcW w:w="2768" w:type="dxa"/>
            <w:tcBorders>
              <w:top w:val="single" w:color="auto" w:sz="4" w:space="0"/>
              <w:left w:val="single" w:color="auto" w:sz="4" w:space="0"/>
              <w:bottom w:val="single" w:color="auto" w:sz="4" w:space="0"/>
              <w:right w:val="single" w:color="auto" w:sz="4" w:space="0"/>
            </w:tcBorders>
            <w:vAlign w:val="center"/>
          </w:tcPr>
          <w:p w14:paraId="1118E4F7">
            <w:pPr>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1"/>
                <w:sz w:val="24"/>
                <w:szCs w:val="24"/>
                <w:highlight w:val="none"/>
                <w:lang w:eastAsia="zh-CN"/>
              </w:rPr>
              <w:t>诸暨市浣东街道215办公室</w:t>
            </w:r>
          </w:p>
        </w:tc>
        <w:tc>
          <w:tcPr>
            <w:tcW w:w="1795" w:type="dxa"/>
            <w:tcBorders>
              <w:top w:val="single" w:color="auto" w:sz="4" w:space="0"/>
              <w:left w:val="single" w:color="auto" w:sz="4" w:space="0"/>
              <w:bottom w:val="single" w:color="auto" w:sz="4" w:space="0"/>
              <w:right w:val="single" w:color="auto" w:sz="4" w:space="0"/>
            </w:tcBorders>
            <w:vAlign w:val="center"/>
          </w:tcPr>
          <w:p w14:paraId="675ACC9B">
            <w:pPr>
              <w:spacing w:line="320" w:lineRule="exact"/>
              <w:jc w:val="left"/>
              <w:rPr>
                <w:rFonts w:hint="default" w:ascii="宋体" w:hAnsi="宋体" w:eastAsia="宋体" w:cs="宋体"/>
                <w:color w:val="auto"/>
                <w:szCs w:val="21"/>
                <w:highlight w:val="none"/>
                <w:lang w:val="en-US" w:eastAsia="zh-CN"/>
              </w:rPr>
            </w:pPr>
          </w:p>
        </w:tc>
      </w:tr>
    </w:tbl>
    <w:p w14:paraId="7544FE54">
      <w:pPr>
        <w:jc w:val="left"/>
        <w:rPr>
          <w:rFonts w:hint="eastAsia" w:ascii="宋体" w:hAnsi="宋体" w:eastAsia="宋体" w:cs="宋体"/>
          <w:bCs/>
          <w:color w:val="auto"/>
          <w:sz w:val="28"/>
          <w:szCs w:val="28"/>
          <w:highlight w:val="none"/>
        </w:rPr>
      </w:pPr>
    </w:p>
    <w:p w14:paraId="280831B9">
      <w:pPr>
        <w:pStyle w:val="2"/>
        <w:rPr>
          <w:color w:val="auto"/>
        </w:rPr>
        <w:sectPr>
          <w:pgSz w:w="11906" w:h="16838"/>
          <w:pgMar w:top="1134" w:right="1174" w:bottom="1134" w:left="1380" w:header="851" w:footer="992" w:gutter="0"/>
          <w:pgNumType w:start="1"/>
          <w:cols w:space="720" w:num="1"/>
          <w:titlePg/>
          <w:docGrid w:type="lines" w:linePitch="312" w:charSpace="0"/>
        </w:sect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本表日程如有变动，以诸暨市公共资源交易中心网站通知时间为准</w:t>
      </w:r>
      <w:r>
        <w:rPr>
          <w:rFonts w:hint="eastAsia" w:ascii="宋体" w:hAnsi="宋体" w:eastAsia="宋体" w:cs="宋体"/>
          <w:color w:val="auto"/>
          <w:szCs w:val="21"/>
          <w:highlight w:val="none"/>
        </w:rPr>
        <w:t>。</w:t>
      </w:r>
    </w:p>
    <w:p w14:paraId="00CC0D03">
      <w:pPr>
        <w:spacing w:line="360" w:lineRule="auto"/>
        <w:jc w:val="center"/>
        <w:rPr>
          <w:rFonts w:ascii="宋体" w:hAnsi="宋体" w:cs="宋体"/>
          <w:color w:val="auto"/>
          <w:sz w:val="40"/>
          <w:szCs w:val="22"/>
        </w:rPr>
      </w:pPr>
      <w:r>
        <w:rPr>
          <w:rFonts w:hint="eastAsia" w:ascii="宋体" w:hAnsi="宋体" w:cs="宋体"/>
          <w:b/>
          <w:bCs/>
          <w:color w:val="auto"/>
          <w:sz w:val="40"/>
          <w:szCs w:val="22"/>
        </w:rPr>
        <w:t>第三章　总则</w:t>
      </w:r>
    </w:p>
    <w:p w14:paraId="2FB6695C">
      <w:pPr>
        <w:spacing w:line="360" w:lineRule="auto"/>
        <w:ind w:firstLine="284"/>
        <w:jc w:val="center"/>
        <w:rPr>
          <w:rFonts w:ascii="宋体" w:hAnsi="宋体" w:cs="宋体"/>
          <w:b/>
          <w:bCs/>
          <w:color w:val="auto"/>
          <w:sz w:val="32"/>
        </w:rPr>
      </w:pPr>
      <w:r>
        <w:rPr>
          <w:rFonts w:hint="eastAsia" w:ascii="宋体" w:hAnsi="宋体" w:cs="宋体"/>
          <w:b/>
          <w:bCs/>
          <w:color w:val="auto"/>
          <w:sz w:val="32"/>
        </w:rPr>
        <w:t>一、</w:t>
      </w:r>
      <w:bookmarkStart w:id="8" w:name="_Toc16230"/>
      <w:bookmarkStart w:id="9" w:name="_Toc23803"/>
      <w:bookmarkStart w:id="10" w:name="_Toc14147"/>
      <w:bookmarkStart w:id="11" w:name="_Toc6082"/>
      <w:bookmarkStart w:id="12" w:name="_Toc15431"/>
      <w:bookmarkStart w:id="13" w:name="_Toc3616"/>
      <w:bookmarkStart w:id="14" w:name="_Toc19790"/>
      <w:bookmarkStart w:id="15" w:name="_Toc32406"/>
      <w:bookmarkStart w:id="16" w:name="_Toc31952"/>
      <w:bookmarkStart w:id="17" w:name="_Toc4321"/>
      <w:r>
        <w:rPr>
          <w:rFonts w:hint="eastAsia" w:ascii="宋体" w:hAnsi="宋体" w:cs="宋体"/>
          <w:b/>
          <w:bCs/>
          <w:color w:val="auto"/>
          <w:sz w:val="32"/>
        </w:rPr>
        <w:t>投标文件的编制和提交</w:t>
      </w:r>
    </w:p>
    <w:p w14:paraId="22039437">
      <w:pPr>
        <w:spacing w:line="360" w:lineRule="auto"/>
        <w:ind w:firstLine="482" w:firstLineChars="200"/>
        <w:rPr>
          <w:rFonts w:ascii="宋体" w:hAnsi="宋体" w:cs="宋体"/>
          <w:b/>
          <w:bCs/>
          <w:color w:val="auto"/>
          <w:sz w:val="24"/>
        </w:rPr>
      </w:pPr>
      <w:r>
        <w:rPr>
          <w:rFonts w:hint="eastAsia" w:ascii="宋体" w:hAnsi="宋体" w:cs="宋体"/>
          <w:b/>
          <w:bCs/>
          <w:color w:val="auto"/>
          <w:sz w:val="24"/>
        </w:rPr>
        <w:t>（一）投标文件的密封和标记</w:t>
      </w:r>
      <w:bookmarkEnd w:id="8"/>
      <w:bookmarkEnd w:id="9"/>
      <w:bookmarkEnd w:id="10"/>
      <w:bookmarkEnd w:id="11"/>
      <w:bookmarkEnd w:id="12"/>
    </w:p>
    <w:p w14:paraId="62EF779E">
      <w:pPr>
        <w:pStyle w:val="17"/>
        <w:spacing w:line="360" w:lineRule="auto"/>
        <w:ind w:firstLine="559" w:firstLineChars="233"/>
        <w:rPr>
          <w:rFonts w:ascii="宋体" w:hAnsi="宋体" w:cs="宋体"/>
          <w:color w:val="auto"/>
        </w:rPr>
      </w:pPr>
      <w:r>
        <w:rPr>
          <w:rFonts w:hint="eastAsia" w:ascii="宋体" w:hAnsi="宋体" w:cs="宋体"/>
          <w:color w:val="auto"/>
        </w:rPr>
        <w:t>1.入围响应人应将投标文件封装在A4纸大小的标函袋里，不密封的投标文件无效。</w:t>
      </w:r>
    </w:p>
    <w:p w14:paraId="58729848">
      <w:pPr>
        <w:pStyle w:val="17"/>
        <w:spacing w:line="360" w:lineRule="auto"/>
        <w:ind w:firstLine="559" w:firstLineChars="233"/>
        <w:rPr>
          <w:rFonts w:ascii="宋体" w:hAnsi="宋体" w:cs="宋体"/>
          <w:color w:val="auto"/>
        </w:rPr>
      </w:pPr>
      <w:r>
        <w:rPr>
          <w:rFonts w:hint="eastAsia" w:ascii="宋体" w:hAnsi="宋体" w:cs="宋体"/>
          <w:color w:val="auto"/>
        </w:rPr>
        <w:t>2.在标函袋封面应标明：</w:t>
      </w:r>
    </w:p>
    <w:p w14:paraId="13014914">
      <w:pPr>
        <w:pStyle w:val="17"/>
        <w:spacing w:line="360" w:lineRule="auto"/>
        <w:ind w:firstLine="559" w:firstLineChars="233"/>
        <w:rPr>
          <w:rFonts w:ascii="宋体" w:hAnsi="宋体" w:cs="宋体"/>
          <w:color w:val="auto"/>
        </w:rPr>
      </w:pPr>
      <w:r>
        <w:rPr>
          <w:rFonts w:hint="eastAsia" w:ascii="宋体" w:hAnsi="宋体" w:cs="宋体"/>
          <w:color w:val="auto"/>
        </w:rPr>
        <w:t>（1）项目名称：</w:t>
      </w:r>
    </w:p>
    <w:p w14:paraId="796BF6D4">
      <w:pPr>
        <w:pStyle w:val="17"/>
        <w:spacing w:line="360" w:lineRule="auto"/>
        <w:ind w:firstLine="559" w:firstLineChars="233"/>
        <w:rPr>
          <w:rFonts w:ascii="宋体" w:hAnsi="宋体" w:cs="宋体"/>
          <w:color w:val="auto"/>
        </w:rPr>
      </w:pPr>
      <w:r>
        <w:rPr>
          <w:rFonts w:hint="eastAsia" w:ascii="宋体" w:hAnsi="宋体" w:cs="宋体"/>
          <w:color w:val="auto"/>
        </w:rPr>
        <w:t>（2）招标人的名称：</w:t>
      </w:r>
    </w:p>
    <w:p w14:paraId="0913AEA8">
      <w:pPr>
        <w:pStyle w:val="17"/>
        <w:spacing w:line="360" w:lineRule="auto"/>
        <w:ind w:firstLine="559" w:firstLineChars="233"/>
        <w:rPr>
          <w:rFonts w:ascii="宋体" w:hAnsi="宋体" w:cs="宋体"/>
          <w:color w:val="auto"/>
        </w:rPr>
      </w:pPr>
      <w:r>
        <w:rPr>
          <w:rFonts w:hint="eastAsia" w:ascii="宋体" w:hAnsi="宋体" w:cs="宋体"/>
          <w:color w:val="auto"/>
        </w:rPr>
        <w:t>（3）入围响应人的名称：</w:t>
      </w:r>
    </w:p>
    <w:p w14:paraId="3C723CB9">
      <w:pPr>
        <w:pStyle w:val="17"/>
        <w:spacing w:line="360" w:lineRule="auto"/>
        <w:ind w:firstLine="559" w:firstLineChars="233"/>
        <w:rPr>
          <w:rFonts w:ascii="宋体" w:hAnsi="宋体" w:cs="宋体"/>
          <w:color w:val="auto"/>
        </w:rPr>
      </w:pPr>
      <w:r>
        <w:rPr>
          <w:rFonts w:hint="eastAsia" w:ascii="宋体" w:hAnsi="宋体" w:cs="宋体"/>
          <w:color w:val="auto"/>
        </w:rPr>
        <w:t>3.投标文件的标函袋的封口处应加盖入围响应人公章及经法定代表人或其委托代理人签字或盖章。</w:t>
      </w:r>
    </w:p>
    <w:p w14:paraId="1E2C1441">
      <w:pPr>
        <w:pStyle w:val="17"/>
        <w:spacing w:line="360" w:lineRule="auto"/>
        <w:ind w:leftChars="1" w:firstLine="482" w:firstLineChars="200"/>
        <w:rPr>
          <w:rFonts w:ascii="宋体" w:hAnsi="宋体" w:cs="宋体"/>
          <w:b/>
          <w:bCs/>
          <w:color w:val="auto"/>
          <w:kern w:val="2"/>
        </w:rPr>
      </w:pPr>
      <w:r>
        <w:rPr>
          <w:rFonts w:hint="eastAsia" w:ascii="宋体" w:hAnsi="宋体" w:cs="宋体"/>
          <w:b/>
          <w:bCs/>
          <w:color w:val="auto"/>
          <w:kern w:val="2"/>
        </w:rPr>
        <w:t>（二）投标文件的递交</w:t>
      </w:r>
    </w:p>
    <w:p w14:paraId="7D3B7F69">
      <w:pPr>
        <w:pStyle w:val="17"/>
        <w:spacing w:line="360" w:lineRule="auto"/>
        <w:ind w:firstLine="559" w:firstLineChars="233"/>
        <w:rPr>
          <w:rFonts w:ascii="宋体" w:hAnsi="宋体" w:cs="宋体"/>
          <w:color w:val="auto"/>
        </w:rPr>
      </w:pPr>
      <w:r>
        <w:rPr>
          <w:rFonts w:hint="eastAsia" w:ascii="宋体" w:hAnsi="宋体" w:cs="宋体"/>
          <w:color w:val="auto"/>
        </w:rPr>
        <w:t>入围响应人应在规定的地点并在投标截止时间前将投标文件送达给招标人。</w:t>
      </w:r>
      <w:bookmarkStart w:id="18" w:name="_Toc6038"/>
      <w:bookmarkStart w:id="19" w:name="_Toc13954"/>
      <w:bookmarkStart w:id="20" w:name="_Toc9737"/>
      <w:bookmarkStart w:id="21" w:name="_Toc18405"/>
      <w:bookmarkStart w:id="22" w:name="_Toc5648"/>
    </w:p>
    <w:p w14:paraId="2F443217">
      <w:pPr>
        <w:pStyle w:val="17"/>
        <w:spacing w:line="360" w:lineRule="auto"/>
        <w:ind w:leftChars="1" w:firstLine="482" w:firstLineChars="200"/>
        <w:rPr>
          <w:rFonts w:ascii="宋体" w:hAnsi="宋体" w:cs="宋体"/>
          <w:b/>
          <w:bCs/>
          <w:color w:val="auto"/>
          <w:kern w:val="2"/>
        </w:rPr>
      </w:pPr>
      <w:r>
        <w:rPr>
          <w:rFonts w:hint="eastAsia" w:ascii="宋体" w:hAnsi="宋体" w:cs="宋体"/>
          <w:b/>
          <w:bCs/>
          <w:color w:val="auto"/>
          <w:kern w:val="2"/>
        </w:rPr>
        <w:t>（三）投标文件的修改与撤回</w:t>
      </w:r>
      <w:bookmarkEnd w:id="18"/>
      <w:bookmarkEnd w:id="19"/>
      <w:bookmarkEnd w:id="20"/>
      <w:bookmarkEnd w:id="21"/>
      <w:bookmarkEnd w:id="22"/>
    </w:p>
    <w:p w14:paraId="45C302AB">
      <w:pPr>
        <w:pStyle w:val="17"/>
        <w:spacing w:line="360" w:lineRule="auto"/>
        <w:ind w:firstLine="559" w:firstLineChars="233"/>
        <w:rPr>
          <w:rFonts w:ascii="宋体" w:hAnsi="宋体" w:cs="宋体"/>
          <w:color w:val="auto"/>
        </w:rPr>
      </w:pPr>
      <w:r>
        <w:rPr>
          <w:rFonts w:hint="eastAsia" w:ascii="宋体" w:hAnsi="宋体" w:cs="宋体"/>
          <w:color w:val="auto"/>
        </w:rPr>
        <w:t>1.入围响应人在递交投标文件以后，在规定的投标截止时间之前，可以书面形式补充修改或撤回已递交的投标文件，并通知招标人。补充、修改的内容为投标文件的组成部分。</w:t>
      </w:r>
    </w:p>
    <w:p w14:paraId="27AF669E">
      <w:pPr>
        <w:pStyle w:val="17"/>
        <w:spacing w:line="360" w:lineRule="auto"/>
        <w:ind w:firstLine="559" w:firstLineChars="233"/>
        <w:rPr>
          <w:rFonts w:ascii="宋体" w:hAnsi="宋体" w:cs="宋体"/>
          <w:color w:val="auto"/>
        </w:rPr>
      </w:pPr>
      <w:r>
        <w:rPr>
          <w:rFonts w:hint="eastAsia" w:ascii="宋体" w:hAnsi="宋体" w:cs="宋体"/>
          <w:color w:val="auto"/>
        </w:rPr>
        <w:t>2.入围响应人的补充、修改或撤回通知，应按有关规定密封、标记和递交并在投标文件标函袋上清楚标明“补充修改”或“撤回”字样。</w:t>
      </w:r>
    </w:p>
    <w:p w14:paraId="78DFE257">
      <w:pPr>
        <w:pStyle w:val="17"/>
        <w:spacing w:line="360" w:lineRule="auto"/>
        <w:ind w:firstLine="559" w:firstLineChars="233"/>
        <w:rPr>
          <w:rFonts w:ascii="宋体" w:hAnsi="宋体" w:cs="宋体"/>
          <w:color w:val="auto"/>
        </w:rPr>
      </w:pPr>
      <w:r>
        <w:rPr>
          <w:rFonts w:hint="eastAsia" w:ascii="宋体" w:hAnsi="宋体" w:cs="宋体"/>
          <w:color w:val="auto"/>
        </w:rPr>
        <w:t>3.在投标截止时间至入围响应人在投标文件中响应的投标有效期满之前的这段时间内，入围响应人不得撤回或修改其投标文件。</w:t>
      </w:r>
    </w:p>
    <w:p w14:paraId="73E1EB03">
      <w:pPr>
        <w:pStyle w:val="17"/>
        <w:spacing w:line="360" w:lineRule="auto"/>
        <w:ind w:firstLine="643" w:firstLineChars="200"/>
        <w:jc w:val="center"/>
        <w:rPr>
          <w:rFonts w:ascii="宋体" w:hAnsi="宋体" w:cs="宋体"/>
          <w:b/>
          <w:bCs/>
          <w:color w:val="auto"/>
          <w:kern w:val="2"/>
          <w:sz w:val="32"/>
        </w:rPr>
      </w:pPr>
      <w:r>
        <w:rPr>
          <w:rFonts w:hint="eastAsia" w:ascii="宋体" w:hAnsi="宋体" w:cs="宋体"/>
          <w:b/>
          <w:bCs/>
          <w:color w:val="auto"/>
          <w:kern w:val="2"/>
          <w:sz w:val="32"/>
        </w:rPr>
        <w:t>二、开标</w:t>
      </w:r>
      <w:bookmarkEnd w:id="13"/>
      <w:bookmarkEnd w:id="14"/>
      <w:bookmarkEnd w:id="15"/>
      <w:bookmarkEnd w:id="16"/>
      <w:bookmarkEnd w:id="17"/>
      <w:bookmarkStart w:id="23" w:name="_Toc231"/>
      <w:bookmarkStart w:id="24" w:name="_Toc28167"/>
      <w:bookmarkStart w:id="25" w:name="_Toc5621"/>
      <w:bookmarkStart w:id="26" w:name="_Toc21847"/>
      <w:bookmarkStart w:id="27" w:name="_Toc4568"/>
    </w:p>
    <w:p w14:paraId="504074BF">
      <w:pPr>
        <w:pStyle w:val="17"/>
        <w:spacing w:line="360" w:lineRule="auto"/>
        <w:ind w:firstLine="482" w:firstLineChars="200"/>
        <w:rPr>
          <w:rFonts w:ascii="宋体" w:hAnsi="宋体" w:cs="宋体"/>
          <w:b/>
          <w:bCs/>
          <w:color w:val="auto"/>
          <w:kern w:val="2"/>
        </w:rPr>
      </w:pPr>
      <w:r>
        <w:rPr>
          <w:rFonts w:hint="eastAsia" w:ascii="宋体" w:hAnsi="宋体" w:cs="宋体"/>
          <w:b/>
          <w:bCs/>
          <w:color w:val="auto"/>
          <w:kern w:val="2"/>
        </w:rPr>
        <w:t>（一）开标时间和地点</w:t>
      </w:r>
      <w:bookmarkEnd w:id="23"/>
      <w:bookmarkEnd w:id="24"/>
      <w:bookmarkEnd w:id="25"/>
      <w:bookmarkEnd w:id="26"/>
      <w:bookmarkEnd w:id="27"/>
    </w:p>
    <w:p w14:paraId="057719F9">
      <w:pPr>
        <w:pStyle w:val="17"/>
        <w:spacing w:line="360" w:lineRule="auto"/>
        <w:ind w:firstLine="559" w:firstLineChars="233"/>
        <w:rPr>
          <w:rFonts w:ascii="宋体" w:hAnsi="宋体" w:cs="宋体"/>
          <w:color w:val="auto"/>
        </w:rPr>
      </w:pPr>
      <w:r>
        <w:rPr>
          <w:rFonts w:hint="eastAsia" w:ascii="宋体" w:hAnsi="宋体" w:cs="宋体"/>
          <w:color w:val="auto"/>
        </w:rPr>
        <w:t>1.本项目招标人将按入围响应人须知前附表日程安排表所规定的时间和地点公开举行开标会议，邀请所有入围响应人代表参加开标会议，并接受招标人纪检监察室监督。</w:t>
      </w:r>
    </w:p>
    <w:p w14:paraId="56F5AB3A">
      <w:pPr>
        <w:spacing w:line="360" w:lineRule="auto"/>
        <w:ind w:firstLine="552" w:firstLineChars="230"/>
        <w:rPr>
          <w:rFonts w:ascii="宋体" w:hAnsi="宋体" w:cs="宋体"/>
          <w:color w:val="auto"/>
          <w:sz w:val="24"/>
        </w:rPr>
      </w:pPr>
      <w:r>
        <w:rPr>
          <w:rFonts w:hint="eastAsia" w:ascii="宋体" w:hAnsi="宋体" w:cs="宋体"/>
          <w:color w:val="auto"/>
          <w:sz w:val="24"/>
        </w:rPr>
        <w:t>2.入围响应人</w:t>
      </w:r>
      <w:r>
        <w:rPr>
          <w:rFonts w:hint="eastAsia" w:ascii="宋体" w:hAnsi="宋体" w:cs="宋体"/>
          <w:b/>
          <w:bCs/>
          <w:color w:val="auto"/>
          <w:sz w:val="24"/>
          <w:u w:val="single"/>
        </w:rPr>
        <w:t>法定代表人或委托代理人</w:t>
      </w:r>
      <w:r>
        <w:rPr>
          <w:rFonts w:hint="eastAsia" w:ascii="宋体" w:hAnsi="宋体" w:cs="宋体"/>
          <w:color w:val="auto"/>
          <w:sz w:val="24"/>
        </w:rPr>
        <w:t>必须随带身份证原件和授权委托书原件参加开标会议，否则视为自动弃权</w:t>
      </w:r>
      <w:bookmarkStart w:id="28" w:name="_Toc6806"/>
      <w:bookmarkStart w:id="29" w:name="_Toc288"/>
      <w:bookmarkStart w:id="30" w:name="_Toc10543"/>
      <w:bookmarkStart w:id="31" w:name="_Toc9296"/>
      <w:bookmarkStart w:id="32" w:name="_Toc29005"/>
      <w:r>
        <w:rPr>
          <w:rFonts w:hint="eastAsia" w:ascii="宋体" w:hAnsi="宋体" w:cs="宋体"/>
          <w:color w:val="auto"/>
          <w:sz w:val="24"/>
        </w:rPr>
        <w:t>。</w:t>
      </w:r>
    </w:p>
    <w:p w14:paraId="3E5BBB5E">
      <w:pPr>
        <w:spacing w:line="360" w:lineRule="auto"/>
        <w:ind w:firstLine="482" w:firstLineChars="200"/>
        <w:rPr>
          <w:rFonts w:ascii="宋体" w:hAnsi="宋体" w:cs="宋体"/>
          <w:b/>
          <w:bCs/>
          <w:color w:val="auto"/>
          <w:sz w:val="24"/>
        </w:rPr>
      </w:pPr>
      <w:r>
        <w:rPr>
          <w:rFonts w:hint="eastAsia" w:ascii="宋体" w:hAnsi="宋体" w:cs="宋体"/>
          <w:b/>
          <w:bCs/>
          <w:color w:val="auto"/>
          <w:sz w:val="24"/>
        </w:rPr>
        <w:t>（二）开标程序</w:t>
      </w:r>
      <w:bookmarkEnd w:id="28"/>
      <w:bookmarkEnd w:id="29"/>
      <w:bookmarkEnd w:id="30"/>
      <w:bookmarkEnd w:id="31"/>
      <w:bookmarkEnd w:id="32"/>
    </w:p>
    <w:p w14:paraId="576AA9FD">
      <w:pPr>
        <w:pStyle w:val="17"/>
        <w:spacing w:line="360" w:lineRule="auto"/>
        <w:ind w:firstLine="559" w:firstLineChars="233"/>
        <w:rPr>
          <w:rFonts w:ascii="宋体" w:hAnsi="宋体" w:cs="宋体"/>
          <w:color w:val="auto"/>
        </w:rPr>
      </w:pPr>
      <w:r>
        <w:rPr>
          <w:rFonts w:hint="eastAsia" w:ascii="宋体" w:hAnsi="宋体" w:cs="宋体"/>
          <w:color w:val="auto"/>
        </w:rPr>
        <w:t>招标人按下列程序进行开标：</w:t>
      </w:r>
    </w:p>
    <w:p w14:paraId="5DF13629">
      <w:pPr>
        <w:spacing w:line="360" w:lineRule="auto"/>
        <w:ind w:firstLine="482" w:firstLineChars="200"/>
        <w:rPr>
          <w:rFonts w:hint="default" w:ascii="宋体" w:hAnsi="宋体" w:eastAsia="宋体" w:cs="宋体"/>
          <w:color w:val="auto"/>
          <w:kern w:val="16"/>
          <w:sz w:val="24"/>
          <w:lang w:val="en-US" w:eastAsia="zh-CN"/>
        </w:rPr>
      </w:pPr>
      <w:r>
        <w:rPr>
          <w:rFonts w:hint="eastAsia" w:ascii="宋体" w:hAnsi="宋体" w:cs="宋体"/>
          <w:b/>
          <w:bCs/>
          <w:color w:val="auto"/>
          <w:kern w:val="16"/>
          <w:sz w:val="24"/>
          <w:u w:val="single"/>
        </w:rPr>
        <w:t>时间：</w:t>
      </w:r>
      <w:r>
        <w:rPr>
          <w:rFonts w:hint="eastAsia" w:ascii="宋体" w:hAnsi="宋体" w:cs="宋体"/>
          <w:b/>
          <w:bCs/>
          <w:color w:val="auto"/>
          <w:kern w:val="16"/>
          <w:sz w:val="24"/>
          <w:u w:val="single"/>
          <w:lang w:eastAsia="zh-CN"/>
        </w:rPr>
        <w:t>2026</w:t>
      </w:r>
      <w:r>
        <w:rPr>
          <w:rFonts w:hint="eastAsia" w:ascii="宋体" w:hAnsi="宋体" w:cs="宋体"/>
          <w:b/>
          <w:bCs/>
          <w:color w:val="auto"/>
          <w:kern w:val="16"/>
          <w:sz w:val="24"/>
          <w:u w:val="single"/>
        </w:rPr>
        <w:t>年</w:t>
      </w:r>
      <w:r>
        <w:rPr>
          <w:rFonts w:hint="eastAsia" w:ascii="宋体" w:hAnsi="宋体" w:cs="宋体"/>
          <w:b/>
          <w:bCs/>
          <w:color w:val="auto"/>
          <w:kern w:val="16"/>
          <w:sz w:val="24"/>
          <w:u w:val="single"/>
          <w:lang w:val="en-US" w:eastAsia="zh-CN"/>
        </w:rPr>
        <w:t>3</w:t>
      </w:r>
      <w:r>
        <w:rPr>
          <w:rFonts w:hint="eastAsia" w:ascii="宋体" w:hAnsi="宋体" w:cs="宋体"/>
          <w:b/>
          <w:bCs/>
          <w:color w:val="auto"/>
          <w:kern w:val="16"/>
          <w:sz w:val="24"/>
          <w:u w:val="single"/>
        </w:rPr>
        <w:t>月</w:t>
      </w:r>
      <w:r>
        <w:rPr>
          <w:rFonts w:hint="eastAsia" w:ascii="宋体" w:hAnsi="宋体" w:cs="宋体"/>
          <w:b/>
          <w:bCs/>
          <w:color w:val="auto"/>
          <w:kern w:val="16"/>
          <w:sz w:val="24"/>
          <w:u w:val="single"/>
          <w:lang w:val="en-US" w:eastAsia="zh-CN"/>
        </w:rPr>
        <w:t>17</w:t>
      </w:r>
      <w:r>
        <w:rPr>
          <w:rFonts w:hint="eastAsia" w:ascii="宋体" w:hAnsi="宋体" w:cs="宋体"/>
          <w:b/>
          <w:bCs/>
          <w:color w:val="auto"/>
          <w:kern w:val="16"/>
          <w:sz w:val="24"/>
          <w:u w:val="single"/>
        </w:rPr>
        <w:t>日</w:t>
      </w:r>
      <w:r>
        <w:rPr>
          <w:rFonts w:hint="eastAsia" w:ascii="宋体" w:hAnsi="宋体" w:cs="宋体"/>
          <w:b/>
          <w:bCs/>
          <w:color w:val="auto"/>
          <w:kern w:val="16"/>
          <w:sz w:val="24"/>
          <w:u w:val="single"/>
          <w:lang w:val="en-US" w:eastAsia="zh-CN"/>
        </w:rPr>
        <w:t xml:space="preserve"> </w:t>
      </w:r>
      <w:r>
        <w:rPr>
          <w:rFonts w:hint="default" w:ascii="宋体" w:hAnsi="宋体" w:cs="宋体"/>
          <w:b/>
          <w:bCs/>
          <w:color w:val="auto"/>
          <w:kern w:val="16"/>
          <w:sz w:val="24"/>
          <w:u w:val="single"/>
          <w:lang w:val="en-US" w:eastAsia="zh-CN"/>
        </w:rPr>
        <w:t>1</w:t>
      </w:r>
      <w:r>
        <w:rPr>
          <w:rFonts w:hint="eastAsia" w:ascii="宋体" w:hAnsi="宋体" w:cs="宋体"/>
          <w:b/>
          <w:bCs/>
          <w:color w:val="auto"/>
          <w:kern w:val="16"/>
          <w:sz w:val="24"/>
          <w:u w:val="single"/>
          <w:lang w:val="en-US" w:eastAsia="zh-CN"/>
        </w:rPr>
        <w:t>0</w:t>
      </w:r>
      <w:r>
        <w:rPr>
          <w:rFonts w:hint="eastAsia" w:ascii="宋体" w:hAnsi="宋体" w:cs="宋体"/>
          <w:b/>
          <w:bCs/>
          <w:color w:val="auto"/>
          <w:kern w:val="16"/>
          <w:sz w:val="24"/>
          <w:u w:val="single"/>
        </w:rPr>
        <w:t>：</w:t>
      </w:r>
      <w:r>
        <w:rPr>
          <w:rFonts w:hint="eastAsia" w:ascii="宋体" w:hAnsi="宋体" w:cs="宋体"/>
          <w:b/>
          <w:bCs/>
          <w:color w:val="auto"/>
          <w:kern w:val="16"/>
          <w:sz w:val="24"/>
          <w:u w:val="single"/>
          <w:lang w:val="en-US" w:eastAsia="zh-CN"/>
        </w:rPr>
        <w:t xml:space="preserve"> 0</w:t>
      </w:r>
      <w:r>
        <w:rPr>
          <w:rFonts w:hint="default" w:ascii="宋体" w:hAnsi="宋体" w:cs="宋体"/>
          <w:b/>
          <w:bCs/>
          <w:color w:val="auto"/>
          <w:kern w:val="16"/>
          <w:sz w:val="24"/>
          <w:u w:val="single"/>
          <w:lang w:val="en-US" w:eastAsia="zh-CN"/>
        </w:rPr>
        <w:t>0</w:t>
      </w:r>
      <w:r>
        <w:rPr>
          <w:rFonts w:hint="eastAsia" w:ascii="宋体" w:hAnsi="宋体" w:cs="宋体"/>
          <w:b/>
          <w:bCs/>
          <w:color w:val="auto"/>
          <w:kern w:val="16"/>
          <w:sz w:val="24"/>
          <w:u w:val="single"/>
          <w:lang w:val="en-US" w:eastAsia="zh-CN"/>
        </w:rPr>
        <w:t xml:space="preserve"> </w:t>
      </w:r>
    </w:p>
    <w:p w14:paraId="3C949299">
      <w:pPr>
        <w:spacing w:line="360" w:lineRule="auto"/>
        <w:ind w:firstLine="482" w:firstLineChars="200"/>
        <w:rPr>
          <w:rFonts w:ascii="宋体" w:hAnsi="宋体" w:cs="宋体"/>
          <w:b/>
          <w:bCs/>
          <w:color w:val="auto"/>
          <w:kern w:val="16"/>
          <w:sz w:val="24"/>
          <w:u w:val="single"/>
        </w:rPr>
      </w:pPr>
      <w:r>
        <w:rPr>
          <w:rFonts w:hint="eastAsia" w:ascii="宋体" w:hAnsi="宋体" w:cs="宋体"/>
          <w:b/>
          <w:bCs/>
          <w:color w:val="auto"/>
          <w:kern w:val="16"/>
          <w:sz w:val="24"/>
          <w:u w:val="single"/>
        </w:rPr>
        <w:t>地点：</w:t>
      </w:r>
      <w:r>
        <w:rPr>
          <w:rFonts w:hint="eastAsia" w:ascii="宋体" w:hAnsi="宋体" w:cs="宋体"/>
          <w:b/>
          <w:bCs/>
          <w:color w:val="auto"/>
          <w:kern w:val="16"/>
          <w:sz w:val="24"/>
          <w:u w:val="single"/>
          <w:lang w:eastAsia="zh-CN"/>
        </w:rPr>
        <w:t>诸暨市浣东街道215办公室</w:t>
      </w:r>
    </w:p>
    <w:p w14:paraId="6625E505">
      <w:pPr>
        <w:spacing w:line="360" w:lineRule="auto"/>
        <w:ind w:firstLine="480" w:firstLineChars="200"/>
        <w:rPr>
          <w:rFonts w:ascii="宋体" w:hAnsi="宋体" w:cs="宋体"/>
          <w:color w:val="auto"/>
          <w:kern w:val="16"/>
          <w:sz w:val="24"/>
        </w:rPr>
      </w:pPr>
      <w:r>
        <w:rPr>
          <w:rFonts w:hint="eastAsia" w:ascii="宋体" w:hAnsi="宋体" w:cs="宋体"/>
          <w:color w:val="auto"/>
          <w:kern w:val="16"/>
          <w:sz w:val="24"/>
        </w:rPr>
        <w:t>（1）招标人检查投标文件的密封状况；</w:t>
      </w:r>
    </w:p>
    <w:p w14:paraId="46D11603">
      <w:pPr>
        <w:spacing w:line="360" w:lineRule="auto"/>
        <w:ind w:firstLine="480" w:firstLineChars="200"/>
        <w:rPr>
          <w:rFonts w:hint="eastAsia" w:ascii="宋体" w:hAnsi="宋体" w:cs="宋体"/>
          <w:color w:val="auto"/>
          <w:kern w:val="16"/>
          <w:sz w:val="24"/>
        </w:rPr>
      </w:pPr>
      <w:r>
        <w:rPr>
          <w:rFonts w:hint="eastAsia" w:ascii="宋体" w:hAnsi="宋体" w:cs="宋体"/>
          <w:color w:val="auto"/>
          <w:kern w:val="16"/>
          <w:sz w:val="24"/>
        </w:rPr>
        <w:t>（2）入围响应人在投标截止时间前递交投标文件撤回函的，招标人宣读撤回函；</w:t>
      </w:r>
    </w:p>
    <w:p w14:paraId="1882A2AF">
      <w:pPr>
        <w:spacing w:line="360" w:lineRule="auto"/>
        <w:ind w:firstLine="480" w:firstLineChars="200"/>
        <w:rPr>
          <w:rFonts w:hint="eastAsia" w:ascii="宋体" w:hAnsi="宋体" w:cs="宋体"/>
          <w:color w:val="auto"/>
          <w:kern w:val="16"/>
          <w:sz w:val="24"/>
          <w:lang w:val="en-US" w:eastAsia="zh-CN"/>
        </w:rPr>
      </w:pPr>
      <w:r>
        <w:rPr>
          <w:rFonts w:hint="eastAsia" w:ascii="宋体" w:hAnsi="宋体" w:cs="宋体"/>
          <w:color w:val="auto"/>
          <w:kern w:val="16"/>
          <w:sz w:val="24"/>
          <w:lang w:eastAsia="zh-CN"/>
        </w:rPr>
        <w:t>（</w:t>
      </w:r>
      <w:r>
        <w:rPr>
          <w:rFonts w:hint="eastAsia" w:ascii="宋体" w:hAnsi="宋体" w:cs="宋体"/>
          <w:color w:val="auto"/>
          <w:kern w:val="16"/>
          <w:sz w:val="24"/>
          <w:lang w:val="en-US" w:eastAsia="zh-CN"/>
        </w:rPr>
        <w:t>3</w:t>
      </w:r>
      <w:r>
        <w:rPr>
          <w:rFonts w:hint="eastAsia" w:ascii="宋体" w:hAnsi="宋体" w:cs="宋体"/>
          <w:color w:val="auto"/>
          <w:kern w:val="16"/>
          <w:sz w:val="24"/>
          <w:lang w:eastAsia="zh-CN"/>
        </w:rPr>
        <w:t>）</w:t>
      </w:r>
      <w:r>
        <w:rPr>
          <w:rFonts w:hint="eastAsia" w:ascii="宋体" w:hAnsi="宋体" w:cs="宋体"/>
          <w:color w:val="auto"/>
          <w:kern w:val="16"/>
          <w:sz w:val="24"/>
          <w:lang w:val="en-US" w:eastAsia="zh-CN"/>
        </w:rPr>
        <w:t>招标人宣布各投标人的抽签号（投标人的</w:t>
      </w:r>
      <w:r>
        <w:rPr>
          <w:rFonts w:hint="eastAsia" w:ascii="宋体" w:hAnsi="宋体" w:cs="宋体"/>
          <w:color w:val="auto"/>
          <w:kern w:val="16"/>
          <w:sz w:val="24"/>
        </w:rPr>
        <w:t>法定代表人或委托代理人签到编号作为抽签编号</w:t>
      </w:r>
      <w:r>
        <w:rPr>
          <w:rFonts w:hint="eastAsia" w:ascii="宋体" w:hAnsi="宋体" w:cs="宋体"/>
          <w:color w:val="auto"/>
          <w:kern w:val="16"/>
          <w:sz w:val="24"/>
          <w:lang w:val="en-US" w:eastAsia="zh-CN"/>
        </w:rPr>
        <w:t>）；</w:t>
      </w:r>
    </w:p>
    <w:p w14:paraId="34DD061C">
      <w:pPr>
        <w:spacing w:line="360" w:lineRule="auto"/>
        <w:ind w:firstLine="480" w:firstLineChars="200"/>
        <w:rPr>
          <w:rFonts w:hint="eastAsia" w:ascii="宋体" w:hAnsi="宋体" w:cs="宋体"/>
          <w:color w:val="auto"/>
          <w:kern w:val="16"/>
          <w:sz w:val="24"/>
          <w:lang w:val="en-US" w:eastAsia="zh-CN"/>
        </w:rPr>
      </w:pPr>
      <w:r>
        <w:rPr>
          <w:rFonts w:hint="eastAsia" w:ascii="宋体" w:hAnsi="宋体" w:cs="宋体"/>
          <w:color w:val="auto"/>
          <w:kern w:val="16"/>
          <w:sz w:val="24"/>
          <w:lang w:eastAsia="zh-CN"/>
        </w:rPr>
        <w:t>（</w:t>
      </w:r>
      <w:r>
        <w:rPr>
          <w:rFonts w:hint="eastAsia" w:ascii="宋体" w:hAnsi="宋体" w:cs="宋体"/>
          <w:color w:val="auto"/>
          <w:kern w:val="16"/>
          <w:sz w:val="24"/>
          <w:lang w:val="en-US" w:eastAsia="zh-CN"/>
        </w:rPr>
        <w:t>4</w:t>
      </w:r>
      <w:r>
        <w:rPr>
          <w:rFonts w:hint="eastAsia" w:ascii="宋体" w:hAnsi="宋体" w:cs="宋体"/>
          <w:color w:val="auto"/>
          <w:kern w:val="16"/>
          <w:sz w:val="24"/>
          <w:lang w:eastAsia="zh-CN"/>
        </w:rPr>
        <w:t>）</w:t>
      </w:r>
      <w:r>
        <w:rPr>
          <w:rFonts w:hint="eastAsia" w:ascii="宋体" w:hAnsi="宋体" w:cs="宋体"/>
          <w:color w:val="auto"/>
          <w:kern w:val="16"/>
          <w:sz w:val="24"/>
          <w:lang w:val="en-US" w:eastAsia="zh-CN"/>
        </w:rPr>
        <w:t>招标人代表随机抽取2家投标人作为预中标人；</w:t>
      </w:r>
    </w:p>
    <w:p w14:paraId="16AF7E5E">
      <w:pPr>
        <w:spacing w:line="360" w:lineRule="auto"/>
        <w:ind w:firstLine="480" w:firstLineChars="200"/>
        <w:rPr>
          <w:rFonts w:hint="eastAsia" w:ascii="宋体" w:hAnsi="宋体" w:cs="宋体"/>
          <w:color w:val="auto"/>
          <w:kern w:val="16"/>
          <w:sz w:val="24"/>
        </w:rPr>
      </w:pPr>
      <w:r>
        <w:rPr>
          <w:rFonts w:hint="eastAsia" w:ascii="宋体" w:hAnsi="宋体" w:cs="宋体"/>
          <w:color w:val="auto"/>
          <w:kern w:val="16"/>
          <w:sz w:val="24"/>
          <w:lang w:val="en-US" w:eastAsia="zh-CN"/>
        </w:rPr>
        <w:t>（5）</w:t>
      </w:r>
      <w:r>
        <w:rPr>
          <w:rFonts w:hint="eastAsia" w:ascii="宋体" w:hAnsi="宋体" w:cs="宋体"/>
          <w:color w:val="auto"/>
          <w:kern w:val="16"/>
          <w:sz w:val="24"/>
        </w:rPr>
        <w:t>招标人依据入围文件要求对</w:t>
      </w:r>
      <w:r>
        <w:rPr>
          <w:rFonts w:hint="eastAsia" w:ascii="宋体" w:hAnsi="宋体" w:cs="宋体"/>
          <w:color w:val="auto"/>
          <w:kern w:val="16"/>
          <w:sz w:val="24"/>
          <w:lang w:val="en-US" w:eastAsia="zh-CN"/>
        </w:rPr>
        <w:t>预中标</w:t>
      </w:r>
      <w:r>
        <w:rPr>
          <w:rFonts w:hint="eastAsia" w:ascii="宋体" w:hAnsi="宋体" w:cs="宋体"/>
          <w:color w:val="auto"/>
          <w:kern w:val="16"/>
          <w:sz w:val="24"/>
        </w:rPr>
        <w:t>人资格进行审查；</w:t>
      </w:r>
    </w:p>
    <w:p w14:paraId="01166783">
      <w:pPr>
        <w:pStyle w:val="2"/>
        <w:ind w:left="0" w:leftChars="0" w:firstLine="480" w:firstLineChars="200"/>
        <w:rPr>
          <w:rFonts w:ascii="宋体" w:hAnsi="宋体" w:cs="宋体"/>
          <w:color w:val="auto"/>
          <w:kern w:val="16"/>
          <w:sz w:val="24"/>
        </w:rPr>
      </w:pPr>
      <w:r>
        <w:rPr>
          <w:rFonts w:hint="eastAsia" w:hAnsi="宋体" w:cs="宋体"/>
          <w:color w:val="auto"/>
          <w:kern w:val="16"/>
          <w:sz w:val="24"/>
          <w:lang w:eastAsia="zh-CN"/>
        </w:rPr>
        <w:t>（</w:t>
      </w:r>
      <w:r>
        <w:rPr>
          <w:rFonts w:hint="eastAsia" w:hAnsi="宋体" w:cs="宋体"/>
          <w:color w:val="auto"/>
          <w:kern w:val="16"/>
          <w:sz w:val="24"/>
          <w:lang w:val="en-US" w:eastAsia="zh-CN"/>
        </w:rPr>
        <w:t>6</w:t>
      </w:r>
      <w:r>
        <w:rPr>
          <w:rFonts w:hint="eastAsia" w:hAnsi="宋体" w:cs="宋体"/>
          <w:color w:val="auto"/>
          <w:kern w:val="16"/>
          <w:sz w:val="24"/>
          <w:lang w:eastAsia="zh-CN"/>
        </w:rPr>
        <w:t>）</w:t>
      </w:r>
      <w:r>
        <w:rPr>
          <w:rFonts w:hint="eastAsia" w:ascii="宋体" w:hAnsi="宋体" w:cs="宋体"/>
          <w:color w:val="auto"/>
          <w:kern w:val="16"/>
          <w:sz w:val="24"/>
          <w:lang w:val="en-US" w:eastAsia="zh-CN"/>
        </w:rPr>
        <w:t>预中标</w:t>
      </w:r>
      <w:r>
        <w:rPr>
          <w:rFonts w:hint="eastAsia" w:ascii="宋体" w:hAnsi="宋体" w:cs="宋体"/>
          <w:color w:val="auto"/>
          <w:kern w:val="16"/>
          <w:sz w:val="24"/>
        </w:rPr>
        <w:t>人资格审查</w:t>
      </w:r>
      <w:r>
        <w:rPr>
          <w:rFonts w:hint="eastAsia" w:hAnsi="宋体" w:cs="宋体"/>
          <w:color w:val="auto"/>
          <w:kern w:val="16"/>
          <w:sz w:val="24"/>
          <w:lang w:val="en-US" w:eastAsia="zh-CN"/>
        </w:rPr>
        <w:t>不通过的作无效标处理并通知所有入围响应人；由招标人代表重新抽取，直至审查通过为止；</w:t>
      </w:r>
    </w:p>
    <w:p w14:paraId="07A3B963">
      <w:pPr>
        <w:spacing w:line="360" w:lineRule="auto"/>
        <w:ind w:firstLine="480" w:firstLineChars="200"/>
        <w:rPr>
          <w:rFonts w:ascii="宋体" w:hAnsi="宋体" w:cs="宋体"/>
          <w:color w:val="auto"/>
          <w:kern w:val="16"/>
          <w:sz w:val="24"/>
        </w:rPr>
      </w:pPr>
      <w:r>
        <w:rPr>
          <w:rFonts w:hint="eastAsia" w:ascii="宋体" w:hAnsi="宋体" w:cs="宋体"/>
          <w:color w:val="auto"/>
          <w:kern w:val="16"/>
          <w:sz w:val="24"/>
        </w:rPr>
        <w:t>（</w:t>
      </w:r>
      <w:r>
        <w:rPr>
          <w:rFonts w:hint="eastAsia" w:ascii="宋体" w:hAnsi="宋体" w:cs="宋体"/>
          <w:color w:val="auto"/>
          <w:kern w:val="16"/>
          <w:sz w:val="24"/>
          <w:lang w:val="en-US" w:eastAsia="zh-CN"/>
        </w:rPr>
        <w:t>7</w:t>
      </w:r>
      <w:r>
        <w:rPr>
          <w:rFonts w:hint="eastAsia" w:ascii="宋体" w:hAnsi="宋体" w:cs="宋体"/>
          <w:color w:val="auto"/>
          <w:kern w:val="16"/>
          <w:sz w:val="24"/>
        </w:rPr>
        <w:t>）招标人代表、监督人员、预中标人等有关工作人员在开标记录上签字确认；</w:t>
      </w:r>
    </w:p>
    <w:p w14:paraId="2E0DF6A3">
      <w:pPr>
        <w:spacing w:line="360" w:lineRule="auto"/>
        <w:ind w:firstLine="480" w:firstLineChars="200"/>
        <w:rPr>
          <w:rFonts w:ascii="宋体" w:hAnsi="宋体" w:cs="宋体"/>
          <w:color w:val="auto"/>
          <w:kern w:val="16"/>
          <w:sz w:val="24"/>
        </w:rPr>
      </w:pPr>
      <w:r>
        <w:rPr>
          <w:rFonts w:hint="eastAsia" w:ascii="宋体" w:hAnsi="宋体" w:cs="宋体"/>
          <w:color w:val="auto"/>
          <w:kern w:val="16"/>
          <w:sz w:val="24"/>
        </w:rPr>
        <w:t>（</w:t>
      </w:r>
      <w:r>
        <w:rPr>
          <w:rFonts w:hint="eastAsia" w:ascii="宋体" w:hAnsi="宋体" w:cs="宋体"/>
          <w:color w:val="auto"/>
          <w:kern w:val="16"/>
          <w:sz w:val="24"/>
          <w:lang w:val="en-US" w:eastAsia="zh-CN"/>
        </w:rPr>
        <w:t>8</w:t>
      </w:r>
      <w:r>
        <w:rPr>
          <w:rFonts w:hint="eastAsia" w:ascii="宋体" w:hAnsi="宋体" w:cs="宋体"/>
          <w:color w:val="auto"/>
          <w:kern w:val="16"/>
          <w:sz w:val="24"/>
        </w:rPr>
        <w:t>）开标结束。</w:t>
      </w:r>
    </w:p>
    <w:p w14:paraId="63530363">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 (三) 开  标</w:t>
      </w:r>
    </w:p>
    <w:p w14:paraId="7359831C">
      <w:pPr>
        <w:spacing w:line="360" w:lineRule="auto"/>
        <w:ind w:firstLine="480" w:firstLineChars="200"/>
        <w:rPr>
          <w:rFonts w:ascii="宋体" w:hAnsi="宋体" w:cs="宋体"/>
          <w:color w:val="auto"/>
          <w:sz w:val="24"/>
        </w:rPr>
      </w:pPr>
      <w:r>
        <w:rPr>
          <w:rFonts w:hint="eastAsia" w:ascii="宋体" w:hAnsi="宋体" w:cs="宋体"/>
          <w:color w:val="auto"/>
          <w:sz w:val="24"/>
        </w:rPr>
        <w:t>入围响应人法定代表人或委托代理人必须随带身份证原件和授权委托书原件按招标日程安排表规定的时间和地点参加开标会议，否则视为自动弃权。</w:t>
      </w:r>
    </w:p>
    <w:p w14:paraId="54B3B881">
      <w:pPr>
        <w:spacing w:line="360" w:lineRule="auto"/>
        <w:ind w:firstLine="482" w:firstLineChars="200"/>
        <w:rPr>
          <w:rFonts w:ascii="宋体" w:hAnsi="宋体" w:cs="宋体"/>
          <w:b/>
          <w:bCs/>
          <w:color w:val="auto"/>
          <w:sz w:val="24"/>
        </w:rPr>
      </w:pPr>
      <w:r>
        <w:rPr>
          <w:rFonts w:hint="eastAsia" w:ascii="宋体" w:hAnsi="宋体" w:cs="宋体"/>
          <w:b/>
          <w:bCs/>
          <w:color w:val="auto"/>
          <w:sz w:val="24"/>
        </w:rPr>
        <w:t>(四) 投标函的鉴定和公布</w:t>
      </w:r>
    </w:p>
    <w:p w14:paraId="725C8E89">
      <w:pPr>
        <w:spacing w:line="360" w:lineRule="auto"/>
        <w:ind w:firstLine="480" w:firstLineChars="200"/>
        <w:rPr>
          <w:rFonts w:ascii="宋体" w:hAnsi="宋体" w:cs="宋体"/>
          <w:color w:val="auto"/>
          <w:sz w:val="24"/>
        </w:rPr>
      </w:pPr>
      <w:r>
        <w:rPr>
          <w:rFonts w:hint="eastAsia" w:ascii="宋体" w:hAnsi="宋体" w:cs="宋体"/>
          <w:color w:val="auto"/>
          <w:sz w:val="24"/>
        </w:rPr>
        <w:t>开标会现场当众宣布核查结果，并宣读有效投标的入围响应人名称、及招标人认为适当的其他内容。</w:t>
      </w:r>
    </w:p>
    <w:p w14:paraId="5B9D5A89">
      <w:pPr>
        <w:spacing w:line="360" w:lineRule="auto"/>
        <w:ind w:firstLine="562" w:firstLineChars="200"/>
        <w:rPr>
          <w:rFonts w:ascii="宋体" w:hAnsi="宋体" w:cs="宋体"/>
          <w:color w:val="auto"/>
          <w:sz w:val="24"/>
        </w:rPr>
      </w:pPr>
      <w:r>
        <w:rPr>
          <w:rFonts w:hint="eastAsia" w:ascii="宋体" w:hAnsi="宋体" w:cs="宋体"/>
          <w:b/>
          <w:bCs/>
          <w:color w:val="auto"/>
          <w:sz w:val="28"/>
        </w:rPr>
        <w:t>(</w:t>
      </w:r>
      <w:r>
        <w:rPr>
          <w:rFonts w:hint="eastAsia" w:ascii="宋体" w:hAnsi="宋体" w:cs="宋体"/>
          <w:b/>
          <w:bCs/>
          <w:color w:val="auto"/>
          <w:sz w:val="24"/>
        </w:rPr>
        <w:t>五) 唱标和记录</w:t>
      </w:r>
    </w:p>
    <w:p w14:paraId="5BEC6080">
      <w:pPr>
        <w:spacing w:line="360" w:lineRule="auto"/>
        <w:ind w:firstLine="480" w:firstLineChars="200"/>
        <w:rPr>
          <w:rFonts w:ascii="宋体" w:hAnsi="宋体" w:cs="宋体"/>
          <w:color w:val="auto"/>
          <w:sz w:val="24"/>
        </w:rPr>
      </w:pPr>
      <w:r>
        <w:rPr>
          <w:rFonts w:hint="eastAsia" w:ascii="宋体" w:hAnsi="宋体" w:cs="宋体"/>
          <w:color w:val="auto"/>
          <w:sz w:val="24"/>
        </w:rPr>
        <w:t>唱标内容应做好记录，并由各有关单位人员签字确认。</w:t>
      </w:r>
    </w:p>
    <w:p w14:paraId="38A42F7D">
      <w:pPr>
        <w:spacing w:line="360" w:lineRule="auto"/>
        <w:ind w:firstLine="284"/>
        <w:jc w:val="center"/>
        <w:rPr>
          <w:rFonts w:ascii="宋体" w:hAnsi="宋体" w:cs="宋体"/>
          <w:color w:val="auto"/>
          <w:sz w:val="32"/>
        </w:rPr>
      </w:pPr>
      <w:r>
        <w:rPr>
          <w:rFonts w:hint="eastAsia" w:ascii="宋体" w:hAnsi="宋体" w:cs="宋体"/>
          <w:b/>
          <w:bCs/>
          <w:color w:val="auto"/>
          <w:sz w:val="32"/>
        </w:rPr>
        <w:t>三、评标办法</w:t>
      </w:r>
    </w:p>
    <w:p w14:paraId="25505D43">
      <w:pPr>
        <w:spacing w:line="360" w:lineRule="auto"/>
        <w:ind w:firstLine="482" w:firstLineChars="200"/>
        <w:rPr>
          <w:rFonts w:ascii="宋体" w:hAnsi="宋体" w:cs="宋体"/>
          <w:b/>
          <w:bCs/>
          <w:color w:val="auto"/>
          <w:sz w:val="32"/>
        </w:rPr>
      </w:pPr>
      <w:r>
        <w:rPr>
          <w:rFonts w:hint="eastAsia" w:ascii="宋体" w:hAnsi="宋体" w:cs="宋体"/>
          <w:b/>
          <w:bCs/>
          <w:color w:val="auto"/>
          <w:sz w:val="24"/>
        </w:rPr>
        <w:t>本项目评标方法采用：随机抽签入围。</w:t>
      </w:r>
    </w:p>
    <w:p w14:paraId="47A56CCA">
      <w:pPr>
        <w:spacing w:line="360" w:lineRule="auto"/>
        <w:ind w:firstLine="284"/>
        <w:jc w:val="center"/>
        <w:rPr>
          <w:rFonts w:ascii="宋体" w:hAnsi="宋体" w:cs="宋体"/>
          <w:b/>
          <w:bCs/>
          <w:color w:val="auto"/>
          <w:sz w:val="32"/>
        </w:rPr>
      </w:pPr>
      <w:r>
        <w:rPr>
          <w:rFonts w:hint="eastAsia" w:ascii="宋体" w:hAnsi="宋体" w:cs="宋体"/>
          <w:b/>
          <w:bCs/>
          <w:color w:val="auto"/>
          <w:sz w:val="32"/>
        </w:rPr>
        <w:t>四、定标方式</w:t>
      </w:r>
    </w:p>
    <w:p w14:paraId="2121EA14">
      <w:pPr>
        <w:spacing w:line="360" w:lineRule="auto"/>
        <w:ind w:firstLine="480" w:firstLineChars="200"/>
        <w:rPr>
          <w:rFonts w:ascii="宋体" w:hAnsi="宋体" w:cs="宋体"/>
          <w:color w:val="auto"/>
          <w:sz w:val="24"/>
        </w:rPr>
      </w:pPr>
      <w:r>
        <w:rPr>
          <w:rFonts w:hint="eastAsia" w:ascii="宋体" w:hAnsi="宋体" w:cs="宋体"/>
          <w:color w:val="auto"/>
          <w:sz w:val="24"/>
        </w:rPr>
        <w:t>1</w:t>
      </w:r>
      <w:bookmarkStart w:id="33" w:name="_Toc1918"/>
      <w:bookmarkStart w:id="34" w:name="_Toc383163414"/>
      <w:bookmarkStart w:id="35" w:name="_Toc383165624"/>
      <w:r>
        <w:rPr>
          <w:rFonts w:hint="eastAsia" w:ascii="宋体" w:hAnsi="宋体" w:cs="宋体"/>
          <w:color w:val="auto"/>
          <w:sz w:val="24"/>
        </w:rPr>
        <w:t>.评标委员会按照入围文件要求对</w:t>
      </w:r>
      <w:r>
        <w:rPr>
          <w:rFonts w:hint="eastAsia" w:ascii="宋体" w:hAnsi="宋体" w:cs="宋体"/>
          <w:color w:val="auto"/>
          <w:sz w:val="24"/>
          <w:lang w:val="en-US" w:eastAsia="zh-CN"/>
        </w:rPr>
        <w:t>随机抽中的</w:t>
      </w:r>
      <w:r>
        <w:rPr>
          <w:rFonts w:hint="eastAsia" w:ascii="宋体" w:hAnsi="宋体" w:cs="宋体"/>
          <w:color w:val="auto"/>
          <w:sz w:val="24"/>
        </w:rPr>
        <w:t>入围响应人的投标文件和入围响应人资格进行审查，</w:t>
      </w:r>
      <w:bookmarkEnd w:id="33"/>
      <w:bookmarkEnd w:id="34"/>
      <w:bookmarkEnd w:id="35"/>
      <w:r>
        <w:rPr>
          <w:rFonts w:hint="eastAsia" w:ascii="宋体" w:hAnsi="宋体" w:cs="宋体"/>
          <w:color w:val="auto"/>
          <w:kern w:val="16"/>
          <w:sz w:val="24"/>
          <w:lang w:val="en-US" w:eastAsia="zh-CN"/>
        </w:rPr>
        <w:t>审查通过的前2</w:t>
      </w:r>
      <w:r>
        <w:rPr>
          <w:rFonts w:hint="eastAsia" w:ascii="宋体" w:hAnsi="宋体" w:cs="宋体"/>
          <w:color w:val="auto"/>
          <w:kern w:val="16"/>
          <w:sz w:val="24"/>
        </w:rPr>
        <w:t>家作为预中标单位</w:t>
      </w:r>
      <w:r>
        <w:rPr>
          <w:rFonts w:hint="eastAsia" w:ascii="宋体" w:hAnsi="宋体" w:cs="宋体"/>
          <w:color w:val="auto"/>
          <w:sz w:val="24"/>
        </w:rPr>
        <w:t>。</w:t>
      </w:r>
    </w:p>
    <w:p w14:paraId="6FC0E1EE">
      <w:pPr>
        <w:spacing w:line="360" w:lineRule="auto"/>
        <w:ind w:firstLine="284"/>
        <w:jc w:val="center"/>
        <w:rPr>
          <w:rFonts w:hint="eastAsia" w:ascii="宋体" w:hAnsi="宋体" w:cs="宋体"/>
          <w:color w:val="auto"/>
          <w:sz w:val="24"/>
        </w:rPr>
      </w:pPr>
      <w:r>
        <w:rPr>
          <w:rFonts w:hint="eastAsia" w:ascii="宋体" w:hAnsi="宋体" w:cs="宋体"/>
          <w:color w:val="auto"/>
          <w:sz w:val="24"/>
        </w:rPr>
        <w:t>2、（预）中标人确定后，招标人应当在诸暨市公共资源交易中心网站上予以公示，接受社会监督，公示期限为三个工作日，公示期满后，无异议的准予核发《中标通知书》。</w:t>
      </w:r>
    </w:p>
    <w:p w14:paraId="1F10FE0A">
      <w:pPr>
        <w:spacing w:line="360" w:lineRule="auto"/>
        <w:ind w:firstLine="284"/>
        <w:jc w:val="left"/>
        <w:rPr>
          <w:rFonts w:hint="eastAsia" w:ascii="宋体" w:hAnsi="宋体" w:cs="宋体"/>
          <w:color w:val="auto"/>
          <w:sz w:val="24"/>
        </w:rPr>
      </w:pPr>
      <w:r>
        <w:rPr>
          <w:rFonts w:hint="eastAsia" w:ascii="宋体" w:hAnsi="宋体" w:cs="宋体"/>
          <w:color w:val="auto"/>
          <w:sz w:val="24"/>
        </w:rPr>
        <w:t>3、若预中标人放弃中标资格，招标人将不再重新组织招标。放弃资格预中标人二年内不准参加</w:t>
      </w:r>
      <w:r>
        <w:rPr>
          <w:rFonts w:hint="eastAsia" w:ascii="宋体" w:hAnsi="宋体" w:cs="宋体"/>
          <w:color w:val="auto"/>
          <w:sz w:val="24"/>
          <w:lang w:eastAsia="zh-CN"/>
        </w:rPr>
        <w:t>诸暨市人民政府浣东街道办事处</w:t>
      </w:r>
      <w:r>
        <w:rPr>
          <w:rFonts w:hint="eastAsia" w:ascii="宋体" w:hAnsi="宋体" w:cs="宋体"/>
          <w:color w:val="auto"/>
          <w:sz w:val="24"/>
        </w:rPr>
        <w:t>各类年度投标，并列入</w:t>
      </w:r>
      <w:r>
        <w:rPr>
          <w:rFonts w:hint="eastAsia" w:ascii="宋体" w:hAnsi="宋体" w:cs="宋体"/>
          <w:color w:val="auto"/>
          <w:sz w:val="24"/>
          <w:lang w:eastAsia="zh-CN"/>
        </w:rPr>
        <w:t>本街道</w:t>
      </w:r>
      <w:r>
        <w:rPr>
          <w:rFonts w:hint="eastAsia" w:ascii="宋体" w:hAnsi="宋体" w:cs="宋体"/>
          <w:color w:val="auto"/>
          <w:sz w:val="24"/>
        </w:rPr>
        <w:t>黑名单，同时上报市公共资源交易监管办，市公共资源交易监管办将按《中华人民共和国招标投标法》和《诸暨市招投标市场不良行为记录暂行规定》等有关法律、法规、制度予以处理。</w:t>
      </w:r>
    </w:p>
    <w:p w14:paraId="6EBFAD39">
      <w:pPr>
        <w:spacing w:before="156" w:beforeLines="50" w:after="156" w:afterLines="50" w:line="420" w:lineRule="exact"/>
        <w:ind w:firstLine="284"/>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lang w:val="en-US" w:eastAsia="zh-CN"/>
        </w:rPr>
        <w:t>五</w:t>
      </w:r>
      <w:r>
        <w:rPr>
          <w:rFonts w:hint="eastAsia" w:ascii="宋体" w:hAnsi="宋体" w:eastAsia="宋体" w:cs="宋体"/>
          <w:b/>
          <w:bCs/>
          <w:color w:val="auto"/>
          <w:sz w:val="32"/>
          <w:highlight w:val="none"/>
        </w:rPr>
        <w:t>、授予合同</w:t>
      </w:r>
    </w:p>
    <w:p w14:paraId="7A988004">
      <w:pPr>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中标通知书</w:t>
      </w:r>
    </w:p>
    <w:p w14:paraId="51FA3CA1">
      <w:pPr>
        <w:pStyle w:val="17"/>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招标人</w:t>
      </w:r>
      <w:r>
        <w:rPr>
          <w:rFonts w:hint="eastAsia" w:ascii="宋体" w:hAnsi="宋体" w:eastAsia="宋体" w:cs="宋体"/>
          <w:color w:val="auto"/>
          <w:highlight w:val="none"/>
          <w:lang w:eastAsia="zh-CN"/>
        </w:rPr>
        <w:t>将</w:t>
      </w:r>
      <w:r>
        <w:rPr>
          <w:rFonts w:hint="eastAsia" w:ascii="宋体" w:hAnsi="宋体" w:eastAsia="宋体" w:cs="宋体"/>
          <w:color w:val="auto"/>
          <w:highlight w:val="none"/>
        </w:rPr>
        <w:t>《中标通知书》通知中标人，《中标通知书》将成为合同的主要附件。</w:t>
      </w:r>
    </w:p>
    <w:p w14:paraId="0EAE0B7D">
      <w:pPr>
        <w:pStyle w:val="17"/>
        <w:spacing w:line="42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 授标及废除授标</w:t>
      </w:r>
    </w:p>
    <w:p w14:paraId="4AA0EACC">
      <w:pPr>
        <w:pStyle w:val="17"/>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招标人应把代理合同授予中标人。《中标通知书》发出之后，招标人若证实中标人存在下列行为之一，仍然可以废除授标：</w:t>
      </w:r>
    </w:p>
    <w:p w14:paraId="1337FC5E">
      <w:pPr>
        <w:pStyle w:val="17"/>
        <w:numPr>
          <w:ilvl w:val="0"/>
          <w:numId w:val="1"/>
        </w:numPr>
        <w:tabs>
          <w:tab w:val="clear" w:pos="900"/>
          <w:tab w:val="clear" w:pos="1800"/>
        </w:tabs>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弄虚作假或与其他</w:t>
      </w:r>
      <w:r>
        <w:rPr>
          <w:rFonts w:hint="eastAsia" w:ascii="宋体" w:hAnsi="宋体" w:eastAsia="宋体" w:cs="宋体"/>
          <w:color w:val="auto"/>
          <w:highlight w:val="none"/>
          <w:lang w:eastAsia="zh-CN"/>
        </w:rPr>
        <w:t>入围响应人</w:t>
      </w:r>
      <w:r>
        <w:rPr>
          <w:rFonts w:hint="eastAsia" w:ascii="宋体" w:hAnsi="宋体" w:eastAsia="宋体" w:cs="宋体"/>
          <w:color w:val="auto"/>
          <w:highlight w:val="none"/>
        </w:rPr>
        <w:t>串通骗取中标的；</w:t>
      </w:r>
    </w:p>
    <w:p w14:paraId="685BEA38">
      <w:pPr>
        <w:pStyle w:val="17"/>
        <w:numPr>
          <w:ilvl w:val="0"/>
          <w:numId w:val="1"/>
        </w:numPr>
        <w:tabs>
          <w:tab w:val="clear" w:pos="900"/>
          <w:tab w:val="clear" w:pos="1800"/>
        </w:tabs>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于投标有效期终止之前撤回</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的；</w:t>
      </w:r>
    </w:p>
    <w:p w14:paraId="5C9694B9">
      <w:pPr>
        <w:pStyle w:val="17"/>
        <w:numPr>
          <w:ilvl w:val="0"/>
          <w:numId w:val="1"/>
        </w:numPr>
        <w:tabs>
          <w:tab w:val="clear" w:pos="900"/>
          <w:tab w:val="clear" w:pos="1800"/>
        </w:tabs>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因中标人过错而未能按照规定与招标人签订合同的；</w:t>
      </w:r>
    </w:p>
    <w:p w14:paraId="63F40188">
      <w:pPr>
        <w:pStyle w:val="17"/>
        <w:numPr>
          <w:ilvl w:val="0"/>
          <w:numId w:val="1"/>
        </w:numPr>
        <w:tabs>
          <w:tab w:val="clear" w:pos="900"/>
          <w:tab w:val="clear" w:pos="1800"/>
        </w:tabs>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存在法律、法规规定的其它损害招标人利益和社会公共利益的情形的。</w:t>
      </w:r>
    </w:p>
    <w:p w14:paraId="6A252337">
      <w:pPr>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 签订合同</w:t>
      </w:r>
    </w:p>
    <w:p w14:paraId="76DFDE50">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中标人应当自收到《中标通知书》之日起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日内和招标人根据《中华人民共和国</w:t>
      </w:r>
      <w:r>
        <w:rPr>
          <w:rFonts w:hint="eastAsia" w:ascii="宋体" w:hAnsi="宋体" w:cs="宋体"/>
          <w:color w:val="auto"/>
          <w:sz w:val="24"/>
          <w:highlight w:val="none"/>
          <w:lang w:val="en-US" w:eastAsia="zh-CN"/>
        </w:rPr>
        <w:t>民法典</w:t>
      </w:r>
      <w:r>
        <w:rPr>
          <w:rFonts w:hint="eastAsia" w:ascii="宋体" w:hAnsi="宋体" w:eastAsia="宋体" w:cs="宋体"/>
          <w:color w:val="auto"/>
          <w:sz w:val="24"/>
          <w:highlight w:val="none"/>
        </w:rPr>
        <w:t>》等有关规定，依据</w:t>
      </w:r>
      <w:r>
        <w:rPr>
          <w:rFonts w:hint="eastAsia" w:ascii="宋体" w:hAnsi="宋体" w:eastAsia="宋体" w:cs="宋体"/>
          <w:color w:val="auto"/>
          <w:sz w:val="24"/>
          <w:highlight w:val="none"/>
          <w:lang w:val="en-US" w:eastAsia="zh-CN"/>
        </w:rPr>
        <w:t>入围</w:t>
      </w: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签订委托合同。招标人和中标人不得再另外订立背离合同实质性内容的其它协议。</w:t>
      </w:r>
    </w:p>
    <w:p w14:paraId="4ACB802E">
      <w:pPr>
        <w:pStyle w:val="2"/>
        <w:numPr>
          <w:ilvl w:val="0"/>
          <w:numId w:val="2"/>
        </w:numPr>
        <w:rPr>
          <w:rFonts w:hint="eastAsia" w:hAnsi="宋体" w:eastAsia="宋体" w:cs="宋体"/>
          <w:b/>
          <w:bCs/>
          <w:color w:val="auto"/>
          <w:sz w:val="24"/>
          <w:highlight w:val="none"/>
          <w:lang w:eastAsia="zh-CN"/>
        </w:rPr>
      </w:pPr>
      <w:r>
        <w:rPr>
          <w:rFonts w:hint="eastAsia" w:hAnsi="宋体" w:eastAsia="宋体" w:cs="宋体"/>
          <w:b/>
          <w:bCs/>
          <w:color w:val="auto"/>
          <w:sz w:val="24"/>
          <w:highlight w:val="none"/>
          <w:lang w:eastAsia="zh-CN"/>
        </w:rPr>
        <w:t>考核管理办法：</w:t>
      </w:r>
    </w:p>
    <w:p w14:paraId="63201D63">
      <w:pPr>
        <w:pStyle w:val="4"/>
        <w:numPr>
          <w:ilvl w:val="0"/>
          <w:numId w:val="0"/>
        </w:numPr>
        <w:ind w:firstLine="480" w:firstLineChars="200"/>
        <w:rPr>
          <w:rFonts w:hint="eastAsia"/>
          <w:color w:val="auto"/>
          <w:sz w:val="24"/>
          <w:szCs w:val="24"/>
          <w:lang w:val="en-US" w:eastAsia="zh-CN"/>
        </w:rPr>
      </w:pPr>
      <w:r>
        <w:rPr>
          <w:rFonts w:hint="eastAsia"/>
          <w:color w:val="auto"/>
          <w:sz w:val="24"/>
          <w:szCs w:val="24"/>
          <w:lang w:val="en-US" w:eastAsia="zh-CN"/>
        </w:rPr>
        <w:t>1、以每个单项招标为考核单位，主要围绕采购代理服务单位“工作配合度、服务质量、服务进度、合法合规性、后续服务”等方面进行，并按服务质量进行扣分。</w:t>
      </w:r>
    </w:p>
    <w:p w14:paraId="7F8BD36A">
      <w:pPr>
        <w:ind w:firstLine="480" w:firstLineChars="200"/>
        <w:rPr>
          <w:rFonts w:hint="eastAsia"/>
          <w:color w:val="auto"/>
          <w:sz w:val="24"/>
          <w:szCs w:val="24"/>
          <w:lang w:val="en-US" w:eastAsia="zh-CN"/>
        </w:rPr>
      </w:pPr>
      <w:r>
        <w:rPr>
          <w:rFonts w:hint="eastAsia"/>
          <w:color w:val="auto"/>
          <w:sz w:val="24"/>
          <w:szCs w:val="24"/>
          <w:lang w:val="en-US" w:eastAsia="zh-CN"/>
        </w:rPr>
        <w:t>2、处罚办法：</w:t>
      </w:r>
    </w:p>
    <w:p w14:paraId="20ACE771">
      <w:pPr>
        <w:ind w:firstLine="480" w:firstLineChars="200"/>
        <w:rPr>
          <w:rFonts w:hint="eastAsia"/>
          <w:color w:val="auto"/>
          <w:sz w:val="24"/>
          <w:szCs w:val="24"/>
          <w:lang w:val="en-US" w:eastAsia="zh-CN"/>
        </w:rPr>
      </w:pPr>
      <w:r>
        <w:rPr>
          <w:rFonts w:hint="eastAsia"/>
          <w:color w:val="auto"/>
          <w:sz w:val="24"/>
          <w:szCs w:val="24"/>
          <w:lang w:val="en-US" w:eastAsia="zh-CN"/>
        </w:rPr>
        <w:t>（1）累计扣分10分（含）——20分（不含），由本街道下发通报，暂停其分派任务三个月；视情节严重程度保留抄告相关行政主管部门的权利。</w:t>
      </w:r>
    </w:p>
    <w:p w14:paraId="4861D0EC">
      <w:pPr>
        <w:ind w:firstLine="480" w:firstLineChars="200"/>
        <w:rPr>
          <w:rFonts w:hint="eastAsia"/>
          <w:color w:val="auto"/>
          <w:sz w:val="24"/>
          <w:szCs w:val="24"/>
          <w:lang w:val="en-US" w:eastAsia="zh-CN"/>
        </w:rPr>
      </w:pPr>
      <w:r>
        <w:rPr>
          <w:rFonts w:hint="eastAsia"/>
          <w:color w:val="auto"/>
          <w:sz w:val="24"/>
          <w:szCs w:val="24"/>
          <w:lang w:val="en-US" w:eastAsia="zh-CN"/>
        </w:rPr>
        <w:t>（2）累计扣分20分（含）——30分（不含），由本街道下发通报，暂停其分派任务半年；视情节严重程度保留抄告相关行政主管部门的权利。</w:t>
      </w:r>
    </w:p>
    <w:p w14:paraId="16D33B3F">
      <w:pPr>
        <w:ind w:firstLine="480" w:firstLineChars="200"/>
        <w:rPr>
          <w:rFonts w:hint="eastAsia"/>
          <w:color w:val="auto"/>
          <w:lang w:val="en-US" w:eastAsia="zh-CN"/>
        </w:rPr>
      </w:pPr>
      <w:r>
        <w:rPr>
          <w:rFonts w:hint="eastAsia"/>
          <w:color w:val="auto"/>
          <w:sz w:val="24"/>
          <w:szCs w:val="24"/>
          <w:lang w:val="en-US" w:eastAsia="zh-CN"/>
        </w:rPr>
        <w:t>（3）累计扣分30分（含）——40分（不含），由本街道下发通报，暂停其分派任务九个月；视情节严重程度保留抄告相关行政主管部门的权利。</w:t>
      </w:r>
    </w:p>
    <w:p w14:paraId="224DEA15">
      <w:pPr>
        <w:ind w:firstLine="420" w:firstLineChars="200"/>
        <w:rPr>
          <w:rFonts w:hint="eastAsia"/>
          <w:color w:val="auto"/>
          <w:sz w:val="24"/>
          <w:szCs w:val="24"/>
          <w:lang w:val="en-US" w:eastAsia="zh-CN"/>
        </w:rPr>
      </w:pPr>
      <w:r>
        <w:rPr>
          <w:rFonts w:hint="eastAsia"/>
          <w:color w:val="auto"/>
          <w:lang w:val="en-US" w:eastAsia="zh-CN"/>
        </w:rPr>
        <w:t xml:space="preserve"> （4）</w:t>
      </w:r>
      <w:r>
        <w:rPr>
          <w:rFonts w:hint="eastAsia"/>
          <w:color w:val="auto"/>
          <w:sz w:val="24"/>
          <w:szCs w:val="24"/>
          <w:lang w:val="en-US" w:eastAsia="zh-CN"/>
        </w:rPr>
        <w:t>累计扣分40分（含）以上，由本街道下发通报，终止与其的年度服务合同；并列入本街道的《第三方服务单位不良信用记录档案》，抄告相关行政主管部门的权利。</w:t>
      </w:r>
    </w:p>
    <w:p w14:paraId="4C0CF368">
      <w:pPr>
        <w:ind w:firstLine="420" w:firstLineChars="200"/>
        <w:rPr>
          <w:rFonts w:hint="eastAsia"/>
          <w:color w:val="auto"/>
          <w:sz w:val="24"/>
          <w:szCs w:val="24"/>
          <w:lang w:val="en-US" w:eastAsia="zh-CN"/>
        </w:rPr>
      </w:pPr>
      <w:r>
        <w:rPr>
          <w:rFonts w:hint="eastAsia"/>
          <w:color w:val="auto"/>
          <w:lang w:val="en-US" w:eastAsia="zh-CN"/>
        </w:rPr>
        <w:t>（5）</w:t>
      </w:r>
      <w:r>
        <w:rPr>
          <w:rFonts w:hint="eastAsia"/>
          <w:color w:val="auto"/>
          <w:sz w:val="24"/>
          <w:szCs w:val="24"/>
          <w:lang w:val="en-US" w:eastAsia="zh-CN"/>
        </w:rPr>
        <w:t>列入本街道的《第三方服务单位不良信用记录档案》的企业，将取消其1—5年内参加本街道的招投标资格及一切业务往来；给采购单位、供应商造成损失的，应对承担赔偿责任，构成犯罪的，移交司法机关依法追究其刑事责任。</w:t>
      </w:r>
    </w:p>
    <w:p w14:paraId="46284896">
      <w:pPr>
        <w:pStyle w:val="4"/>
        <w:ind w:left="0" w:leftChars="0" w:firstLine="0" w:firstLineChars="0"/>
        <w:jc w:val="center"/>
        <w:rPr>
          <w:rFonts w:hint="eastAsia"/>
          <w:color w:val="auto"/>
          <w:sz w:val="24"/>
          <w:szCs w:val="24"/>
          <w:lang w:val="en-US" w:eastAsia="zh-CN"/>
        </w:rPr>
      </w:pPr>
      <w:r>
        <w:rPr>
          <w:rFonts w:hint="eastAsia"/>
          <w:color w:val="auto"/>
          <w:sz w:val="24"/>
          <w:szCs w:val="24"/>
          <w:lang w:val="en-US" w:eastAsia="zh-CN"/>
        </w:rPr>
        <w:t>第三方服务单位考核扣分表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900"/>
        <w:gridCol w:w="1037"/>
      </w:tblGrid>
      <w:tr w14:paraId="0826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4E055E2">
            <w:pPr>
              <w:rPr>
                <w:rFonts w:hint="default"/>
                <w:color w:val="auto"/>
                <w:vertAlign w:val="baseline"/>
                <w:lang w:val="en-US" w:eastAsia="zh-CN"/>
              </w:rPr>
            </w:pPr>
            <w:r>
              <w:rPr>
                <w:rFonts w:hint="eastAsia"/>
                <w:color w:val="auto"/>
                <w:vertAlign w:val="baseline"/>
                <w:lang w:val="en-US" w:eastAsia="zh-CN"/>
              </w:rPr>
              <w:t>序号</w:t>
            </w:r>
          </w:p>
        </w:tc>
        <w:tc>
          <w:tcPr>
            <w:tcW w:w="7900" w:type="dxa"/>
          </w:tcPr>
          <w:p w14:paraId="1BD01AF1">
            <w:pPr>
              <w:rPr>
                <w:rFonts w:hint="default"/>
                <w:color w:val="auto"/>
                <w:vertAlign w:val="baseline"/>
                <w:lang w:val="en-US" w:eastAsia="zh-CN"/>
              </w:rPr>
            </w:pPr>
            <w:r>
              <w:rPr>
                <w:rFonts w:hint="eastAsia"/>
                <w:color w:val="auto"/>
                <w:vertAlign w:val="baseline"/>
                <w:lang w:val="en-US" w:eastAsia="zh-CN"/>
              </w:rPr>
              <w:t>事项</w:t>
            </w:r>
          </w:p>
        </w:tc>
        <w:tc>
          <w:tcPr>
            <w:tcW w:w="1037" w:type="dxa"/>
          </w:tcPr>
          <w:p w14:paraId="018E0A9C">
            <w:pPr>
              <w:rPr>
                <w:rFonts w:hint="default"/>
                <w:color w:val="auto"/>
                <w:vertAlign w:val="baseline"/>
                <w:lang w:val="en-US" w:eastAsia="zh-CN"/>
              </w:rPr>
            </w:pPr>
            <w:r>
              <w:rPr>
                <w:rFonts w:hint="eastAsia"/>
                <w:color w:val="auto"/>
                <w:vertAlign w:val="baseline"/>
                <w:lang w:val="en-US" w:eastAsia="zh-CN"/>
              </w:rPr>
              <w:t>扣分值</w:t>
            </w:r>
          </w:p>
        </w:tc>
      </w:tr>
      <w:tr w14:paraId="12AC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60DF07C">
            <w:pPr>
              <w:rPr>
                <w:rFonts w:hint="default"/>
                <w:color w:val="auto"/>
                <w:vertAlign w:val="baseline"/>
                <w:lang w:val="en-US" w:eastAsia="zh-CN"/>
              </w:rPr>
            </w:pPr>
          </w:p>
        </w:tc>
        <w:tc>
          <w:tcPr>
            <w:tcW w:w="7900" w:type="dxa"/>
          </w:tcPr>
          <w:p w14:paraId="2785BA11">
            <w:pPr>
              <w:rPr>
                <w:rFonts w:hint="default"/>
                <w:color w:val="auto"/>
                <w:vertAlign w:val="baseline"/>
                <w:lang w:val="en-US" w:eastAsia="zh-CN"/>
              </w:rPr>
            </w:pPr>
            <w:r>
              <w:rPr>
                <w:rFonts w:hint="eastAsia"/>
                <w:color w:val="auto"/>
                <w:vertAlign w:val="baseline"/>
                <w:lang w:val="en-US" w:eastAsia="zh-CN"/>
              </w:rPr>
              <w:t>服务单位与供应商串通投标、中标的</w:t>
            </w:r>
          </w:p>
        </w:tc>
        <w:tc>
          <w:tcPr>
            <w:tcW w:w="1037" w:type="dxa"/>
          </w:tcPr>
          <w:p w14:paraId="4C3F3D75">
            <w:pPr>
              <w:rPr>
                <w:rFonts w:hint="default"/>
                <w:color w:val="auto"/>
                <w:vertAlign w:val="baseline"/>
                <w:lang w:val="en-US" w:eastAsia="zh-CN"/>
              </w:rPr>
            </w:pPr>
            <w:r>
              <w:rPr>
                <w:rFonts w:hint="eastAsia"/>
                <w:color w:val="auto"/>
                <w:vertAlign w:val="baseline"/>
                <w:lang w:val="en-US" w:eastAsia="zh-CN"/>
              </w:rPr>
              <w:t>40分</w:t>
            </w:r>
          </w:p>
        </w:tc>
      </w:tr>
      <w:tr w14:paraId="6F61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4FE9F75">
            <w:pPr>
              <w:rPr>
                <w:rFonts w:hint="default"/>
                <w:color w:val="auto"/>
                <w:vertAlign w:val="baseline"/>
                <w:lang w:val="en-US" w:eastAsia="zh-CN"/>
              </w:rPr>
            </w:pPr>
          </w:p>
        </w:tc>
        <w:tc>
          <w:tcPr>
            <w:tcW w:w="7900" w:type="dxa"/>
          </w:tcPr>
          <w:p w14:paraId="00BFA0EA">
            <w:pPr>
              <w:rPr>
                <w:rFonts w:hint="default"/>
                <w:color w:val="auto"/>
                <w:vertAlign w:val="baseline"/>
                <w:lang w:val="en-US" w:eastAsia="zh-CN"/>
              </w:rPr>
            </w:pPr>
            <w:r>
              <w:rPr>
                <w:rFonts w:hint="eastAsia"/>
                <w:color w:val="auto"/>
                <w:vertAlign w:val="baseline"/>
                <w:lang w:val="en-US" w:eastAsia="zh-CN"/>
              </w:rPr>
              <w:t>弄虚作假，伪造资料或报告等违法违规行为，损害业主单位利益的</w:t>
            </w:r>
          </w:p>
        </w:tc>
        <w:tc>
          <w:tcPr>
            <w:tcW w:w="1037" w:type="dxa"/>
          </w:tcPr>
          <w:p w14:paraId="5A10966A">
            <w:pPr>
              <w:rPr>
                <w:rFonts w:hint="default"/>
                <w:color w:val="auto"/>
                <w:vertAlign w:val="baseline"/>
                <w:lang w:val="en-US" w:eastAsia="zh-CN"/>
              </w:rPr>
            </w:pPr>
            <w:r>
              <w:rPr>
                <w:rFonts w:hint="eastAsia"/>
                <w:color w:val="auto"/>
                <w:vertAlign w:val="baseline"/>
                <w:lang w:val="en-US" w:eastAsia="zh-CN"/>
              </w:rPr>
              <w:t>40分</w:t>
            </w:r>
          </w:p>
        </w:tc>
      </w:tr>
      <w:tr w14:paraId="70BF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62F27354">
            <w:pPr>
              <w:rPr>
                <w:rFonts w:hint="default"/>
                <w:color w:val="auto"/>
                <w:vertAlign w:val="baseline"/>
                <w:lang w:val="en-US" w:eastAsia="zh-CN"/>
              </w:rPr>
            </w:pPr>
          </w:p>
        </w:tc>
        <w:tc>
          <w:tcPr>
            <w:tcW w:w="7900" w:type="dxa"/>
          </w:tcPr>
          <w:p w14:paraId="0748BA3F">
            <w:pPr>
              <w:rPr>
                <w:rFonts w:hint="default"/>
                <w:color w:val="auto"/>
                <w:vertAlign w:val="baseline"/>
                <w:lang w:val="en-US" w:eastAsia="zh-CN"/>
              </w:rPr>
            </w:pPr>
            <w:r>
              <w:rPr>
                <w:rFonts w:hint="eastAsia"/>
                <w:color w:val="auto"/>
                <w:vertAlign w:val="baseline"/>
                <w:lang w:val="en-US" w:eastAsia="zh-CN"/>
              </w:rPr>
              <w:t>泄露招投标活动中应当保密的有关情况和资料的</w:t>
            </w:r>
          </w:p>
        </w:tc>
        <w:tc>
          <w:tcPr>
            <w:tcW w:w="1037" w:type="dxa"/>
          </w:tcPr>
          <w:p w14:paraId="794C4CCE">
            <w:pPr>
              <w:rPr>
                <w:rFonts w:hint="default"/>
                <w:color w:val="auto"/>
                <w:vertAlign w:val="baseline"/>
                <w:lang w:val="en-US" w:eastAsia="zh-CN"/>
              </w:rPr>
            </w:pPr>
            <w:r>
              <w:rPr>
                <w:rFonts w:hint="eastAsia"/>
                <w:color w:val="auto"/>
                <w:vertAlign w:val="baseline"/>
                <w:lang w:val="en-US" w:eastAsia="zh-CN"/>
              </w:rPr>
              <w:t>40分</w:t>
            </w:r>
          </w:p>
        </w:tc>
      </w:tr>
      <w:tr w14:paraId="6017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0E9DF9A2">
            <w:pPr>
              <w:rPr>
                <w:rFonts w:hint="default"/>
                <w:color w:val="auto"/>
                <w:vertAlign w:val="baseline"/>
                <w:lang w:val="en-US" w:eastAsia="zh-CN"/>
              </w:rPr>
            </w:pPr>
          </w:p>
        </w:tc>
        <w:tc>
          <w:tcPr>
            <w:tcW w:w="7900" w:type="dxa"/>
          </w:tcPr>
          <w:p w14:paraId="078013A4">
            <w:pPr>
              <w:rPr>
                <w:rFonts w:hint="default"/>
                <w:color w:val="auto"/>
                <w:vertAlign w:val="baseline"/>
                <w:lang w:val="en-US" w:eastAsia="zh-CN"/>
              </w:rPr>
            </w:pPr>
            <w:r>
              <w:rPr>
                <w:rFonts w:hint="eastAsia"/>
                <w:color w:val="auto"/>
                <w:vertAlign w:val="baseline"/>
                <w:lang w:val="en-US" w:eastAsia="zh-CN"/>
              </w:rPr>
              <w:t>服务内容违法国家强制性条文的</w:t>
            </w:r>
          </w:p>
        </w:tc>
        <w:tc>
          <w:tcPr>
            <w:tcW w:w="1037" w:type="dxa"/>
          </w:tcPr>
          <w:p w14:paraId="035ED892">
            <w:pPr>
              <w:rPr>
                <w:rFonts w:hint="default"/>
                <w:color w:val="auto"/>
                <w:vertAlign w:val="baseline"/>
                <w:lang w:val="en-US" w:eastAsia="zh-CN"/>
              </w:rPr>
            </w:pPr>
            <w:r>
              <w:rPr>
                <w:rFonts w:hint="eastAsia"/>
                <w:color w:val="auto"/>
                <w:vertAlign w:val="baseline"/>
                <w:lang w:val="en-US" w:eastAsia="zh-CN"/>
              </w:rPr>
              <w:t>40分</w:t>
            </w:r>
          </w:p>
        </w:tc>
      </w:tr>
      <w:tr w14:paraId="337C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BA1799A">
            <w:pPr>
              <w:rPr>
                <w:rFonts w:hint="default"/>
                <w:color w:val="auto"/>
                <w:vertAlign w:val="baseline"/>
                <w:lang w:val="en-US" w:eastAsia="zh-CN"/>
              </w:rPr>
            </w:pPr>
          </w:p>
        </w:tc>
        <w:tc>
          <w:tcPr>
            <w:tcW w:w="7900" w:type="dxa"/>
          </w:tcPr>
          <w:p w14:paraId="2C14D885">
            <w:pPr>
              <w:rPr>
                <w:rFonts w:hint="default"/>
                <w:color w:val="auto"/>
                <w:vertAlign w:val="baseline"/>
                <w:lang w:val="en-US" w:eastAsia="zh-CN"/>
              </w:rPr>
            </w:pPr>
            <w:r>
              <w:rPr>
                <w:rFonts w:hint="eastAsia"/>
                <w:color w:val="auto"/>
                <w:vertAlign w:val="baseline"/>
                <w:lang w:val="en-US" w:eastAsia="zh-CN"/>
              </w:rPr>
              <w:t>发生重大投诉事件，给当事人造成损失或造成不良社会影响的</w:t>
            </w:r>
          </w:p>
        </w:tc>
        <w:tc>
          <w:tcPr>
            <w:tcW w:w="1037" w:type="dxa"/>
          </w:tcPr>
          <w:p w14:paraId="3E9992A2">
            <w:pPr>
              <w:rPr>
                <w:rFonts w:hint="default"/>
                <w:color w:val="auto"/>
                <w:vertAlign w:val="baseline"/>
                <w:lang w:val="en-US" w:eastAsia="zh-CN"/>
              </w:rPr>
            </w:pPr>
            <w:r>
              <w:rPr>
                <w:rFonts w:hint="eastAsia"/>
                <w:color w:val="auto"/>
                <w:vertAlign w:val="baseline"/>
                <w:lang w:val="en-US" w:eastAsia="zh-CN"/>
              </w:rPr>
              <w:t>40分</w:t>
            </w:r>
          </w:p>
        </w:tc>
      </w:tr>
      <w:tr w14:paraId="7B71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5A2DB60">
            <w:pPr>
              <w:rPr>
                <w:rFonts w:hint="default"/>
                <w:color w:val="auto"/>
                <w:vertAlign w:val="baseline"/>
                <w:lang w:val="en-US" w:eastAsia="zh-CN"/>
              </w:rPr>
            </w:pPr>
          </w:p>
        </w:tc>
        <w:tc>
          <w:tcPr>
            <w:tcW w:w="7900" w:type="dxa"/>
          </w:tcPr>
          <w:p w14:paraId="33233F3F">
            <w:pPr>
              <w:rPr>
                <w:rFonts w:hint="default"/>
                <w:color w:val="auto"/>
                <w:vertAlign w:val="baseline"/>
                <w:lang w:val="en-US" w:eastAsia="zh-CN"/>
              </w:rPr>
            </w:pPr>
            <w:r>
              <w:rPr>
                <w:rFonts w:hint="eastAsia"/>
                <w:color w:val="auto"/>
                <w:vertAlign w:val="baseline"/>
                <w:lang w:val="en-US" w:eastAsia="zh-CN"/>
              </w:rPr>
              <w:t>违反“廉政责任书”约定要求的</w:t>
            </w:r>
          </w:p>
        </w:tc>
        <w:tc>
          <w:tcPr>
            <w:tcW w:w="1037" w:type="dxa"/>
          </w:tcPr>
          <w:p w14:paraId="3F17C055">
            <w:pPr>
              <w:rPr>
                <w:rFonts w:hint="default"/>
                <w:color w:val="auto"/>
                <w:vertAlign w:val="baseline"/>
                <w:lang w:val="en-US" w:eastAsia="zh-CN"/>
              </w:rPr>
            </w:pPr>
            <w:r>
              <w:rPr>
                <w:rFonts w:hint="eastAsia"/>
                <w:color w:val="auto"/>
                <w:vertAlign w:val="baseline"/>
                <w:lang w:val="en-US" w:eastAsia="zh-CN"/>
              </w:rPr>
              <w:t>40分</w:t>
            </w:r>
          </w:p>
        </w:tc>
      </w:tr>
      <w:tr w14:paraId="7473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50E79E5">
            <w:pPr>
              <w:rPr>
                <w:rFonts w:hint="default"/>
                <w:color w:val="auto"/>
                <w:vertAlign w:val="baseline"/>
                <w:lang w:val="en-US" w:eastAsia="zh-CN"/>
              </w:rPr>
            </w:pPr>
          </w:p>
        </w:tc>
        <w:tc>
          <w:tcPr>
            <w:tcW w:w="7900" w:type="dxa"/>
          </w:tcPr>
          <w:p w14:paraId="4D659D95">
            <w:pPr>
              <w:rPr>
                <w:rFonts w:hint="default"/>
                <w:color w:val="auto"/>
                <w:vertAlign w:val="baseline"/>
                <w:lang w:val="en-US" w:eastAsia="zh-CN"/>
              </w:rPr>
            </w:pPr>
            <w:r>
              <w:rPr>
                <w:rFonts w:hint="eastAsia"/>
                <w:color w:val="auto"/>
                <w:vertAlign w:val="baseline"/>
                <w:lang w:val="en-US" w:eastAsia="zh-CN"/>
              </w:rPr>
              <w:t>拒绝监督管理部门的监督检查以及不如实反映情况，提供虚假材料的；阻碍或不配合执法部门对投诉事件的调查出来的</w:t>
            </w:r>
          </w:p>
        </w:tc>
        <w:tc>
          <w:tcPr>
            <w:tcW w:w="1037" w:type="dxa"/>
          </w:tcPr>
          <w:p w14:paraId="5F8F7080">
            <w:pPr>
              <w:rPr>
                <w:rFonts w:hint="default"/>
                <w:color w:val="auto"/>
                <w:vertAlign w:val="baseline"/>
                <w:lang w:val="en-US" w:eastAsia="zh-CN"/>
              </w:rPr>
            </w:pPr>
            <w:r>
              <w:rPr>
                <w:rFonts w:hint="eastAsia"/>
                <w:color w:val="auto"/>
                <w:vertAlign w:val="baseline"/>
                <w:lang w:val="en-US" w:eastAsia="zh-CN"/>
              </w:rPr>
              <w:t>40分</w:t>
            </w:r>
          </w:p>
        </w:tc>
      </w:tr>
      <w:tr w14:paraId="64E7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0893940">
            <w:pPr>
              <w:rPr>
                <w:rFonts w:hint="default"/>
                <w:color w:val="auto"/>
                <w:vertAlign w:val="baseline"/>
                <w:lang w:val="en-US" w:eastAsia="zh-CN"/>
              </w:rPr>
            </w:pPr>
          </w:p>
        </w:tc>
        <w:tc>
          <w:tcPr>
            <w:tcW w:w="7900" w:type="dxa"/>
          </w:tcPr>
          <w:p w14:paraId="0C7669A4">
            <w:pPr>
              <w:rPr>
                <w:rFonts w:hint="default"/>
                <w:color w:val="auto"/>
                <w:vertAlign w:val="baseline"/>
                <w:lang w:val="en-US" w:eastAsia="zh-CN"/>
              </w:rPr>
            </w:pPr>
            <w:r>
              <w:rPr>
                <w:rFonts w:hint="eastAsia"/>
                <w:color w:val="auto"/>
                <w:vertAlign w:val="baseline"/>
                <w:lang w:val="en-US" w:eastAsia="zh-CN"/>
              </w:rPr>
              <w:t>未经委托方同意，擅自将承接的业务转让给他人的</w:t>
            </w:r>
          </w:p>
        </w:tc>
        <w:tc>
          <w:tcPr>
            <w:tcW w:w="1037" w:type="dxa"/>
          </w:tcPr>
          <w:p w14:paraId="30201EB4">
            <w:pPr>
              <w:rPr>
                <w:rFonts w:hint="default"/>
                <w:color w:val="auto"/>
                <w:vertAlign w:val="baseline"/>
                <w:lang w:val="en-US" w:eastAsia="zh-CN"/>
              </w:rPr>
            </w:pPr>
            <w:r>
              <w:rPr>
                <w:rFonts w:hint="eastAsia"/>
                <w:color w:val="auto"/>
                <w:vertAlign w:val="baseline"/>
                <w:lang w:val="en-US" w:eastAsia="zh-CN"/>
              </w:rPr>
              <w:t>40分</w:t>
            </w:r>
          </w:p>
        </w:tc>
      </w:tr>
      <w:tr w14:paraId="2167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67ECDE8F">
            <w:pPr>
              <w:rPr>
                <w:rFonts w:hint="default"/>
                <w:color w:val="auto"/>
                <w:vertAlign w:val="baseline"/>
                <w:lang w:val="en-US" w:eastAsia="zh-CN"/>
              </w:rPr>
            </w:pPr>
          </w:p>
        </w:tc>
        <w:tc>
          <w:tcPr>
            <w:tcW w:w="7900" w:type="dxa"/>
          </w:tcPr>
          <w:p w14:paraId="7BB15755">
            <w:pPr>
              <w:rPr>
                <w:rFonts w:hint="default"/>
                <w:color w:val="auto"/>
                <w:vertAlign w:val="baseline"/>
                <w:lang w:val="en-US" w:eastAsia="zh-CN"/>
              </w:rPr>
            </w:pPr>
            <w:r>
              <w:rPr>
                <w:rFonts w:hint="eastAsia"/>
                <w:color w:val="auto"/>
                <w:vertAlign w:val="baseline"/>
                <w:lang w:val="en-US" w:eastAsia="zh-CN"/>
              </w:rPr>
              <w:t>违反有关法律法规，被司法机关或行政管理部门处以没收违法所得、没收非法财物。责令停产停业，暂扣或吊销许可证，暂扣或吊销执照，行政拘留等行政处罚的</w:t>
            </w:r>
          </w:p>
        </w:tc>
        <w:tc>
          <w:tcPr>
            <w:tcW w:w="1037" w:type="dxa"/>
          </w:tcPr>
          <w:p w14:paraId="2E5E3850">
            <w:pPr>
              <w:rPr>
                <w:rFonts w:hint="default"/>
                <w:color w:val="auto"/>
                <w:vertAlign w:val="baseline"/>
                <w:lang w:val="en-US" w:eastAsia="zh-CN"/>
              </w:rPr>
            </w:pPr>
            <w:r>
              <w:rPr>
                <w:rFonts w:hint="eastAsia"/>
                <w:color w:val="auto"/>
                <w:vertAlign w:val="baseline"/>
                <w:lang w:val="en-US" w:eastAsia="zh-CN"/>
              </w:rPr>
              <w:t>40分</w:t>
            </w:r>
          </w:p>
        </w:tc>
      </w:tr>
      <w:tr w14:paraId="1408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587270FD">
            <w:pPr>
              <w:rPr>
                <w:rFonts w:hint="default"/>
                <w:color w:val="auto"/>
                <w:vertAlign w:val="baseline"/>
                <w:lang w:val="en-US" w:eastAsia="zh-CN"/>
              </w:rPr>
            </w:pPr>
          </w:p>
        </w:tc>
        <w:tc>
          <w:tcPr>
            <w:tcW w:w="7900" w:type="dxa"/>
          </w:tcPr>
          <w:p w14:paraId="1E466218">
            <w:pPr>
              <w:rPr>
                <w:rFonts w:hint="default"/>
                <w:color w:val="auto"/>
                <w:vertAlign w:val="baseline"/>
                <w:lang w:val="en-US" w:eastAsia="zh-CN"/>
              </w:rPr>
            </w:pPr>
            <w:r>
              <w:rPr>
                <w:rFonts w:hint="eastAsia"/>
                <w:color w:val="auto"/>
                <w:vertAlign w:val="baseline"/>
                <w:lang w:val="en-US" w:eastAsia="zh-CN"/>
              </w:rPr>
              <w:t>发生经营状况重大变化以及重要担保、重大合同纠纷或诉讼、信用等级和资质变化等可能影响履约能力的重大事项，未及时向招标人提供书面报告，因而造成招标人损失的</w:t>
            </w:r>
          </w:p>
        </w:tc>
        <w:tc>
          <w:tcPr>
            <w:tcW w:w="1037" w:type="dxa"/>
          </w:tcPr>
          <w:p w14:paraId="540F9FA9">
            <w:pPr>
              <w:rPr>
                <w:rFonts w:hint="default"/>
                <w:color w:val="auto"/>
                <w:vertAlign w:val="baseline"/>
                <w:lang w:val="en-US" w:eastAsia="zh-CN"/>
              </w:rPr>
            </w:pPr>
            <w:r>
              <w:rPr>
                <w:rFonts w:hint="eastAsia"/>
                <w:color w:val="auto"/>
                <w:vertAlign w:val="baseline"/>
                <w:lang w:val="en-US" w:eastAsia="zh-CN"/>
              </w:rPr>
              <w:t>40分</w:t>
            </w:r>
          </w:p>
        </w:tc>
      </w:tr>
      <w:tr w14:paraId="5385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3FE2AC8">
            <w:pPr>
              <w:rPr>
                <w:rFonts w:hint="default"/>
                <w:color w:val="auto"/>
                <w:vertAlign w:val="baseline"/>
                <w:lang w:val="en-US" w:eastAsia="zh-CN"/>
              </w:rPr>
            </w:pPr>
          </w:p>
        </w:tc>
        <w:tc>
          <w:tcPr>
            <w:tcW w:w="7900" w:type="dxa"/>
          </w:tcPr>
          <w:p w14:paraId="1604B586">
            <w:pPr>
              <w:rPr>
                <w:rFonts w:hint="default"/>
                <w:color w:val="auto"/>
                <w:vertAlign w:val="baseline"/>
                <w:lang w:val="en-US" w:eastAsia="zh-CN"/>
              </w:rPr>
            </w:pPr>
            <w:r>
              <w:rPr>
                <w:rFonts w:hint="eastAsia"/>
                <w:color w:val="auto"/>
                <w:vertAlign w:val="baseline"/>
                <w:lang w:val="en-US" w:eastAsia="zh-CN"/>
              </w:rPr>
              <w:t>被行业主管部门通报批评或函告处罚的</w:t>
            </w:r>
          </w:p>
        </w:tc>
        <w:tc>
          <w:tcPr>
            <w:tcW w:w="1037" w:type="dxa"/>
          </w:tcPr>
          <w:p w14:paraId="5F48D5EB">
            <w:pPr>
              <w:rPr>
                <w:rFonts w:hint="default"/>
                <w:color w:val="auto"/>
                <w:vertAlign w:val="baseline"/>
                <w:lang w:val="en-US" w:eastAsia="zh-CN"/>
              </w:rPr>
            </w:pPr>
            <w:r>
              <w:rPr>
                <w:rFonts w:hint="eastAsia"/>
                <w:color w:val="auto"/>
                <w:vertAlign w:val="baseline"/>
                <w:lang w:val="en-US" w:eastAsia="zh-CN"/>
              </w:rPr>
              <w:t>30分</w:t>
            </w:r>
          </w:p>
        </w:tc>
      </w:tr>
      <w:tr w14:paraId="352E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5BA9E73E">
            <w:pPr>
              <w:rPr>
                <w:rFonts w:hint="default"/>
                <w:color w:val="auto"/>
                <w:vertAlign w:val="baseline"/>
                <w:lang w:val="en-US" w:eastAsia="zh-CN"/>
              </w:rPr>
            </w:pPr>
          </w:p>
        </w:tc>
        <w:tc>
          <w:tcPr>
            <w:tcW w:w="7900" w:type="dxa"/>
          </w:tcPr>
          <w:p w14:paraId="7EB9F7AF">
            <w:pPr>
              <w:rPr>
                <w:rFonts w:hint="default"/>
                <w:color w:val="auto"/>
                <w:vertAlign w:val="baseline"/>
                <w:lang w:val="en-US" w:eastAsia="zh-CN"/>
              </w:rPr>
            </w:pPr>
            <w:r>
              <w:rPr>
                <w:rFonts w:hint="eastAsia"/>
                <w:color w:val="auto"/>
                <w:vertAlign w:val="baseline"/>
                <w:lang w:val="en-US" w:eastAsia="zh-CN"/>
              </w:rPr>
              <w:t>被本街道通报批评或函告处罚的</w:t>
            </w:r>
          </w:p>
        </w:tc>
        <w:tc>
          <w:tcPr>
            <w:tcW w:w="1037" w:type="dxa"/>
          </w:tcPr>
          <w:p w14:paraId="5A602183">
            <w:pPr>
              <w:rPr>
                <w:rFonts w:hint="default"/>
                <w:color w:val="auto"/>
                <w:vertAlign w:val="baseline"/>
                <w:lang w:val="en-US" w:eastAsia="zh-CN"/>
              </w:rPr>
            </w:pPr>
            <w:r>
              <w:rPr>
                <w:rFonts w:hint="eastAsia"/>
                <w:color w:val="auto"/>
                <w:vertAlign w:val="baseline"/>
                <w:lang w:val="en-US" w:eastAsia="zh-CN"/>
              </w:rPr>
              <w:t>20分</w:t>
            </w:r>
          </w:p>
        </w:tc>
      </w:tr>
      <w:tr w14:paraId="6CFC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0F5418D">
            <w:pPr>
              <w:rPr>
                <w:rFonts w:hint="default"/>
                <w:color w:val="auto"/>
                <w:vertAlign w:val="baseline"/>
                <w:lang w:val="en-US" w:eastAsia="zh-CN"/>
              </w:rPr>
            </w:pPr>
          </w:p>
        </w:tc>
        <w:tc>
          <w:tcPr>
            <w:tcW w:w="7900" w:type="dxa"/>
          </w:tcPr>
          <w:p w14:paraId="00528287">
            <w:pPr>
              <w:rPr>
                <w:rFonts w:hint="default"/>
                <w:color w:val="auto"/>
                <w:vertAlign w:val="baseline"/>
                <w:lang w:val="en-US" w:eastAsia="zh-CN"/>
              </w:rPr>
            </w:pPr>
            <w:r>
              <w:rPr>
                <w:rFonts w:hint="eastAsia"/>
                <w:color w:val="auto"/>
                <w:vertAlign w:val="baseline"/>
                <w:lang w:val="en-US" w:eastAsia="zh-CN"/>
              </w:rPr>
              <w:t>对作出的扣分处理，服务单位拒绝签字确认的</w:t>
            </w:r>
          </w:p>
        </w:tc>
        <w:tc>
          <w:tcPr>
            <w:tcW w:w="1037" w:type="dxa"/>
          </w:tcPr>
          <w:p w14:paraId="06B439AC">
            <w:pPr>
              <w:rPr>
                <w:rFonts w:hint="default"/>
                <w:color w:val="auto"/>
                <w:vertAlign w:val="baseline"/>
                <w:lang w:val="en-US" w:eastAsia="zh-CN"/>
              </w:rPr>
            </w:pPr>
            <w:r>
              <w:rPr>
                <w:rFonts w:hint="eastAsia"/>
                <w:color w:val="auto"/>
                <w:vertAlign w:val="baseline"/>
                <w:lang w:val="en-US" w:eastAsia="zh-CN"/>
              </w:rPr>
              <w:t>10分</w:t>
            </w:r>
          </w:p>
        </w:tc>
      </w:tr>
      <w:tr w14:paraId="7AF7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8A141F9">
            <w:pPr>
              <w:rPr>
                <w:rFonts w:hint="default"/>
                <w:color w:val="auto"/>
                <w:vertAlign w:val="baseline"/>
                <w:lang w:val="en-US" w:eastAsia="zh-CN"/>
              </w:rPr>
            </w:pPr>
          </w:p>
        </w:tc>
        <w:tc>
          <w:tcPr>
            <w:tcW w:w="7900" w:type="dxa"/>
          </w:tcPr>
          <w:p w14:paraId="38B88684">
            <w:pPr>
              <w:rPr>
                <w:rFonts w:hint="default"/>
                <w:color w:val="auto"/>
                <w:vertAlign w:val="baseline"/>
                <w:lang w:val="en-US" w:eastAsia="zh-CN"/>
              </w:rPr>
            </w:pPr>
            <w:r>
              <w:rPr>
                <w:rFonts w:hint="eastAsia"/>
                <w:color w:val="auto"/>
                <w:vertAlign w:val="baseline"/>
                <w:lang w:val="en-US" w:eastAsia="zh-CN"/>
              </w:rPr>
              <w:t>未经委托方同意，无故拒绝承接业务的</w:t>
            </w:r>
          </w:p>
        </w:tc>
        <w:tc>
          <w:tcPr>
            <w:tcW w:w="1037" w:type="dxa"/>
          </w:tcPr>
          <w:p w14:paraId="5F01BBF9">
            <w:pPr>
              <w:rPr>
                <w:rFonts w:hint="default"/>
                <w:color w:val="auto"/>
                <w:vertAlign w:val="baseline"/>
                <w:lang w:val="en-US" w:eastAsia="zh-CN"/>
              </w:rPr>
            </w:pPr>
            <w:r>
              <w:rPr>
                <w:rFonts w:hint="eastAsia"/>
                <w:color w:val="auto"/>
                <w:vertAlign w:val="baseline"/>
                <w:lang w:val="en-US" w:eastAsia="zh-CN"/>
              </w:rPr>
              <w:t>10分</w:t>
            </w:r>
          </w:p>
        </w:tc>
      </w:tr>
      <w:tr w14:paraId="47B1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18E7A531">
            <w:pPr>
              <w:rPr>
                <w:rFonts w:hint="default"/>
                <w:color w:val="auto"/>
                <w:vertAlign w:val="baseline"/>
                <w:lang w:val="en-US" w:eastAsia="zh-CN"/>
              </w:rPr>
            </w:pPr>
          </w:p>
        </w:tc>
        <w:tc>
          <w:tcPr>
            <w:tcW w:w="7900" w:type="dxa"/>
          </w:tcPr>
          <w:p w14:paraId="39D285DB">
            <w:pPr>
              <w:rPr>
                <w:rFonts w:hint="default"/>
                <w:color w:val="auto"/>
                <w:vertAlign w:val="baseline"/>
                <w:lang w:val="en-US" w:eastAsia="zh-CN"/>
              </w:rPr>
            </w:pPr>
            <w:r>
              <w:rPr>
                <w:rFonts w:hint="eastAsia"/>
                <w:color w:val="auto"/>
                <w:vertAlign w:val="baseline"/>
                <w:lang w:val="en-US" w:eastAsia="zh-CN"/>
              </w:rPr>
              <w:t>服务单位未按委托合同约定开展工作，或应工作不配合或不按合同履约的</w:t>
            </w:r>
          </w:p>
        </w:tc>
        <w:tc>
          <w:tcPr>
            <w:tcW w:w="1037" w:type="dxa"/>
          </w:tcPr>
          <w:p w14:paraId="64EA7006">
            <w:pPr>
              <w:rPr>
                <w:rFonts w:hint="default"/>
                <w:color w:val="auto"/>
                <w:vertAlign w:val="baseline"/>
                <w:lang w:val="en-US" w:eastAsia="zh-CN"/>
              </w:rPr>
            </w:pPr>
            <w:r>
              <w:rPr>
                <w:rFonts w:hint="eastAsia"/>
                <w:color w:val="auto"/>
                <w:vertAlign w:val="baseline"/>
                <w:lang w:val="en-US" w:eastAsia="zh-CN"/>
              </w:rPr>
              <w:t>10分</w:t>
            </w:r>
          </w:p>
        </w:tc>
      </w:tr>
      <w:tr w14:paraId="6A5E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7B89BFE6">
            <w:pPr>
              <w:rPr>
                <w:rFonts w:hint="default"/>
                <w:color w:val="auto"/>
                <w:vertAlign w:val="baseline"/>
                <w:lang w:val="en-US" w:eastAsia="zh-CN"/>
              </w:rPr>
            </w:pPr>
          </w:p>
        </w:tc>
        <w:tc>
          <w:tcPr>
            <w:tcW w:w="7900" w:type="dxa"/>
          </w:tcPr>
          <w:p w14:paraId="760461A2">
            <w:pPr>
              <w:rPr>
                <w:rFonts w:hint="default"/>
                <w:color w:val="auto"/>
                <w:vertAlign w:val="baseline"/>
                <w:lang w:val="en-US" w:eastAsia="zh-CN"/>
              </w:rPr>
            </w:pPr>
            <w:r>
              <w:rPr>
                <w:rFonts w:hint="eastAsia"/>
                <w:color w:val="auto"/>
                <w:vertAlign w:val="baseline"/>
                <w:lang w:val="en-US" w:eastAsia="zh-CN"/>
              </w:rPr>
              <w:t>因工作拖沓或失误对业主造成影响或损失的</w:t>
            </w:r>
          </w:p>
        </w:tc>
        <w:tc>
          <w:tcPr>
            <w:tcW w:w="1037" w:type="dxa"/>
          </w:tcPr>
          <w:p w14:paraId="7B69D6B8">
            <w:pPr>
              <w:rPr>
                <w:rFonts w:hint="default"/>
                <w:color w:val="auto"/>
                <w:vertAlign w:val="baseline"/>
                <w:lang w:val="en-US" w:eastAsia="zh-CN"/>
              </w:rPr>
            </w:pPr>
            <w:r>
              <w:rPr>
                <w:rFonts w:hint="eastAsia"/>
                <w:color w:val="auto"/>
                <w:vertAlign w:val="baseline"/>
                <w:lang w:val="en-US" w:eastAsia="zh-CN"/>
              </w:rPr>
              <w:t>10分</w:t>
            </w:r>
          </w:p>
        </w:tc>
      </w:tr>
      <w:tr w14:paraId="0FF6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076F8AE5">
            <w:pPr>
              <w:rPr>
                <w:rFonts w:hint="default"/>
                <w:color w:val="auto"/>
                <w:vertAlign w:val="baseline"/>
                <w:lang w:val="en-US" w:eastAsia="zh-CN"/>
              </w:rPr>
            </w:pPr>
          </w:p>
        </w:tc>
        <w:tc>
          <w:tcPr>
            <w:tcW w:w="7900" w:type="dxa"/>
          </w:tcPr>
          <w:p w14:paraId="1AE2B772">
            <w:pPr>
              <w:rPr>
                <w:rFonts w:hint="default"/>
                <w:color w:val="auto"/>
                <w:vertAlign w:val="baseline"/>
                <w:lang w:val="en-US" w:eastAsia="zh-CN"/>
              </w:rPr>
            </w:pPr>
            <w:r>
              <w:rPr>
                <w:rFonts w:hint="eastAsia"/>
                <w:color w:val="auto"/>
                <w:vertAlign w:val="baseline"/>
                <w:lang w:val="en-US" w:eastAsia="zh-CN"/>
              </w:rPr>
              <w:t>未在规定时间完成工作内容的</w:t>
            </w:r>
          </w:p>
        </w:tc>
        <w:tc>
          <w:tcPr>
            <w:tcW w:w="1037" w:type="dxa"/>
          </w:tcPr>
          <w:p w14:paraId="16BBDA2B">
            <w:pPr>
              <w:rPr>
                <w:rFonts w:hint="default"/>
                <w:color w:val="auto"/>
                <w:vertAlign w:val="baseline"/>
                <w:lang w:val="en-US" w:eastAsia="zh-CN"/>
              </w:rPr>
            </w:pPr>
            <w:r>
              <w:rPr>
                <w:rFonts w:hint="eastAsia"/>
                <w:color w:val="auto"/>
                <w:vertAlign w:val="baseline"/>
                <w:lang w:val="en-US" w:eastAsia="zh-CN"/>
              </w:rPr>
              <w:t>5分</w:t>
            </w:r>
          </w:p>
        </w:tc>
      </w:tr>
      <w:tr w14:paraId="5FC1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0C11C49B">
            <w:pPr>
              <w:rPr>
                <w:rFonts w:hint="default"/>
                <w:color w:val="auto"/>
                <w:vertAlign w:val="baseline"/>
                <w:lang w:val="en-US" w:eastAsia="zh-CN"/>
              </w:rPr>
            </w:pPr>
          </w:p>
        </w:tc>
        <w:tc>
          <w:tcPr>
            <w:tcW w:w="7900" w:type="dxa"/>
          </w:tcPr>
          <w:p w14:paraId="3B376ACE">
            <w:pPr>
              <w:rPr>
                <w:rFonts w:hint="default"/>
                <w:color w:val="auto"/>
                <w:vertAlign w:val="baseline"/>
                <w:lang w:val="en-US" w:eastAsia="zh-CN"/>
              </w:rPr>
            </w:pPr>
            <w:r>
              <w:rPr>
                <w:rFonts w:hint="eastAsia"/>
                <w:color w:val="auto"/>
                <w:vertAlign w:val="baseline"/>
                <w:lang w:val="en-US" w:eastAsia="zh-CN"/>
              </w:rPr>
              <w:t>服务单位未按合同要求提供相关资料或资料不齐全的</w:t>
            </w:r>
          </w:p>
        </w:tc>
        <w:tc>
          <w:tcPr>
            <w:tcW w:w="1037" w:type="dxa"/>
          </w:tcPr>
          <w:p w14:paraId="022D14DA">
            <w:pPr>
              <w:rPr>
                <w:rFonts w:hint="default"/>
                <w:color w:val="auto"/>
                <w:vertAlign w:val="baseline"/>
                <w:lang w:val="en-US" w:eastAsia="zh-CN"/>
              </w:rPr>
            </w:pPr>
            <w:r>
              <w:rPr>
                <w:rFonts w:hint="eastAsia"/>
                <w:color w:val="auto"/>
                <w:vertAlign w:val="baseline"/>
                <w:lang w:val="en-US" w:eastAsia="zh-CN"/>
              </w:rPr>
              <w:t>5分</w:t>
            </w:r>
          </w:p>
        </w:tc>
      </w:tr>
      <w:tr w14:paraId="67E1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673BCE94">
            <w:pPr>
              <w:rPr>
                <w:rFonts w:hint="default"/>
                <w:color w:val="auto"/>
                <w:vertAlign w:val="baseline"/>
                <w:lang w:val="en-US" w:eastAsia="zh-CN"/>
              </w:rPr>
            </w:pPr>
          </w:p>
        </w:tc>
        <w:tc>
          <w:tcPr>
            <w:tcW w:w="7900" w:type="dxa"/>
          </w:tcPr>
          <w:p w14:paraId="680D0EE7">
            <w:pPr>
              <w:rPr>
                <w:rFonts w:hint="default"/>
                <w:color w:val="auto"/>
                <w:vertAlign w:val="baseline"/>
                <w:lang w:val="en-US" w:eastAsia="zh-CN"/>
              </w:rPr>
            </w:pPr>
            <w:r>
              <w:rPr>
                <w:rFonts w:hint="eastAsia"/>
                <w:color w:val="auto"/>
                <w:vertAlign w:val="baseline"/>
                <w:lang w:val="en-US" w:eastAsia="zh-CN"/>
              </w:rPr>
              <w:t>服务配合不到位的及其他不良行为造成不良后果的</w:t>
            </w:r>
          </w:p>
        </w:tc>
        <w:tc>
          <w:tcPr>
            <w:tcW w:w="1037" w:type="dxa"/>
          </w:tcPr>
          <w:p w14:paraId="711E60CD">
            <w:pPr>
              <w:rPr>
                <w:rFonts w:hint="default"/>
                <w:color w:val="auto"/>
                <w:vertAlign w:val="baseline"/>
                <w:lang w:val="en-US" w:eastAsia="zh-CN"/>
              </w:rPr>
            </w:pPr>
            <w:r>
              <w:rPr>
                <w:rFonts w:hint="eastAsia"/>
                <w:color w:val="auto"/>
                <w:vertAlign w:val="baseline"/>
                <w:lang w:val="en-US" w:eastAsia="zh-CN"/>
              </w:rPr>
              <w:t>5分</w:t>
            </w:r>
          </w:p>
        </w:tc>
      </w:tr>
      <w:tr w14:paraId="115F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1473E5EF">
            <w:pPr>
              <w:rPr>
                <w:rFonts w:hint="default"/>
                <w:color w:val="auto"/>
                <w:vertAlign w:val="baseline"/>
                <w:lang w:val="en-US" w:eastAsia="zh-CN"/>
              </w:rPr>
            </w:pPr>
          </w:p>
        </w:tc>
        <w:tc>
          <w:tcPr>
            <w:tcW w:w="7900" w:type="dxa"/>
          </w:tcPr>
          <w:p w14:paraId="3D0BFE2D">
            <w:pPr>
              <w:rPr>
                <w:rFonts w:hint="default"/>
                <w:color w:val="auto"/>
                <w:vertAlign w:val="baseline"/>
                <w:lang w:val="en-US" w:eastAsia="zh-CN"/>
              </w:rPr>
            </w:pPr>
            <w:r>
              <w:rPr>
                <w:rFonts w:hint="eastAsia"/>
                <w:color w:val="auto"/>
                <w:vertAlign w:val="baseline"/>
                <w:lang w:val="en-US" w:eastAsia="zh-CN"/>
              </w:rPr>
              <w:t>在咨询发现问题未及时向业主单位报告或未提出合理处理意见的</w:t>
            </w:r>
          </w:p>
        </w:tc>
        <w:tc>
          <w:tcPr>
            <w:tcW w:w="1037" w:type="dxa"/>
          </w:tcPr>
          <w:p w14:paraId="221EA025">
            <w:pPr>
              <w:rPr>
                <w:rFonts w:hint="default"/>
                <w:color w:val="auto"/>
                <w:vertAlign w:val="baseline"/>
                <w:lang w:val="en-US" w:eastAsia="zh-CN"/>
              </w:rPr>
            </w:pPr>
            <w:r>
              <w:rPr>
                <w:rFonts w:hint="eastAsia"/>
                <w:color w:val="auto"/>
                <w:vertAlign w:val="baseline"/>
                <w:lang w:val="en-US" w:eastAsia="zh-CN"/>
              </w:rPr>
              <w:t>5分</w:t>
            </w:r>
          </w:p>
        </w:tc>
      </w:tr>
      <w:tr w14:paraId="5A89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8E4C821">
            <w:pPr>
              <w:rPr>
                <w:rFonts w:hint="default"/>
                <w:color w:val="auto"/>
                <w:vertAlign w:val="baseline"/>
                <w:lang w:val="en-US" w:eastAsia="zh-CN"/>
              </w:rPr>
            </w:pPr>
          </w:p>
        </w:tc>
        <w:tc>
          <w:tcPr>
            <w:tcW w:w="7900" w:type="dxa"/>
          </w:tcPr>
          <w:p w14:paraId="20243349">
            <w:pPr>
              <w:rPr>
                <w:rFonts w:hint="default"/>
                <w:color w:val="auto"/>
                <w:vertAlign w:val="baseline"/>
                <w:lang w:val="en-US" w:eastAsia="zh-CN"/>
              </w:rPr>
            </w:pPr>
            <w:r>
              <w:rPr>
                <w:rFonts w:hint="eastAsia"/>
                <w:color w:val="auto"/>
                <w:vertAlign w:val="baseline"/>
                <w:lang w:val="en-US" w:eastAsia="zh-CN"/>
              </w:rPr>
              <w:t>发布的采购有关信息未经采购人、监管人员确认，擅自公布的</w:t>
            </w:r>
          </w:p>
        </w:tc>
        <w:tc>
          <w:tcPr>
            <w:tcW w:w="1037" w:type="dxa"/>
          </w:tcPr>
          <w:p w14:paraId="7B5A702F">
            <w:pPr>
              <w:rPr>
                <w:rFonts w:hint="default"/>
                <w:color w:val="auto"/>
                <w:vertAlign w:val="baseline"/>
                <w:lang w:val="en-US" w:eastAsia="zh-CN"/>
              </w:rPr>
            </w:pPr>
            <w:r>
              <w:rPr>
                <w:rFonts w:hint="eastAsia"/>
                <w:color w:val="auto"/>
                <w:vertAlign w:val="baseline"/>
                <w:lang w:val="en-US" w:eastAsia="zh-CN"/>
              </w:rPr>
              <w:t>5分</w:t>
            </w:r>
          </w:p>
        </w:tc>
      </w:tr>
      <w:tr w14:paraId="3924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6A527D7">
            <w:pPr>
              <w:rPr>
                <w:rFonts w:hint="default"/>
                <w:color w:val="auto"/>
                <w:vertAlign w:val="baseline"/>
                <w:lang w:val="en-US" w:eastAsia="zh-CN"/>
              </w:rPr>
            </w:pPr>
          </w:p>
        </w:tc>
        <w:tc>
          <w:tcPr>
            <w:tcW w:w="7900" w:type="dxa"/>
          </w:tcPr>
          <w:p w14:paraId="76F94687">
            <w:pPr>
              <w:rPr>
                <w:rFonts w:hint="default"/>
                <w:color w:val="auto"/>
                <w:vertAlign w:val="baseline"/>
                <w:lang w:val="en-US" w:eastAsia="zh-CN"/>
              </w:rPr>
            </w:pPr>
            <w:r>
              <w:rPr>
                <w:rFonts w:hint="eastAsia"/>
                <w:color w:val="auto"/>
                <w:vertAlign w:val="baseline"/>
                <w:lang w:val="en-US" w:eastAsia="zh-CN"/>
              </w:rPr>
              <w:t>因采购代理原因，在采购招标过程中存在不公平或失误或失职造成投诉的，投诉成立加倍扣分</w:t>
            </w:r>
          </w:p>
        </w:tc>
        <w:tc>
          <w:tcPr>
            <w:tcW w:w="1037" w:type="dxa"/>
          </w:tcPr>
          <w:p w14:paraId="783F204D">
            <w:pPr>
              <w:rPr>
                <w:rFonts w:hint="default"/>
                <w:color w:val="auto"/>
                <w:vertAlign w:val="baseline"/>
                <w:lang w:val="en-US" w:eastAsia="zh-CN"/>
              </w:rPr>
            </w:pPr>
            <w:r>
              <w:rPr>
                <w:rFonts w:hint="eastAsia"/>
                <w:color w:val="auto"/>
                <w:vertAlign w:val="baseline"/>
                <w:lang w:val="en-US" w:eastAsia="zh-CN"/>
              </w:rPr>
              <w:t>10分</w:t>
            </w:r>
          </w:p>
        </w:tc>
      </w:tr>
      <w:tr w14:paraId="4416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62D82C10">
            <w:pPr>
              <w:rPr>
                <w:rFonts w:hint="default"/>
                <w:color w:val="auto"/>
                <w:vertAlign w:val="baseline"/>
                <w:lang w:val="en-US" w:eastAsia="zh-CN"/>
              </w:rPr>
            </w:pPr>
          </w:p>
        </w:tc>
        <w:tc>
          <w:tcPr>
            <w:tcW w:w="7900" w:type="dxa"/>
          </w:tcPr>
          <w:p w14:paraId="7C14BE40">
            <w:pPr>
              <w:rPr>
                <w:rFonts w:hint="default"/>
                <w:color w:val="auto"/>
                <w:vertAlign w:val="baseline"/>
                <w:lang w:val="en-US" w:eastAsia="zh-CN"/>
              </w:rPr>
            </w:pPr>
            <w:r>
              <w:rPr>
                <w:rFonts w:hint="eastAsia"/>
                <w:color w:val="auto"/>
                <w:vertAlign w:val="baseline"/>
                <w:lang w:val="en-US" w:eastAsia="zh-CN"/>
              </w:rPr>
              <w:t>采购代理除按规定的代理费外，以资料费、人工费为由，额外收取投标人费用的</w:t>
            </w:r>
          </w:p>
        </w:tc>
        <w:tc>
          <w:tcPr>
            <w:tcW w:w="1037" w:type="dxa"/>
          </w:tcPr>
          <w:p w14:paraId="07BBCE70">
            <w:pPr>
              <w:rPr>
                <w:rFonts w:hint="default"/>
                <w:color w:val="auto"/>
                <w:vertAlign w:val="baseline"/>
                <w:lang w:val="en-US" w:eastAsia="zh-CN"/>
              </w:rPr>
            </w:pPr>
            <w:r>
              <w:rPr>
                <w:rFonts w:hint="eastAsia"/>
                <w:color w:val="auto"/>
                <w:vertAlign w:val="baseline"/>
                <w:lang w:val="en-US" w:eastAsia="zh-CN"/>
              </w:rPr>
              <w:t>20分</w:t>
            </w:r>
          </w:p>
        </w:tc>
      </w:tr>
      <w:tr w14:paraId="7E7B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05B24A65">
            <w:pPr>
              <w:rPr>
                <w:rFonts w:hint="default"/>
                <w:color w:val="auto"/>
                <w:vertAlign w:val="baseline"/>
                <w:lang w:val="en-US" w:eastAsia="zh-CN"/>
              </w:rPr>
            </w:pPr>
          </w:p>
        </w:tc>
        <w:tc>
          <w:tcPr>
            <w:tcW w:w="7900" w:type="dxa"/>
          </w:tcPr>
          <w:p w14:paraId="2DC670A0">
            <w:pPr>
              <w:rPr>
                <w:rFonts w:hint="default"/>
                <w:color w:val="auto"/>
                <w:vertAlign w:val="baseline"/>
                <w:lang w:val="en-US" w:eastAsia="zh-CN"/>
              </w:rPr>
            </w:pPr>
            <w:r>
              <w:rPr>
                <w:rFonts w:hint="eastAsia"/>
                <w:color w:val="auto"/>
                <w:vertAlign w:val="baseline"/>
                <w:lang w:val="en-US" w:eastAsia="zh-CN"/>
              </w:rPr>
              <w:t>采购代理编制的采购文件有违法有关法律法规规定的</w:t>
            </w:r>
          </w:p>
        </w:tc>
        <w:tc>
          <w:tcPr>
            <w:tcW w:w="1037" w:type="dxa"/>
          </w:tcPr>
          <w:p w14:paraId="1185DEE8">
            <w:pPr>
              <w:rPr>
                <w:rFonts w:hint="default"/>
                <w:color w:val="auto"/>
                <w:vertAlign w:val="baseline"/>
                <w:lang w:val="en-US" w:eastAsia="zh-CN"/>
              </w:rPr>
            </w:pPr>
            <w:r>
              <w:rPr>
                <w:rFonts w:hint="eastAsia"/>
                <w:color w:val="auto"/>
                <w:vertAlign w:val="baseline"/>
                <w:lang w:val="en-US" w:eastAsia="zh-CN"/>
              </w:rPr>
              <w:t>20分</w:t>
            </w:r>
          </w:p>
        </w:tc>
      </w:tr>
      <w:tr w14:paraId="304A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0FD32EE">
            <w:pPr>
              <w:rPr>
                <w:rFonts w:hint="default"/>
                <w:color w:val="auto"/>
                <w:vertAlign w:val="baseline"/>
                <w:lang w:val="en-US" w:eastAsia="zh-CN"/>
              </w:rPr>
            </w:pPr>
          </w:p>
        </w:tc>
        <w:tc>
          <w:tcPr>
            <w:tcW w:w="7900" w:type="dxa"/>
          </w:tcPr>
          <w:p w14:paraId="200326F6">
            <w:pPr>
              <w:rPr>
                <w:rFonts w:hint="default"/>
                <w:color w:val="auto"/>
                <w:vertAlign w:val="baseline"/>
                <w:lang w:val="en-US" w:eastAsia="zh-CN"/>
              </w:rPr>
            </w:pPr>
            <w:r>
              <w:rPr>
                <w:rFonts w:hint="eastAsia"/>
                <w:color w:val="auto"/>
                <w:vertAlign w:val="baseline"/>
                <w:lang w:val="en-US" w:eastAsia="zh-CN"/>
              </w:rPr>
              <w:t>采购代理在代理过程，代理人员未及时到岗到位、认真履职的</w:t>
            </w:r>
          </w:p>
        </w:tc>
        <w:tc>
          <w:tcPr>
            <w:tcW w:w="1037" w:type="dxa"/>
          </w:tcPr>
          <w:p w14:paraId="6900F870">
            <w:pPr>
              <w:rPr>
                <w:rFonts w:hint="default"/>
                <w:color w:val="auto"/>
                <w:vertAlign w:val="baseline"/>
                <w:lang w:val="en-US" w:eastAsia="zh-CN"/>
              </w:rPr>
            </w:pPr>
            <w:r>
              <w:rPr>
                <w:rFonts w:hint="eastAsia"/>
                <w:color w:val="auto"/>
                <w:vertAlign w:val="baseline"/>
                <w:lang w:val="en-US" w:eastAsia="zh-CN"/>
              </w:rPr>
              <w:t>2分</w:t>
            </w:r>
          </w:p>
        </w:tc>
      </w:tr>
      <w:tr w14:paraId="354C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DB87C91">
            <w:pPr>
              <w:rPr>
                <w:rFonts w:hint="default"/>
                <w:color w:val="auto"/>
                <w:vertAlign w:val="baseline"/>
                <w:lang w:val="en-US" w:eastAsia="zh-CN"/>
              </w:rPr>
            </w:pPr>
          </w:p>
        </w:tc>
        <w:tc>
          <w:tcPr>
            <w:tcW w:w="7900" w:type="dxa"/>
          </w:tcPr>
          <w:p w14:paraId="0C6A303E">
            <w:pPr>
              <w:rPr>
                <w:rFonts w:hint="default"/>
                <w:color w:val="auto"/>
                <w:vertAlign w:val="baseline"/>
                <w:lang w:val="en-US" w:eastAsia="zh-CN"/>
              </w:rPr>
            </w:pPr>
            <w:r>
              <w:rPr>
                <w:rFonts w:hint="eastAsia"/>
                <w:color w:val="auto"/>
                <w:vertAlign w:val="baseline"/>
                <w:lang w:val="en-US" w:eastAsia="zh-CN"/>
              </w:rPr>
              <w:t>未按照有关规定和要求及时编制采购招标文件、修改采购招标文件</w:t>
            </w:r>
          </w:p>
        </w:tc>
        <w:tc>
          <w:tcPr>
            <w:tcW w:w="1037" w:type="dxa"/>
          </w:tcPr>
          <w:p w14:paraId="7681E74B">
            <w:pPr>
              <w:rPr>
                <w:rFonts w:hint="default"/>
                <w:color w:val="auto"/>
                <w:vertAlign w:val="baseline"/>
                <w:lang w:val="en-US" w:eastAsia="zh-CN"/>
              </w:rPr>
            </w:pPr>
            <w:r>
              <w:rPr>
                <w:rFonts w:hint="eastAsia"/>
                <w:color w:val="auto"/>
                <w:vertAlign w:val="baseline"/>
                <w:lang w:val="en-US" w:eastAsia="zh-CN"/>
              </w:rPr>
              <w:t>2分</w:t>
            </w:r>
          </w:p>
        </w:tc>
      </w:tr>
      <w:tr w14:paraId="7B41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121119FC">
            <w:pPr>
              <w:rPr>
                <w:rFonts w:hint="default"/>
                <w:color w:val="auto"/>
                <w:vertAlign w:val="baseline"/>
                <w:lang w:val="en-US" w:eastAsia="zh-CN"/>
              </w:rPr>
            </w:pPr>
          </w:p>
        </w:tc>
        <w:tc>
          <w:tcPr>
            <w:tcW w:w="7900" w:type="dxa"/>
          </w:tcPr>
          <w:p w14:paraId="753EDF13">
            <w:pPr>
              <w:rPr>
                <w:rFonts w:hint="default"/>
                <w:color w:val="auto"/>
                <w:vertAlign w:val="baseline"/>
                <w:lang w:val="en-US" w:eastAsia="zh-CN"/>
              </w:rPr>
            </w:pPr>
            <w:r>
              <w:rPr>
                <w:rFonts w:hint="eastAsia"/>
                <w:color w:val="auto"/>
                <w:vertAlign w:val="baseline"/>
                <w:lang w:val="en-US" w:eastAsia="zh-CN"/>
              </w:rPr>
              <w:t>送审的采购招标文件中，内容前后矛盾的</w:t>
            </w:r>
          </w:p>
        </w:tc>
        <w:tc>
          <w:tcPr>
            <w:tcW w:w="1037" w:type="dxa"/>
          </w:tcPr>
          <w:p w14:paraId="4D1FA0C0">
            <w:pPr>
              <w:rPr>
                <w:rFonts w:hint="default"/>
                <w:color w:val="auto"/>
                <w:vertAlign w:val="baseline"/>
                <w:lang w:val="en-US" w:eastAsia="zh-CN"/>
              </w:rPr>
            </w:pPr>
            <w:r>
              <w:rPr>
                <w:rFonts w:hint="eastAsia"/>
                <w:color w:val="auto"/>
                <w:vertAlign w:val="baseline"/>
                <w:lang w:val="en-US" w:eastAsia="zh-CN"/>
              </w:rPr>
              <w:t>2分</w:t>
            </w:r>
          </w:p>
        </w:tc>
      </w:tr>
      <w:tr w14:paraId="2F40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0533585D">
            <w:pPr>
              <w:rPr>
                <w:rFonts w:hint="default"/>
                <w:color w:val="auto"/>
                <w:vertAlign w:val="baseline"/>
                <w:lang w:val="en-US" w:eastAsia="zh-CN"/>
              </w:rPr>
            </w:pPr>
          </w:p>
        </w:tc>
        <w:tc>
          <w:tcPr>
            <w:tcW w:w="7900" w:type="dxa"/>
          </w:tcPr>
          <w:p w14:paraId="666ABC9D">
            <w:pPr>
              <w:rPr>
                <w:rFonts w:hint="default"/>
                <w:color w:val="auto"/>
                <w:vertAlign w:val="baseline"/>
                <w:lang w:val="en-US" w:eastAsia="zh-CN"/>
              </w:rPr>
            </w:pPr>
            <w:r>
              <w:rPr>
                <w:rFonts w:hint="eastAsia"/>
                <w:color w:val="auto"/>
                <w:vertAlign w:val="baseline"/>
                <w:lang w:val="en-US" w:eastAsia="zh-CN"/>
              </w:rPr>
              <w:t>网上发布的采购招标文件与备案的采购招标文件不符的</w:t>
            </w:r>
          </w:p>
        </w:tc>
        <w:tc>
          <w:tcPr>
            <w:tcW w:w="1037" w:type="dxa"/>
          </w:tcPr>
          <w:p w14:paraId="02AB6317">
            <w:pPr>
              <w:rPr>
                <w:rFonts w:hint="default"/>
                <w:color w:val="auto"/>
                <w:vertAlign w:val="baseline"/>
                <w:lang w:val="en-US" w:eastAsia="zh-CN"/>
              </w:rPr>
            </w:pPr>
            <w:r>
              <w:rPr>
                <w:rFonts w:hint="eastAsia"/>
                <w:color w:val="auto"/>
                <w:vertAlign w:val="baseline"/>
                <w:lang w:val="en-US" w:eastAsia="zh-CN"/>
              </w:rPr>
              <w:t>5分</w:t>
            </w:r>
          </w:p>
        </w:tc>
      </w:tr>
      <w:tr w14:paraId="3549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CCABFFD">
            <w:pPr>
              <w:rPr>
                <w:rFonts w:hint="default"/>
                <w:color w:val="auto"/>
                <w:vertAlign w:val="baseline"/>
                <w:lang w:val="en-US" w:eastAsia="zh-CN"/>
              </w:rPr>
            </w:pPr>
          </w:p>
        </w:tc>
        <w:tc>
          <w:tcPr>
            <w:tcW w:w="7900" w:type="dxa"/>
          </w:tcPr>
          <w:p w14:paraId="2D2914C7">
            <w:pPr>
              <w:rPr>
                <w:rFonts w:hint="default"/>
                <w:color w:val="auto"/>
                <w:vertAlign w:val="baseline"/>
                <w:lang w:val="en-US" w:eastAsia="zh-CN"/>
              </w:rPr>
            </w:pPr>
            <w:r>
              <w:rPr>
                <w:rFonts w:hint="eastAsia"/>
                <w:color w:val="auto"/>
                <w:vertAlign w:val="baseline"/>
                <w:lang w:val="en-US" w:eastAsia="zh-CN"/>
              </w:rPr>
              <w:t>因采购代理原因，发布答疑、澄清、或补充公告，影响招标进展的</w:t>
            </w:r>
          </w:p>
        </w:tc>
        <w:tc>
          <w:tcPr>
            <w:tcW w:w="1037" w:type="dxa"/>
          </w:tcPr>
          <w:p w14:paraId="7F3FD65B">
            <w:pPr>
              <w:rPr>
                <w:rFonts w:hint="default"/>
                <w:color w:val="auto"/>
                <w:vertAlign w:val="baseline"/>
                <w:lang w:val="en-US" w:eastAsia="zh-CN"/>
              </w:rPr>
            </w:pPr>
            <w:r>
              <w:rPr>
                <w:rFonts w:hint="eastAsia"/>
                <w:color w:val="auto"/>
                <w:vertAlign w:val="baseline"/>
                <w:lang w:val="en-US" w:eastAsia="zh-CN"/>
              </w:rPr>
              <w:t>5分</w:t>
            </w:r>
          </w:p>
        </w:tc>
      </w:tr>
      <w:tr w14:paraId="5884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CB2F230">
            <w:pPr>
              <w:rPr>
                <w:rFonts w:hint="default"/>
                <w:color w:val="auto"/>
                <w:vertAlign w:val="baseline"/>
                <w:lang w:val="en-US" w:eastAsia="zh-CN"/>
              </w:rPr>
            </w:pPr>
          </w:p>
        </w:tc>
        <w:tc>
          <w:tcPr>
            <w:tcW w:w="7900" w:type="dxa"/>
          </w:tcPr>
          <w:p w14:paraId="4B4BA5CC">
            <w:pPr>
              <w:rPr>
                <w:rFonts w:hint="default"/>
                <w:color w:val="auto"/>
                <w:vertAlign w:val="baseline"/>
                <w:lang w:val="en-US" w:eastAsia="zh-CN"/>
              </w:rPr>
            </w:pPr>
            <w:r>
              <w:rPr>
                <w:rFonts w:hint="eastAsia"/>
                <w:color w:val="auto"/>
                <w:vertAlign w:val="baseline"/>
                <w:lang w:val="en-US" w:eastAsia="zh-CN"/>
              </w:rPr>
              <w:t>未按规定的时间、地点、程序组织开评标或开标记录不完整，影响招投标进展的</w:t>
            </w:r>
          </w:p>
        </w:tc>
        <w:tc>
          <w:tcPr>
            <w:tcW w:w="1037" w:type="dxa"/>
          </w:tcPr>
          <w:p w14:paraId="710EFAFC">
            <w:pPr>
              <w:rPr>
                <w:rFonts w:hint="default"/>
                <w:color w:val="auto"/>
                <w:vertAlign w:val="baseline"/>
                <w:lang w:val="en-US" w:eastAsia="zh-CN"/>
              </w:rPr>
            </w:pPr>
            <w:r>
              <w:rPr>
                <w:rFonts w:hint="eastAsia"/>
                <w:color w:val="auto"/>
                <w:vertAlign w:val="baseline"/>
                <w:lang w:val="en-US" w:eastAsia="zh-CN"/>
              </w:rPr>
              <w:t>5分</w:t>
            </w:r>
          </w:p>
        </w:tc>
      </w:tr>
      <w:tr w14:paraId="5DA8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02B327D1">
            <w:pPr>
              <w:rPr>
                <w:rFonts w:hint="default"/>
                <w:color w:val="auto"/>
                <w:vertAlign w:val="baseline"/>
                <w:lang w:val="en-US" w:eastAsia="zh-CN"/>
              </w:rPr>
            </w:pPr>
          </w:p>
        </w:tc>
        <w:tc>
          <w:tcPr>
            <w:tcW w:w="7900" w:type="dxa"/>
          </w:tcPr>
          <w:p w14:paraId="28E6FCD8">
            <w:pPr>
              <w:rPr>
                <w:rFonts w:hint="default"/>
                <w:color w:val="auto"/>
                <w:vertAlign w:val="baseline"/>
                <w:lang w:val="en-US" w:eastAsia="zh-CN"/>
              </w:rPr>
            </w:pPr>
            <w:r>
              <w:rPr>
                <w:rFonts w:hint="eastAsia"/>
                <w:color w:val="auto"/>
                <w:vertAlign w:val="baseline"/>
                <w:lang w:val="en-US" w:eastAsia="zh-CN"/>
              </w:rPr>
              <w:t>开评标流程出现较大差错无法补救或对项目造成影响的</w:t>
            </w:r>
          </w:p>
        </w:tc>
        <w:tc>
          <w:tcPr>
            <w:tcW w:w="1037" w:type="dxa"/>
          </w:tcPr>
          <w:p w14:paraId="4B95E5A6">
            <w:pPr>
              <w:rPr>
                <w:rFonts w:hint="default"/>
                <w:color w:val="auto"/>
                <w:vertAlign w:val="baseline"/>
                <w:lang w:val="en-US" w:eastAsia="zh-CN"/>
              </w:rPr>
            </w:pPr>
            <w:r>
              <w:rPr>
                <w:rFonts w:hint="eastAsia"/>
                <w:color w:val="auto"/>
                <w:vertAlign w:val="baseline"/>
                <w:lang w:val="en-US" w:eastAsia="zh-CN"/>
              </w:rPr>
              <w:t>5分</w:t>
            </w:r>
          </w:p>
        </w:tc>
      </w:tr>
      <w:tr w14:paraId="537B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E730615">
            <w:pPr>
              <w:rPr>
                <w:rFonts w:hint="default"/>
                <w:color w:val="auto"/>
                <w:vertAlign w:val="baseline"/>
                <w:lang w:val="en-US" w:eastAsia="zh-CN"/>
              </w:rPr>
            </w:pPr>
          </w:p>
        </w:tc>
        <w:tc>
          <w:tcPr>
            <w:tcW w:w="7900" w:type="dxa"/>
          </w:tcPr>
          <w:p w14:paraId="5F39AEBD">
            <w:pPr>
              <w:rPr>
                <w:rFonts w:hint="default"/>
                <w:color w:val="auto"/>
                <w:vertAlign w:val="baseline"/>
                <w:lang w:val="en-US" w:eastAsia="zh-CN"/>
              </w:rPr>
            </w:pPr>
            <w:r>
              <w:rPr>
                <w:rFonts w:hint="eastAsia"/>
                <w:color w:val="auto"/>
                <w:vertAlign w:val="baseline"/>
                <w:lang w:val="en-US" w:eastAsia="zh-CN"/>
              </w:rPr>
              <w:t>因招标文件、答疑、澄清或补充公告等资料编制不严谨、产生歧义、前后条款矛盾，引起开标、评标、定标争议的</w:t>
            </w:r>
          </w:p>
        </w:tc>
        <w:tc>
          <w:tcPr>
            <w:tcW w:w="1037" w:type="dxa"/>
          </w:tcPr>
          <w:p w14:paraId="61680FD7">
            <w:pPr>
              <w:rPr>
                <w:rFonts w:hint="default"/>
                <w:color w:val="auto"/>
                <w:vertAlign w:val="baseline"/>
                <w:lang w:val="en-US" w:eastAsia="zh-CN"/>
              </w:rPr>
            </w:pPr>
            <w:r>
              <w:rPr>
                <w:rFonts w:hint="eastAsia"/>
                <w:color w:val="auto"/>
                <w:vertAlign w:val="baseline"/>
                <w:lang w:val="en-US" w:eastAsia="zh-CN"/>
              </w:rPr>
              <w:t>5分</w:t>
            </w:r>
          </w:p>
        </w:tc>
      </w:tr>
      <w:tr w14:paraId="7A32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79A487F">
            <w:pPr>
              <w:rPr>
                <w:rFonts w:hint="default"/>
                <w:color w:val="auto"/>
                <w:vertAlign w:val="baseline"/>
                <w:lang w:val="en-US" w:eastAsia="zh-CN"/>
              </w:rPr>
            </w:pPr>
          </w:p>
        </w:tc>
        <w:tc>
          <w:tcPr>
            <w:tcW w:w="7900" w:type="dxa"/>
          </w:tcPr>
          <w:p w14:paraId="4BAA6953">
            <w:pPr>
              <w:rPr>
                <w:rFonts w:hint="default"/>
                <w:color w:val="auto"/>
                <w:vertAlign w:val="baseline"/>
                <w:lang w:val="en-US" w:eastAsia="zh-CN"/>
              </w:rPr>
            </w:pPr>
            <w:r>
              <w:rPr>
                <w:rFonts w:hint="eastAsia"/>
                <w:color w:val="auto"/>
                <w:vertAlign w:val="baseline"/>
                <w:lang w:val="en-US" w:eastAsia="zh-CN"/>
              </w:rPr>
              <w:t>发布的中标公示内容有差错的</w:t>
            </w:r>
          </w:p>
        </w:tc>
        <w:tc>
          <w:tcPr>
            <w:tcW w:w="1037" w:type="dxa"/>
          </w:tcPr>
          <w:p w14:paraId="1E66D4F2">
            <w:pPr>
              <w:rPr>
                <w:rFonts w:hint="default"/>
                <w:color w:val="auto"/>
                <w:vertAlign w:val="baseline"/>
                <w:lang w:val="en-US" w:eastAsia="zh-CN"/>
              </w:rPr>
            </w:pPr>
            <w:r>
              <w:rPr>
                <w:rFonts w:hint="eastAsia"/>
                <w:color w:val="auto"/>
                <w:vertAlign w:val="baseline"/>
                <w:lang w:val="en-US" w:eastAsia="zh-CN"/>
              </w:rPr>
              <w:t>3分</w:t>
            </w:r>
          </w:p>
        </w:tc>
      </w:tr>
      <w:tr w14:paraId="070F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71021D71">
            <w:pPr>
              <w:rPr>
                <w:rFonts w:hint="default"/>
                <w:color w:val="auto"/>
                <w:vertAlign w:val="baseline"/>
                <w:lang w:val="en-US" w:eastAsia="zh-CN"/>
              </w:rPr>
            </w:pPr>
          </w:p>
        </w:tc>
        <w:tc>
          <w:tcPr>
            <w:tcW w:w="7900" w:type="dxa"/>
          </w:tcPr>
          <w:p w14:paraId="75A89666">
            <w:pPr>
              <w:rPr>
                <w:rFonts w:hint="default"/>
                <w:color w:val="auto"/>
                <w:vertAlign w:val="baseline"/>
                <w:lang w:val="en-US" w:eastAsia="zh-CN"/>
              </w:rPr>
            </w:pPr>
            <w:r>
              <w:rPr>
                <w:rFonts w:hint="eastAsia"/>
                <w:color w:val="auto"/>
                <w:vertAlign w:val="baseline"/>
                <w:lang w:val="en-US" w:eastAsia="zh-CN"/>
              </w:rPr>
              <w:t>在招标公示期间，投标人提出疑义，采购代理不接电话的，或在招标服务内未作解释的，或无理推诿的</w:t>
            </w:r>
          </w:p>
        </w:tc>
        <w:tc>
          <w:tcPr>
            <w:tcW w:w="1037" w:type="dxa"/>
          </w:tcPr>
          <w:p w14:paraId="7090FAA3">
            <w:pPr>
              <w:rPr>
                <w:rFonts w:hint="default"/>
                <w:color w:val="auto"/>
                <w:vertAlign w:val="baseline"/>
                <w:lang w:val="en-US" w:eastAsia="zh-CN"/>
              </w:rPr>
            </w:pPr>
            <w:r>
              <w:rPr>
                <w:rFonts w:hint="eastAsia"/>
                <w:color w:val="auto"/>
                <w:vertAlign w:val="baseline"/>
                <w:lang w:val="en-US" w:eastAsia="zh-CN"/>
              </w:rPr>
              <w:t>5分</w:t>
            </w:r>
          </w:p>
        </w:tc>
      </w:tr>
      <w:tr w14:paraId="5883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6AA4246E">
            <w:pPr>
              <w:rPr>
                <w:rFonts w:hint="default"/>
                <w:color w:val="auto"/>
                <w:vertAlign w:val="baseline"/>
                <w:lang w:val="en-US" w:eastAsia="zh-CN"/>
              </w:rPr>
            </w:pPr>
          </w:p>
        </w:tc>
        <w:tc>
          <w:tcPr>
            <w:tcW w:w="7900" w:type="dxa"/>
          </w:tcPr>
          <w:p w14:paraId="349B1A0C">
            <w:pPr>
              <w:rPr>
                <w:rFonts w:hint="default"/>
                <w:color w:val="auto"/>
                <w:vertAlign w:val="baseline"/>
                <w:lang w:val="en-US" w:eastAsia="zh-CN"/>
              </w:rPr>
            </w:pPr>
            <w:r>
              <w:rPr>
                <w:rFonts w:hint="eastAsia"/>
                <w:color w:val="auto"/>
                <w:vertAlign w:val="baseline"/>
                <w:lang w:val="en-US" w:eastAsia="zh-CN"/>
              </w:rPr>
              <w:t>未按规定抽取专家并通知到位的</w:t>
            </w:r>
          </w:p>
        </w:tc>
        <w:tc>
          <w:tcPr>
            <w:tcW w:w="1037" w:type="dxa"/>
          </w:tcPr>
          <w:p w14:paraId="0AE6B421">
            <w:pPr>
              <w:rPr>
                <w:rFonts w:hint="default"/>
                <w:color w:val="auto"/>
                <w:vertAlign w:val="baseline"/>
                <w:lang w:val="en-US" w:eastAsia="zh-CN"/>
              </w:rPr>
            </w:pPr>
            <w:r>
              <w:rPr>
                <w:rFonts w:hint="eastAsia"/>
                <w:color w:val="auto"/>
                <w:vertAlign w:val="baseline"/>
                <w:lang w:val="en-US" w:eastAsia="zh-CN"/>
              </w:rPr>
              <w:t>3分</w:t>
            </w:r>
          </w:p>
        </w:tc>
      </w:tr>
      <w:tr w14:paraId="2037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0E0D6227">
            <w:pPr>
              <w:rPr>
                <w:rFonts w:hint="default"/>
                <w:color w:val="auto"/>
                <w:vertAlign w:val="baseline"/>
                <w:lang w:val="en-US" w:eastAsia="zh-CN"/>
              </w:rPr>
            </w:pPr>
          </w:p>
        </w:tc>
        <w:tc>
          <w:tcPr>
            <w:tcW w:w="7900" w:type="dxa"/>
          </w:tcPr>
          <w:p w14:paraId="0520E1EC">
            <w:pPr>
              <w:rPr>
                <w:rFonts w:hint="default"/>
                <w:color w:val="auto"/>
                <w:vertAlign w:val="baseline"/>
                <w:lang w:val="en-US" w:eastAsia="zh-CN"/>
              </w:rPr>
            </w:pPr>
            <w:r>
              <w:rPr>
                <w:rFonts w:hint="eastAsia"/>
                <w:color w:val="auto"/>
                <w:vertAlign w:val="baseline"/>
                <w:lang w:val="en-US" w:eastAsia="zh-CN"/>
              </w:rPr>
              <w:t>招投标有关信息未在规定的媒体上发布、公示、公告的</w:t>
            </w:r>
          </w:p>
        </w:tc>
        <w:tc>
          <w:tcPr>
            <w:tcW w:w="1037" w:type="dxa"/>
          </w:tcPr>
          <w:p w14:paraId="612B20FB">
            <w:pPr>
              <w:rPr>
                <w:rFonts w:hint="default"/>
                <w:color w:val="auto"/>
                <w:vertAlign w:val="baseline"/>
                <w:lang w:val="en-US" w:eastAsia="zh-CN"/>
              </w:rPr>
            </w:pPr>
            <w:r>
              <w:rPr>
                <w:rFonts w:hint="eastAsia"/>
                <w:color w:val="auto"/>
                <w:vertAlign w:val="baseline"/>
                <w:lang w:val="en-US" w:eastAsia="zh-CN"/>
              </w:rPr>
              <w:t>3分</w:t>
            </w:r>
          </w:p>
        </w:tc>
      </w:tr>
      <w:tr w14:paraId="143F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71C2109F">
            <w:pPr>
              <w:rPr>
                <w:rFonts w:hint="default"/>
                <w:color w:val="auto"/>
                <w:vertAlign w:val="baseline"/>
                <w:lang w:val="en-US" w:eastAsia="zh-CN"/>
              </w:rPr>
            </w:pPr>
          </w:p>
        </w:tc>
        <w:tc>
          <w:tcPr>
            <w:tcW w:w="7900" w:type="dxa"/>
          </w:tcPr>
          <w:p w14:paraId="5BB0934F">
            <w:pPr>
              <w:rPr>
                <w:rFonts w:hint="default"/>
                <w:color w:val="auto"/>
                <w:vertAlign w:val="baseline"/>
                <w:lang w:val="en-US" w:eastAsia="zh-CN"/>
              </w:rPr>
            </w:pPr>
            <w:r>
              <w:rPr>
                <w:rFonts w:hint="eastAsia"/>
                <w:color w:val="auto"/>
                <w:vertAlign w:val="baseline"/>
                <w:lang w:val="en-US" w:eastAsia="zh-CN"/>
              </w:rPr>
              <w:t>招标代理在拟相关合同时，未按招标文件要求拟定，或未对合同进行审核的，或合同内容与招标、投标文件不一致，自相矛盾的</w:t>
            </w:r>
          </w:p>
        </w:tc>
        <w:tc>
          <w:tcPr>
            <w:tcW w:w="1037" w:type="dxa"/>
          </w:tcPr>
          <w:p w14:paraId="305C5426">
            <w:pPr>
              <w:rPr>
                <w:rFonts w:hint="default"/>
                <w:color w:val="auto"/>
                <w:vertAlign w:val="baseline"/>
                <w:lang w:val="en-US" w:eastAsia="zh-CN"/>
              </w:rPr>
            </w:pPr>
            <w:r>
              <w:rPr>
                <w:rFonts w:hint="eastAsia"/>
                <w:color w:val="auto"/>
                <w:vertAlign w:val="baseline"/>
                <w:lang w:val="en-US" w:eastAsia="zh-CN"/>
              </w:rPr>
              <w:t>5分</w:t>
            </w:r>
          </w:p>
        </w:tc>
      </w:tr>
      <w:tr w14:paraId="1F46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4914A465">
            <w:pPr>
              <w:rPr>
                <w:rFonts w:hint="default"/>
                <w:color w:val="auto"/>
                <w:vertAlign w:val="baseline"/>
                <w:lang w:val="en-US" w:eastAsia="zh-CN"/>
              </w:rPr>
            </w:pPr>
          </w:p>
        </w:tc>
        <w:tc>
          <w:tcPr>
            <w:tcW w:w="7900" w:type="dxa"/>
          </w:tcPr>
          <w:p w14:paraId="13B0962F">
            <w:pPr>
              <w:rPr>
                <w:rFonts w:hint="default"/>
                <w:color w:val="auto"/>
                <w:vertAlign w:val="baseline"/>
                <w:lang w:val="en-US" w:eastAsia="zh-CN"/>
              </w:rPr>
            </w:pPr>
            <w:r>
              <w:rPr>
                <w:rFonts w:hint="eastAsia"/>
                <w:color w:val="auto"/>
                <w:vertAlign w:val="baseline"/>
                <w:lang w:val="en-US" w:eastAsia="zh-CN"/>
              </w:rPr>
              <w:t>中标通知书发出后，未及时督促或组织采购人与中标（成交）供应商签订采购合同的</w:t>
            </w:r>
          </w:p>
        </w:tc>
        <w:tc>
          <w:tcPr>
            <w:tcW w:w="1037" w:type="dxa"/>
          </w:tcPr>
          <w:p w14:paraId="462CB84D">
            <w:pPr>
              <w:rPr>
                <w:rFonts w:hint="default"/>
                <w:color w:val="auto"/>
                <w:vertAlign w:val="baseline"/>
                <w:lang w:val="en-US" w:eastAsia="zh-CN"/>
              </w:rPr>
            </w:pPr>
            <w:r>
              <w:rPr>
                <w:rFonts w:hint="eastAsia"/>
                <w:color w:val="auto"/>
                <w:vertAlign w:val="baseline"/>
                <w:lang w:val="en-US" w:eastAsia="zh-CN"/>
              </w:rPr>
              <w:t>2分</w:t>
            </w:r>
          </w:p>
        </w:tc>
      </w:tr>
      <w:tr w14:paraId="6193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75759A30">
            <w:pPr>
              <w:rPr>
                <w:rFonts w:hint="default"/>
                <w:color w:val="auto"/>
                <w:vertAlign w:val="baseline"/>
                <w:lang w:val="en-US" w:eastAsia="zh-CN"/>
              </w:rPr>
            </w:pPr>
          </w:p>
        </w:tc>
        <w:tc>
          <w:tcPr>
            <w:tcW w:w="7900" w:type="dxa"/>
          </w:tcPr>
          <w:p w14:paraId="6D7E883C">
            <w:pPr>
              <w:rPr>
                <w:rFonts w:hint="default"/>
                <w:color w:val="auto"/>
                <w:vertAlign w:val="baseline"/>
                <w:lang w:val="en-US" w:eastAsia="zh-CN"/>
              </w:rPr>
            </w:pPr>
            <w:r>
              <w:rPr>
                <w:rFonts w:hint="eastAsia"/>
                <w:color w:val="auto"/>
                <w:vertAlign w:val="baseline"/>
                <w:lang w:val="en-US" w:eastAsia="zh-CN"/>
              </w:rPr>
              <w:t>未妥善保管导致资料遗失或提交的备案资料不齐全、资料备案不及时的</w:t>
            </w:r>
          </w:p>
        </w:tc>
        <w:tc>
          <w:tcPr>
            <w:tcW w:w="1037" w:type="dxa"/>
          </w:tcPr>
          <w:p w14:paraId="5F01745D">
            <w:pPr>
              <w:rPr>
                <w:rFonts w:hint="default"/>
                <w:color w:val="auto"/>
                <w:vertAlign w:val="baseline"/>
                <w:lang w:val="en-US" w:eastAsia="zh-CN"/>
              </w:rPr>
            </w:pPr>
            <w:r>
              <w:rPr>
                <w:rFonts w:hint="eastAsia"/>
                <w:color w:val="auto"/>
                <w:vertAlign w:val="baseline"/>
                <w:lang w:val="en-US" w:eastAsia="zh-CN"/>
              </w:rPr>
              <w:t>2分</w:t>
            </w:r>
          </w:p>
        </w:tc>
      </w:tr>
      <w:tr w14:paraId="577A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C6DD3D6">
            <w:pPr>
              <w:rPr>
                <w:rFonts w:hint="default"/>
                <w:color w:val="auto"/>
                <w:vertAlign w:val="baseline"/>
                <w:lang w:val="en-US" w:eastAsia="zh-CN"/>
              </w:rPr>
            </w:pPr>
          </w:p>
        </w:tc>
        <w:tc>
          <w:tcPr>
            <w:tcW w:w="7900" w:type="dxa"/>
          </w:tcPr>
          <w:p w14:paraId="7C6DA315">
            <w:pPr>
              <w:rPr>
                <w:rFonts w:hint="default"/>
                <w:color w:val="auto"/>
                <w:vertAlign w:val="baseline"/>
                <w:lang w:val="en-US" w:eastAsia="zh-CN"/>
              </w:rPr>
            </w:pPr>
            <w:r>
              <w:rPr>
                <w:rFonts w:hint="eastAsia"/>
                <w:color w:val="auto"/>
                <w:vertAlign w:val="baseline"/>
                <w:lang w:val="en-US" w:eastAsia="zh-CN"/>
              </w:rPr>
              <w:t>在招标代理过程中，发现有违法违规行为未及时制止或未及时向本街道反映的</w:t>
            </w:r>
          </w:p>
        </w:tc>
        <w:tc>
          <w:tcPr>
            <w:tcW w:w="1037" w:type="dxa"/>
          </w:tcPr>
          <w:p w14:paraId="7C5F7790">
            <w:pPr>
              <w:rPr>
                <w:rFonts w:hint="default"/>
                <w:color w:val="auto"/>
                <w:vertAlign w:val="baseline"/>
                <w:lang w:val="en-US" w:eastAsia="zh-CN"/>
              </w:rPr>
            </w:pPr>
            <w:r>
              <w:rPr>
                <w:rFonts w:hint="eastAsia"/>
                <w:color w:val="auto"/>
                <w:vertAlign w:val="baseline"/>
                <w:lang w:val="en-US" w:eastAsia="zh-CN"/>
              </w:rPr>
              <w:t>5分</w:t>
            </w:r>
          </w:p>
        </w:tc>
      </w:tr>
      <w:tr w14:paraId="7D64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478272D1">
            <w:pPr>
              <w:rPr>
                <w:rFonts w:hint="default"/>
                <w:color w:val="auto"/>
                <w:vertAlign w:val="baseline"/>
                <w:lang w:val="en-US" w:eastAsia="zh-CN"/>
              </w:rPr>
            </w:pPr>
          </w:p>
        </w:tc>
        <w:tc>
          <w:tcPr>
            <w:tcW w:w="7900" w:type="dxa"/>
          </w:tcPr>
          <w:p w14:paraId="1AF1DCF9">
            <w:pPr>
              <w:rPr>
                <w:rFonts w:hint="default"/>
                <w:color w:val="auto"/>
                <w:vertAlign w:val="baseline"/>
                <w:lang w:val="en-US" w:eastAsia="zh-CN"/>
              </w:rPr>
            </w:pPr>
            <w:r>
              <w:rPr>
                <w:rFonts w:hint="eastAsia"/>
                <w:color w:val="auto"/>
                <w:vertAlign w:val="baseline"/>
                <w:lang w:val="en-US" w:eastAsia="zh-CN"/>
              </w:rPr>
              <w:t>与服务对象发生无理纠纷的</w:t>
            </w:r>
          </w:p>
        </w:tc>
        <w:tc>
          <w:tcPr>
            <w:tcW w:w="1037" w:type="dxa"/>
          </w:tcPr>
          <w:p w14:paraId="1D6FBA84">
            <w:pPr>
              <w:rPr>
                <w:rFonts w:hint="default"/>
                <w:color w:val="auto"/>
                <w:vertAlign w:val="baseline"/>
                <w:lang w:val="en-US" w:eastAsia="zh-CN"/>
              </w:rPr>
            </w:pPr>
            <w:r>
              <w:rPr>
                <w:rFonts w:hint="eastAsia"/>
                <w:color w:val="auto"/>
                <w:vertAlign w:val="baseline"/>
                <w:lang w:val="en-US" w:eastAsia="zh-CN"/>
              </w:rPr>
              <w:t>5分</w:t>
            </w:r>
          </w:p>
        </w:tc>
      </w:tr>
      <w:tr w14:paraId="6A61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59CE778">
            <w:pPr>
              <w:rPr>
                <w:rFonts w:hint="default"/>
                <w:color w:val="auto"/>
                <w:vertAlign w:val="baseline"/>
                <w:lang w:val="en-US" w:eastAsia="zh-CN"/>
              </w:rPr>
            </w:pPr>
          </w:p>
        </w:tc>
        <w:tc>
          <w:tcPr>
            <w:tcW w:w="7900" w:type="dxa"/>
          </w:tcPr>
          <w:p w14:paraId="1B6896BD">
            <w:pPr>
              <w:rPr>
                <w:rFonts w:hint="default"/>
                <w:color w:val="auto"/>
                <w:vertAlign w:val="baseline"/>
                <w:lang w:val="en-US" w:eastAsia="zh-CN"/>
              </w:rPr>
            </w:pPr>
            <w:r>
              <w:rPr>
                <w:rFonts w:hint="eastAsia"/>
                <w:color w:val="auto"/>
                <w:vertAlign w:val="baseline"/>
                <w:lang w:val="en-US" w:eastAsia="zh-CN"/>
              </w:rPr>
              <w:t>未及时响应采购人的咨询和要求</w:t>
            </w:r>
          </w:p>
        </w:tc>
        <w:tc>
          <w:tcPr>
            <w:tcW w:w="1037" w:type="dxa"/>
          </w:tcPr>
          <w:p w14:paraId="21B327A5">
            <w:pPr>
              <w:rPr>
                <w:rFonts w:hint="default"/>
                <w:color w:val="auto"/>
                <w:vertAlign w:val="baseline"/>
                <w:lang w:val="en-US" w:eastAsia="zh-CN"/>
              </w:rPr>
            </w:pPr>
            <w:r>
              <w:rPr>
                <w:rFonts w:hint="eastAsia"/>
                <w:color w:val="auto"/>
                <w:vertAlign w:val="baseline"/>
                <w:lang w:val="en-US" w:eastAsia="zh-CN"/>
              </w:rPr>
              <w:t>3分</w:t>
            </w:r>
          </w:p>
        </w:tc>
      </w:tr>
      <w:tr w14:paraId="37B5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BA20E34">
            <w:pPr>
              <w:rPr>
                <w:rFonts w:hint="default"/>
                <w:color w:val="auto"/>
                <w:vertAlign w:val="baseline"/>
                <w:lang w:val="en-US" w:eastAsia="zh-CN"/>
              </w:rPr>
            </w:pPr>
          </w:p>
        </w:tc>
        <w:tc>
          <w:tcPr>
            <w:tcW w:w="7900" w:type="dxa"/>
          </w:tcPr>
          <w:p w14:paraId="4A591466">
            <w:pPr>
              <w:rPr>
                <w:rFonts w:hint="default"/>
                <w:color w:val="auto"/>
                <w:vertAlign w:val="baseline"/>
                <w:lang w:val="en-US" w:eastAsia="zh-CN"/>
              </w:rPr>
            </w:pPr>
            <w:r>
              <w:rPr>
                <w:rFonts w:hint="eastAsia"/>
                <w:color w:val="auto"/>
                <w:vertAlign w:val="baseline"/>
                <w:lang w:val="en-US" w:eastAsia="zh-CN"/>
              </w:rPr>
              <w:t>未按规定收取代理服务费</w:t>
            </w:r>
          </w:p>
        </w:tc>
        <w:tc>
          <w:tcPr>
            <w:tcW w:w="1037" w:type="dxa"/>
          </w:tcPr>
          <w:p w14:paraId="0B40C34B">
            <w:pPr>
              <w:rPr>
                <w:rFonts w:hint="default"/>
                <w:color w:val="auto"/>
                <w:vertAlign w:val="baseline"/>
                <w:lang w:val="en-US" w:eastAsia="zh-CN"/>
              </w:rPr>
            </w:pPr>
            <w:r>
              <w:rPr>
                <w:rFonts w:hint="eastAsia"/>
                <w:color w:val="auto"/>
                <w:vertAlign w:val="baseline"/>
                <w:lang w:val="en-US" w:eastAsia="zh-CN"/>
              </w:rPr>
              <w:t>3分</w:t>
            </w:r>
          </w:p>
        </w:tc>
      </w:tr>
      <w:tr w14:paraId="4BD5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4ED48AB2">
            <w:pPr>
              <w:rPr>
                <w:rFonts w:hint="default"/>
                <w:color w:val="auto"/>
                <w:vertAlign w:val="baseline"/>
                <w:lang w:val="en-US" w:eastAsia="zh-CN"/>
              </w:rPr>
            </w:pPr>
          </w:p>
        </w:tc>
        <w:tc>
          <w:tcPr>
            <w:tcW w:w="7900" w:type="dxa"/>
          </w:tcPr>
          <w:p w14:paraId="127235BD">
            <w:pPr>
              <w:rPr>
                <w:rFonts w:hint="default"/>
                <w:color w:val="auto"/>
                <w:vertAlign w:val="baseline"/>
                <w:lang w:val="en-US" w:eastAsia="zh-CN"/>
              </w:rPr>
            </w:pPr>
            <w:r>
              <w:rPr>
                <w:rFonts w:hint="eastAsia"/>
                <w:color w:val="auto"/>
                <w:vertAlign w:val="baseline"/>
                <w:lang w:val="en-US" w:eastAsia="zh-CN"/>
              </w:rPr>
              <w:t>违反法律法规的其他情形，视情节严重程度，酌情扣分</w:t>
            </w:r>
          </w:p>
        </w:tc>
        <w:tc>
          <w:tcPr>
            <w:tcW w:w="1037" w:type="dxa"/>
          </w:tcPr>
          <w:p w14:paraId="74856B69">
            <w:pPr>
              <w:rPr>
                <w:rFonts w:hint="default"/>
                <w:color w:val="auto"/>
                <w:vertAlign w:val="baseline"/>
                <w:lang w:val="en-US" w:eastAsia="zh-CN"/>
              </w:rPr>
            </w:pPr>
            <w:r>
              <w:rPr>
                <w:rFonts w:hint="eastAsia"/>
                <w:color w:val="auto"/>
                <w:vertAlign w:val="baseline"/>
                <w:lang w:val="en-US" w:eastAsia="zh-CN"/>
              </w:rPr>
              <w:t>按实扣分</w:t>
            </w:r>
          </w:p>
        </w:tc>
      </w:tr>
    </w:tbl>
    <w:p w14:paraId="3FB7AF00">
      <w:pPr>
        <w:rPr>
          <w:rFonts w:hint="eastAsia" w:ascii="黑体" w:hAnsi="黑体" w:eastAsia="黑体" w:cs="黑体"/>
          <w:b/>
          <w:bCs/>
          <w:color w:val="auto"/>
          <w:sz w:val="32"/>
          <w:szCs w:val="32"/>
          <w:vertAlign w:val="baseline"/>
          <w:lang w:val="en-US" w:eastAsia="zh-CN"/>
        </w:rPr>
      </w:pPr>
      <w:r>
        <w:rPr>
          <w:rFonts w:hint="eastAsia" w:ascii="黑体" w:hAnsi="黑体" w:eastAsia="黑体" w:cs="黑体"/>
          <w:b/>
          <w:bCs/>
          <w:color w:val="auto"/>
          <w:sz w:val="32"/>
          <w:szCs w:val="32"/>
          <w:vertAlign w:val="baseline"/>
          <w:lang w:val="en-US" w:eastAsia="zh-CN"/>
        </w:rPr>
        <w:br w:type="page"/>
      </w:r>
    </w:p>
    <w:p w14:paraId="35147E69">
      <w:pPr>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vertAlign w:val="baseline"/>
          <w:lang w:val="en-US" w:eastAsia="zh-CN"/>
        </w:rPr>
        <w:t>第三方服务单位考核表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6781"/>
        <w:gridCol w:w="1901"/>
      </w:tblGrid>
      <w:tr w14:paraId="61E6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500" w:type="dxa"/>
            <w:gridSpan w:val="3"/>
            <w:vAlign w:val="center"/>
          </w:tcPr>
          <w:p w14:paraId="657499C5">
            <w:pP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第三方服务单位：</w:t>
            </w:r>
          </w:p>
          <w:p w14:paraId="6B9C66F6">
            <w:pPr>
              <w:rPr>
                <w:rFonts w:hint="default" w:ascii="宋体" w:hAnsi="宋体" w:eastAsia="宋体" w:cs="宋体"/>
                <w:b/>
                <w:bCs/>
                <w:color w:val="auto"/>
                <w:sz w:val="28"/>
                <w:szCs w:val="36"/>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联系人及电话：</w:t>
            </w:r>
          </w:p>
        </w:tc>
      </w:tr>
      <w:tr w14:paraId="38CC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500" w:type="dxa"/>
            <w:gridSpan w:val="3"/>
            <w:vAlign w:val="center"/>
          </w:tcPr>
          <w:p w14:paraId="649584C0">
            <w:pPr>
              <w:rPr>
                <w:rFonts w:hint="default" w:ascii="宋体" w:hAnsi="宋体" w:eastAsia="宋体" w:cs="宋体"/>
                <w:b/>
                <w:bCs/>
                <w:color w:val="auto"/>
                <w:sz w:val="28"/>
                <w:szCs w:val="36"/>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考核单位（盖章）：</w:t>
            </w:r>
          </w:p>
        </w:tc>
      </w:tr>
      <w:tr w14:paraId="2199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18" w:type="dxa"/>
            <w:tcBorders>
              <w:right w:val="single" w:color="000000" w:sz="4" w:space="0"/>
            </w:tcBorders>
            <w:vAlign w:val="center"/>
          </w:tcPr>
          <w:p w14:paraId="211E5A25">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序号</w:t>
            </w:r>
          </w:p>
        </w:tc>
        <w:tc>
          <w:tcPr>
            <w:tcW w:w="6781" w:type="dxa"/>
            <w:tcBorders>
              <w:left w:val="single" w:color="000000" w:sz="4" w:space="0"/>
            </w:tcBorders>
            <w:vAlign w:val="center"/>
          </w:tcPr>
          <w:p w14:paraId="6328673A">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扣分项</w:t>
            </w:r>
          </w:p>
        </w:tc>
        <w:tc>
          <w:tcPr>
            <w:tcW w:w="1901" w:type="dxa"/>
            <w:vAlign w:val="center"/>
          </w:tcPr>
          <w:p w14:paraId="70F040F5">
            <w:pPr>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扣分值</w:t>
            </w:r>
          </w:p>
        </w:tc>
      </w:tr>
      <w:tr w14:paraId="5A5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18" w:type="dxa"/>
            <w:tcBorders>
              <w:right w:val="single" w:color="000000" w:sz="4" w:space="0"/>
            </w:tcBorders>
            <w:vAlign w:val="center"/>
          </w:tcPr>
          <w:p w14:paraId="36E8A037">
            <w:pPr>
              <w:jc w:val="center"/>
              <w:rPr>
                <w:rFonts w:hint="eastAsia" w:ascii="仿宋" w:hAnsi="仿宋" w:eastAsia="仿宋" w:cs="仿宋"/>
                <w:b w:val="0"/>
                <w:bCs w:val="0"/>
                <w:color w:val="auto"/>
                <w:sz w:val="24"/>
                <w:szCs w:val="24"/>
                <w:vertAlign w:val="baseline"/>
                <w:lang w:val="en-US" w:eastAsia="zh-CN"/>
              </w:rPr>
            </w:pPr>
          </w:p>
        </w:tc>
        <w:tc>
          <w:tcPr>
            <w:tcW w:w="6781" w:type="dxa"/>
            <w:tcBorders>
              <w:left w:val="single" w:color="000000" w:sz="4" w:space="0"/>
            </w:tcBorders>
            <w:vAlign w:val="center"/>
          </w:tcPr>
          <w:p w14:paraId="0442C472">
            <w:pPr>
              <w:jc w:val="center"/>
              <w:rPr>
                <w:rFonts w:hint="default" w:ascii="仿宋" w:hAnsi="仿宋" w:eastAsia="仿宋" w:cs="仿宋"/>
                <w:b w:val="0"/>
                <w:bCs w:val="0"/>
                <w:color w:val="auto"/>
                <w:sz w:val="24"/>
                <w:szCs w:val="24"/>
                <w:vertAlign w:val="baseline"/>
                <w:lang w:val="en-US" w:eastAsia="zh-CN"/>
              </w:rPr>
            </w:pPr>
          </w:p>
        </w:tc>
        <w:tc>
          <w:tcPr>
            <w:tcW w:w="1901" w:type="dxa"/>
            <w:vAlign w:val="center"/>
          </w:tcPr>
          <w:p w14:paraId="57A7B5E3">
            <w:pPr>
              <w:jc w:val="center"/>
              <w:rPr>
                <w:rFonts w:hint="eastAsia" w:ascii="仿宋" w:hAnsi="仿宋" w:eastAsia="仿宋" w:cs="仿宋"/>
                <w:b w:val="0"/>
                <w:bCs w:val="0"/>
                <w:color w:val="auto"/>
                <w:sz w:val="24"/>
                <w:szCs w:val="24"/>
                <w:vertAlign w:val="baseline"/>
                <w:lang w:val="en-US" w:eastAsia="zh-CN"/>
              </w:rPr>
            </w:pPr>
          </w:p>
        </w:tc>
      </w:tr>
      <w:tr w14:paraId="413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18" w:type="dxa"/>
            <w:tcBorders>
              <w:right w:val="single" w:color="000000" w:sz="4" w:space="0"/>
            </w:tcBorders>
            <w:vAlign w:val="center"/>
          </w:tcPr>
          <w:p w14:paraId="3E094E77">
            <w:pPr>
              <w:jc w:val="center"/>
              <w:rPr>
                <w:rFonts w:hint="eastAsia" w:ascii="仿宋" w:hAnsi="仿宋" w:eastAsia="仿宋" w:cs="仿宋"/>
                <w:b w:val="0"/>
                <w:bCs w:val="0"/>
                <w:color w:val="auto"/>
                <w:sz w:val="24"/>
                <w:szCs w:val="24"/>
                <w:vertAlign w:val="baseline"/>
                <w:lang w:val="en-US" w:eastAsia="zh-CN"/>
              </w:rPr>
            </w:pPr>
          </w:p>
        </w:tc>
        <w:tc>
          <w:tcPr>
            <w:tcW w:w="6781" w:type="dxa"/>
            <w:tcBorders>
              <w:left w:val="single" w:color="000000" w:sz="4" w:space="0"/>
            </w:tcBorders>
            <w:vAlign w:val="center"/>
          </w:tcPr>
          <w:p w14:paraId="49D15AD7">
            <w:pPr>
              <w:jc w:val="center"/>
              <w:rPr>
                <w:rFonts w:hint="default" w:ascii="仿宋" w:hAnsi="仿宋" w:eastAsia="仿宋" w:cs="仿宋"/>
                <w:b w:val="0"/>
                <w:bCs w:val="0"/>
                <w:color w:val="auto"/>
                <w:sz w:val="24"/>
                <w:szCs w:val="24"/>
                <w:vertAlign w:val="baseline"/>
                <w:lang w:val="en-US" w:eastAsia="zh-CN"/>
              </w:rPr>
            </w:pPr>
          </w:p>
        </w:tc>
        <w:tc>
          <w:tcPr>
            <w:tcW w:w="1901" w:type="dxa"/>
            <w:vAlign w:val="center"/>
          </w:tcPr>
          <w:p w14:paraId="26EA9D56">
            <w:pPr>
              <w:jc w:val="center"/>
              <w:rPr>
                <w:rFonts w:hint="eastAsia" w:ascii="仿宋" w:hAnsi="仿宋" w:eastAsia="仿宋" w:cs="仿宋"/>
                <w:b w:val="0"/>
                <w:bCs w:val="0"/>
                <w:color w:val="auto"/>
                <w:sz w:val="24"/>
                <w:szCs w:val="24"/>
                <w:vertAlign w:val="baseline"/>
                <w:lang w:val="en-US" w:eastAsia="zh-CN"/>
              </w:rPr>
            </w:pPr>
          </w:p>
        </w:tc>
      </w:tr>
      <w:tr w14:paraId="1D56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18" w:type="dxa"/>
            <w:tcBorders>
              <w:right w:val="single" w:color="000000" w:sz="4" w:space="0"/>
            </w:tcBorders>
            <w:vAlign w:val="center"/>
          </w:tcPr>
          <w:p w14:paraId="094F1F99">
            <w:pPr>
              <w:jc w:val="center"/>
              <w:rPr>
                <w:rFonts w:hint="eastAsia" w:ascii="仿宋" w:hAnsi="仿宋" w:eastAsia="仿宋" w:cs="仿宋"/>
                <w:b w:val="0"/>
                <w:bCs w:val="0"/>
                <w:color w:val="auto"/>
                <w:sz w:val="24"/>
                <w:szCs w:val="24"/>
                <w:vertAlign w:val="baseline"/>
                <w:lang w:val="en-US" w:eastAsia="zh-CN"/>
              </w:rPr>
            </w:pPr>
          </w:p>
        </w:tc>
        <w:tc>
          <w:tcPr>
            <w:tcW w:w="6781" w:type="dxa"/>
            <w:tcBorders>
              <w:left w:val="single" w:color="000000" w:sz="4" w:space="0"/>
            </w:tcBorders>
            <w:vAlign w:val="center"/>
          </w:tcPr>
          <w:p w14:paraId="1EC97E2E">
            <w:pPr>
              <w:jc w:val="center"/>
              <w:rPr>
                <w:rFonts w:hint="default" w:ascii="仿宋" w:hAnsi="仿宋" w:eastAsia="仿宋" w:cs="仿宋"/>
                <w:b w:val="0"/>
                <w:bCs w:val="0"/>
                <w:color w:val="auto"/>
                <w:sz w:val="24"/>
                <w:szCs w:val="24"/>
                <w:vertAlign w:val="baseline"/>
                <w:lang w:val="en-US" w:eastAsia="zh-CN"/>
              </w:rPr>
            </w:pPr>
          </w:p>
        </w:tc>
        <w:tc>
          <w:tcPr>
            <w:tcW w:w="1901" w:type="dxa"/>
            <w:vAlign w:val="center"/>
          </w:tcPr>
          <w:p w14:paraId="4ED2A1C7">
            <w:pPr>
              <w:jc w:val="center"/>
              <w:rPr>
                <w:rFonts w:hint="eastAsia" w:ascii="仿宋" w:hAnsi="仿宋" w:eastAsia="仿宋" w:cs="仿宋"/>
                <w:b w:val="0"/>
                <w:bCs w:val="0"/>
                <w:color w:val="auto"/>
                <w:sz w:val="24"/>
                <w:szCs w:val="24"/>
                <w:vertAlign w:val="baseline"/>
                <w:lang w:val="en-US" w:eastAsia="zh-CN"/>
              </w:rPr>
            </w:pPr>
          </w:p>
        </w:tc>
      </w:tr>
      <w:tr w14:paraId="7484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18" w:type="dxa"/>
            <w:tcBorders>
              <w:right w:val="single" w:color="000000" w:sz="4" w:space="0"/>
            </w:tcBorders>
            <w:vAlign w:val="center"/>
          </w:tcPr>
          <w:p w14:paraId="54317016">
            <w:pPr>
              <w:jc w:val="center"/>
              <w:rPr>
                <w:rFonts w:hint="eastAsia" w:ascii="仿宋" w:hAnsi="仿宋" w:eastAsia="仿宋" w:cs="仿宋"/>
                <w:b w:val="0"/>
                <w:bCs w:val="0"/>
                <w:color w:val="auto"/>
                <w:sz w:val="24"/>
                <w:szCs w:val="24"/>
                <w:vertAlign w:val="baseline"/>
                <w:lang w:val="en-US" w:eastAsia="zh-CN"/>
              </w:rPr>
            </w:pPr>
          </w:p>
        </w:tc>
        <w:tc>
          <w:tcPr>
            <w:tcW w:w="6781" w:type="dxa"/>
            <w:tcBorders>
              <w:left w:val="single" w:color="000000" w:sz="4" w:space="0"/>
            </w:tcBorders>
            <w:vAlign w:val="center"/>
          </w:tcPr>
          <w:p w14:paraId="04122215">
            <w:pPr>
              <w:jc w:val="center"/>
              <w:rPr>
                <w:rFonts w:hint="default" w:ascii="仿宋" w:hAnsi="仿宋" w:eastAsia="仿宋" w:cs="仿宋"/>
                <w:b w:val="0"/>
                <w:bCs w:val="0"/>
                <w:color w:val="auto"/>
                <w:sz w:val="24"/>
                <w:szCs w:val="24"/>
                <w:vertAlign w:val="baseline"/>
                <w:lang w:val="en-US" w:eastAsia="zh-CN"/>
              </w:rPr>
            </w:pPr>
          </w:p>
        </w:tc>
        <w:tc>
          <w:tcPr>
            <w:tcW w:w="1901" w:type="dxa"/>
            <w:vAlign w:val="center"/>
          </w:tcPr>
          <w:p w14:paraId="26C52C77">
            <w:pPr>
              <w:jc w:val="center"/>
              <w:rPr>
                <w:rFonts w:hint="eastAsia" w:ascii="仿宋" w:hAnsi="仿宋" w:eastAsia="仿宋" w:cs="仿宋"/>
                <w:b w:val="0"/>
                <w:bCs w:val="0"/>
                <w:color w:val="auto"/>
                <w:sz w:val="24"/>
                <w:szCs w:val="24"/>
                <w:vertAlign w:val="baseline"/>
                <w:lang w:val="en-US" w:eastAsia="zh-CN"/>
              </w:rPr>
            </w:pPr>
          </w:p>
        </w:tc>
      </w:tr>
      <w:tr w14:paraId="1C45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18" w:type="dxa"/>
            <w:tcBorders>
              <w:right w:val="single" w:color="000000" w:sz="4" w:space="0"/>
            </w:tcBorders>
            <w:vAlign w:val="center"/>
          </w:tcPr>
          <w:p w14:paraId="2C0F2C71">
            <w:pPr>
              <w:jc w:val="center"/>
              <w:rPr>
                <w:rFonts w:hint="eastAsia" w:ascii="仿宋" w:hAnsi="仿宋" w:eastAsia="仿宋" w:cs="仿宋"/>
                <w:b w:val="0"/>
                <w:bCs w:val="0"/>
                <w:color w:val="auto"/>
                <w:sz w:val="24"/>
                <w:szCs w:val="24"/>
                <w:vertAlign w:val="baseline"/>
                <w:lang w:val="en-US" w:eastAsia="zh-CN"/>
              </w:rPr>
            </w:pPr>
          </w:p>
        </w:tc>
        <w:tc>
          <w:tcPr>
            <w:tcW w:w="6781" w:type="dxa"/>
            <w:tcBorders>
              <w:left w:val="single" w:color="000000" w:sz="4" w:space="0"/>
            </w:tcBorders>
            <w:vAlign w:val="center"/>
          </w:tcPr>
          <w:p w14:paraId="07A8D0CB">
            <w:pPr>
              <w:jc w:val="center"/>
              <w:rPr>
                <w:rFonts w:hint="default" w:ascii="仿宋" w:hAnsi="仿宋" w:eastAsia="仿宋" w:cs="仿宋"/>
                <w:b w:val="0"/>
                <w:bCs w:val="0"/>
                <w:color w:val="auto"/>
                <w:sz w:val="24"/>
                <w:szCs w:val="24"/>
                <w:vertAlign w:val="baseline"/>
                <w:lang w:val="en-US" w:eastAsia="zh-CN"/>
              </w:rPr>
            </w:pPr>
          </w:p>
        </w:tc>
        <w:tc>
          <w:tcPr>
            <w:tcW w:w="1901" w:type="dxa"/>
            <w:vAlign w:val="center"/>
          </w:tcPr>
          <w:p w14:paraId="1FFE86C1">
            <w:pPr>
              <w:jc w:val="center"/>
              <w:rPr>
                <w:rFonts w:hint="eastAsia" w:ascii="仿宋" w:hAnsi="仿宋" w:eastAsia="仿宋" w:cs="仿宋"/>
                <w:b w:val="0"/>
                <w:bCs w:val="0"/>
                <w:color w:val="auto"/>
                <w:sz w:val="24"/>
                <w:szCs w:val="24"/>
                <w:vertAlign w:val="baseline"/>
                <w:lang w:val="en-US" w:eastAsia="zh-CN"/>
              </w:rPr>
            </w:pPr>
          </w:p>
        </w:tc>
      </w:tr>
      <w:tr w14:paraId="2BC9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18" w:type="dxa"/>
            <w:tcBorders>
              <w:right w:val="single" w:color="000000" w:sz="4" w:space="0"/>
            </w:tcBorders>
            <w:vAlign w:val="center"/>
          </w:tcPr>
          <w:p w14:paraId="3AB203DA">
            <w:pPr>
              <w:jc w:val="center"/>
              <w:rPr>
                <w:rFonts w:hint="eastAsia" w:ascii="仿宋" w:hAnsi="仿宋" w:eastAsia="仿宋" w:cs="仿宋"/>
                <w:b w:val="0"/>
                <w:bCs w:val="0"/>
                <w:color w:val="auto"/>
                <w:sz w:val="24"/>
                <w:szCs w:val="24"/>
                <w:vertAlign w:val="baseline"/>
                <w:lang w:val="en-US" w:eastAsia="zh-CN"/>
              </w:rPr>
            </w:pPr>
          </w:p>
        </w:tc>
        <w:tc>
          <w:tcPr>
            <w:tcW w:w="6781" w:type="dxa"/>
            <w:tcBorders>
              <w:left w:val="single" w:color="000000" w:sz="4" w:space="0"/>
            </w:tcBorders>
            <w:vAlign w:val="center"/>
          </w:tcPr>
          <w:p w14:paraId="7FB938C0">
            <w:pPr>
              <w:jc w:val="center"/>
              <w:rPr>
                <w:rFonts w:hint="default" w:ascii="仿宋" w:hAnsi="仿宋" w:eastAsia="仿宋" w:cs="仿宋"/>
                <w:b w:val="0"/>
                <w:bCs w:val="0"/>
                <w:color w:val="auto"/>
                <w:sz w:val="24"/>
                <w:szCs w:val="24"/>
                <w:vertAlign w:val="baseline"/>
                <w:lang w:val="en-US" w:eastAsia="zh-CN"/>
              </w:rPr>
            </w:pPr>
          </w:p>
        </w:tc>
        <w:tc>
          <w:tcPr>
            <w:tcW w:w="1901" w:type="dxa"/>
            <w:vAlign w:val="center"/>
          </w:tcPr>
          <w:p w14:paraId="0B2A34A5">
            <w:pPr>
              <w:jc w:val="center"/>
              <w:rPr>
                <w:rFonts w:hint="eastAsia" w:ascii="仿宋" w:hAnsi="仿宋" w:eastAsia="仿宋" w:cs="仿宋"/>
                <w:b w:val="0"/>
                <w:bCs w:val="0"/>
                <w:color w:val="auto"/>
                <w:sz w:val="24"/>
                <w:szCs w:val="24"/>
                <w:vertAlign w:val="baseline"/>
                <w:lang w:val="en-US" w:eastAsia="zh-CN"/>
              </w:rPr>
            </w:pPr>
          </w:p>
        </w:tc>
      </w:tr>
      <w:tr w14:paraId="7E0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18" w:type="dxa"/>
            <w:tcBorders>
              <w:right w:val="single" w:color="000000" w:sz="4" w:space="0"/>
            </w:tcBorders>
            <w:vAlign w:val="center"/>
          </w:tcPr>
          <w:p w14:paraId="76634A48">
            <w:pPr>
              <w:jc w:val="center"/>
              <w:rPr>
                <w:rFonts w:hint="eastAsia" w:ascii="仿宋" w:hAnsi="仿宋" w:eastAsia="仿宋" w:cs="仿宋"/>
                <w:b w:val="0"/>
                <w:bCs w:val="0"/>
                <w:color w:val="auto"/>
                <w:sz w:val="24"/>
                <w:szCs w:val="24"/>
                <w:vertAlign w:val="baseline"/>
                <w:lang w:val="en-US" w:eastAsia="zh-CN"/>
              </w:rPr>
            </w:pPr>
          </w:p>
        </w:tc>
        <w:tc>
          <w:tcPr>
            <w:tcW w:w="6781" w:type="dxa"/>
            <w:tcBorders>
              <w:left w:val="single" w:color="000000" w:sz="4" w:space="0"/>
            </w:tcBorders>
            <w:vAlign w:val="center"/>
          </w:tcPr>
          <w:p w14:paraId="227BCE94">
            <w:pPr>
              <w:jc w:val="center"/>
              <w:rPr>
                <w:rFonts w:hint="default" w:ascii="仿宋" w:hAnsi="仿宋" w:eastAsia="仿宋" w:cs="仿宋"/>
                <w:b w:val="0"/>
                <w:bCs w:val="0"/>
                <w:color w:val="auto"/>
                <w:sz w:val="24"/>
                <w:szCs w:val="24"/>
                <w:vertAlign w:val="baseline"/>
                <w:lang w:val="en-US" w:eastAsia="zh-CN"/>
              </w:rPr>
            </w:pPr>
          </w:p>
        </w:tc>
        <w:tc>
          <w:tcPr>
            <w:tcW w:w="1901" w:type="dxa"/>
            <w:vAlign w:val="center"/>
          </w:tcPr>
          <w:p w14:paraId="66F99C89">
            <w:pPr>
              <w:jc w:val="center"/>
              <w:rPr>
                <w:rFonts w:hint="eastAsia" w:ascii="仿宋" w:hAnsi="仿宋" w:eastAsia="仿宋" w:cs="仿宋"/>
                <w:b w:val="0"/>
                <w:bCs w:val="0"/>
                <w:color w:val="auto"/>
                <w:sz w:val="24"/>
                <w:szCs w:val="24"/>
                <w:vertAlign w:val="baseline"/>
                <w:lang w:val="en-US" w:eastAsia="zh-CN"/>
              </w:rPr>
            </w:pPr>
          </w:p>
        </w:tc>
      </w:tr>
      <w:tr w14:paraId="2353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599" w:type="dxa"/>
            <w:gridSpan w:val="2"/>
            <w:vAlign w:val="center"/>
          </w:tcPr>
          <w:p w14:paraId="5831554F">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合计扣分</w:t>
            </w:r>
          </w:p>
        </w:tc>
        <w:tc>
          <w:tcPr>
            <w:tcW w:w="1901" w:type="dxa"/>
            <w:vAlign w:val="center"/>
          </w:tcPr>
          <w:p w14:paraId="558F08AA">
            <w:pPr>
              <w:jc w:val="center"/>
              <w:rPr>
                <w:rFonts w:hint="eastAsia" w:ascii="仿宋" w:hAnsi="仿宋" w:eastAsia="仿宋" w:cs="仿宋"/>
                <w:b w:val="0"/>
                <w:bCs w:val="0"/>
                <w:color w:val="auto"/>
                <w:sz w:val="24"/>
                <w:szCs w:val="24"/>
                <w:vertAlign w:val="baseline"/>
                <w:lang w:val="en-US" w:eastAsia="zh-CN"/>
              </w:rPr>
            </w:pPr>
          </w:p>
        </w:tc>
      </w:tr>
      <w:tr w14:paraId="07F3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9500" w:type="dxa"/>
            <w:gridSpan w:val="3"/>
          </w:tcPr>
          <w:p w14:paraId="646921F9">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考核人员签字：</w:t>
            </w:r>
          </w:p>
        </w:tc>
      </w:tr>
    </w:tbl>
    <w:p w14:paraId="3BC62E4B">
      <w:pPr>
        <w:rPr>
          <w:rFonts w:ascii="宋体" w:hAnsi="宋体" w:cs="宋体"/>
          <w:color w:val="auto"/>
          <w:sz w:val="32"/>
        </w:rPr>
      </w:pPr>
    </w:p>
    <w:p w14:paraId="1F5AF761">
      <w:pPr>
        <w:jc w:val="center"/>
        <w:rPr>
          <w:rFonts w:ascii="宋体" w:hAnsi="宋体" w:cs="宋体"/>
          <w:b/>
          <w:bCs/>
          <w:color w:val="auto"/>
          <w:sz w:val="44"/>
        </w:rPr>
      </w:pPr>
      <w:r>
        <w:rPr>
          <w:rFonts w:hint="eastAsia" w:ascii="宋体" w:hAnsi="宋体" w:cs="宋体"/>
          <w:color w:val="auto"/>
          <w:sz w:val="32"/>
        </w:rPr>
        <w:br w:type="page"/>
      </w:r>
      <w:r>
        <w:rPr>
          <w:rFonts w:hint="eastAsia" w:ascii="宋体" w:hAnsi="宋体" w:cs="宋体"/>
          <w:color w:val="auto"/>
          <w:sz w:val="44"/>
        </w:rPr>
        <w:t xml:space="preserve"> </w:t>
      </w:r>
      <w:r>
        <w:rPr>
          <w:rFonts w:hint="eastAsia" w:ascii="宋体" w:hAnsi="宋体" w:cs="宋体"/>
          <w:b/>
          <w:bCs/>
          <w:color w:val="auto"/>
          <w:sz w:val="44"/>
        </w:rPr>
        <w:t>第四章 投标文件内容及附件</w:t>
      </w:r>
    </w:p>
    <w:p w14:paraId="22F7C4E5">
      <w:pPr>
        <w:jc w:val="center"/>
        <w:rPr>
          <w:rFonts w:ascii="宋体" w:hAnsi="宋体" w:cs="宋体"/>
          <w:b/>
          <w:bCs/>
          <w:color w:val="auto"/>
          <w:sz w:val="32"/>
        </w:rPr>
      </w:pPr>
    </w:p>
    <w:p w14:paraId="03DCE5FA">
      <w:pPr>
        <w:widowControl/>
        <w:tabs>
          <w:tab w:val="left" w:pos="450"/>
          <w:tab w:val="left" w:pos="2520"/>
          <w:tab w:val="left" w:pos="8280"/>
        </w:tabs>
        <w:spacing w:line="360" w:lineRule="auto"/>
        <w:ind w:firstLine="480"/>
        <w:jc w:val="center"/>
        <w:rPr>
          <w:rFonts w:ascii="宋体" w:hAnsi="宋体" w:cs="宋体"/>
          <w:b/>
          <w:bCs/>
          <w:color w:val="auto"/>
          <w:sz w:val="32"/>
          <w:szCs w:val="32"/>
        </w:rPr>
      </w:pPr>
      <w:r>
        <w:rPr>
          <w:rFonts w:hint="eastAsia" w:ascii="宋体" w:hAnsi="宋体" w:cs="宋体"/>
          <w:b/>
          <w:bCs/>
          <w:color w:val="auto"/>
          <w:sz w:val="32"/>
          <w:szCs w:val="32"/>
        </w:rPr>
        <w:t>一、外包装封面格式</w:t>
      </w:r>
    </w:p>
    <w:p w14:paraId="6EA66216">
      <w:pPr>
        <w:widowControl/>
        <w:tabs>
          <w:tab w:val="left" w:pos="8280"/>
        </w:tabs>
        <w:spacing w:line="360" w:lineRule="auto"/>
        <w:ind w:firstLine="480"/>
        <w:jc w:val="center"/>
        <w:rPr>
          <w:rFonts w:ascii="宋体" w:hAnsi="宋体" w:cs="宋体"/>
          <w:b/>
          <w:bCs/>
          <w:color w:val="auto"/>
          <w:sz w:val="32"/>
          <w:szCs w:val="32"/>
        </w:rPr>
      </w:pPr>
    </w:p>
    <w:p w14:paraId="327E7FE8">
      <w:pPr>
        <w:widowControl/>
        <w:tabs>
          <w:tab w:val="left" w:pos="8280"/>
        </w:tabs>
        <w:spacing w:line="360" w:lineRule="auto"/>
        <w:ind w:firstLine="480"/>
        <w:jc w:val="center"/>
        <w:rPr>
          <w:rFonts w:ascii="宋体" w:hAnsi="宋体" w:cs="宋体"/>
          <w:b/>
          <w:bCs/>
          <w:color w:val="auto"/>
          <w:sz w:val="32"/>
          <w:szCs w:val="32"/>
        </w:rPr>
      </w:pPr>
      <w:r>
        <w:rPr>
          <w:rFonts w:hint="eastAsia" w:ascii="宋体" w:hAnsi="宋体" w:cs="宋体"/>
          <w:b/>
          <w:bCs/>
          <w:color w:val="auto"/>
          <w:sz w:val="32"/>
          <w:szCs w:val="32"/>
        </w:rPr>
        <w:t>投标文件</w:t>
      </w:r>
    </w:p>
    <w:p w14:paraId="7621F47A">
      <w:pPr>
        <w:widowControl/>
        <w:tabs>
          <w:tab w:val="left" w:pos="275"/>
          <w:tab w:val="left" w:pos="8280"/>
        </w:tabs>
        <w:spacing w:line="360" w:lineRule="auto"/>
        <w:ind w:firstLine="480"/>
        <w:jc w:val="left"/>
        <w:rPr>
          <w:rFonts w:ascii="宋体" w:hAnsi="宋体" w:cs="宋体"/>
          <w:b/>
          <w:color w:val="auto"/>
          <w:sz w:val="36"/>
          <w:szCs w:val="36"/>
        </w:rPr>
      </w:pPr>
      <w:r>
        <w:rPr>
          <w:rFonts w:hint="eastAsia" w:ascii="宋体" w:hAnsi="宋体" w:cs="宋体"/>
          <w:b/>
          <w:color w:val="auto"/>
          <w:sz w:val="36"/>
          <w:szCs w:val="36"/>
        </w:rPr>
        <w:tab/>
      </w:r>
    </w:p>
    <w:p w14:paraId="1042119D">
      <w:pPr>
        <w:widowControl/>
        <w:tabs>
          <w:tab w:val="left" w:pos="275"/>
          <w:tab w:val="left" w:pos="8280"/>
        </w:tabs>
        <w:spacing w:line="360" w:lineRule="auto"/>
        <w:jc w:val="left"/>
        <w:rPr>
          <w:rFonts w:ascii="宋体" w:hAnsi="宋体" w:cs="宋体"/>
          <w:b/>
          <w:color w:val="auto"/>
          <w:sz w:val="32"/>
          <w:szCs w:val="32"/>
          <w:u w:val="single"/>
        </w:rPr>
      </w:pPr>
      <w:r>
        <w:rPr>
          <w:rFonts w:hint="eastAsia" w:ascii="宋体" w:hAnsi="宋体" w:cs="宋体"/>
          <w:b/>
          <w:color w:val="auto"/>
          <w:sz w:val="32"/>
          <w:szCs w:val="32"/>
        </w:rPr>
        <w:t>项目名称：</w:t>
      </w:r>
      <w:r>
        <w:rPr>
          <w:rFonts w:hint="eastAsia" w:ascii="宋体" w:hAnsi="宋体" w:cs="宋体"/>
          <w:b/>
          <w:color w:val="auto"/>
          <w:sz w:val="32"/>
          <w:szCs w:val="32"/>
          <w:u w:val="single"/>
        </w:rPr>
        <w:t xml:space="preserve">                                      </w:t>
      </w:r>
    </w:p>
    <w:p w14:paraId="0F705F8D">
      <w:pPr>
        <w:widowControl/>
        <w:tabs>
          <w:tab w:val="left" w:pos="275"/>
          <w:tab w:val="left" w:pos="8280"/>
        </w:tabs>
        <w:spacing w:line="360" w:lineRule="auto"/>
        <w:ind w:firstLine="472" w:firstLineChars="147"/>
        <w:jc w:val="left"/>
        <w:rPr>
          <w:rFonts w:ascii="宋体" w:hAnsi="宋体" w:cs="宋体"/>
          <w:b/>
          <w:color w:val="auto"/>
          <w:sz w:val="32"/>
          <w:szCs w:val="32"/>
        </w:rPr>
      </w:pPr>
    </w:p>
    <w:p w14:paraId="48958B90">
      <w:pPr>
        <w:widowControl/>
        <w:tabs>
          <w:tab w:val="left" w:pos="275"/>
          <w:tab w:val="left" w:pos="8280"/>
        </w:tabs>
        <w:spacing w:line="360" w:lineRule="auto"/>
        <w:jc w:val="left"/>
        <w:rPr>
          <w:rFonts w:ascii="宋体" w:hAnsi="宋体" w:cs="宋体"/>
          <w:b/>
          <w:color w:val="auto"/>
          <w:sz w:val="36"/>
          <w:szCs w:val="36"/>
        </w:rPr>
      </w:pPr>
      <w:r>
        <w:rPr>
          <w:rFonts w:hint="eastAsia" w:ascii="宋体" w:hAnsi="宋体" w:cs="宋体"/>
          <w:b/>
          <w:color w:val="auto"/>
          <w:sz w:val="32"/>
          <w:szCs w:val="32"/>
        </w:rPr>
        <w:t>项目编号：</w:t>
      </w:r>
      <w:r>
        <w:rPr>
          <w:rFonts w:hint="eastAsia" w:ascii="宋体" w:hAnsi="宋体" w:cs="宋体"/>
          <w:b/>
          <w:color w:val="auto"/>
          <w:sz w:val="32"/>
          <w:szCs w:val="32"/>
          <w:u w:val="single"/>
        </w:rPr>
        <w:t xml:space="preserve">                                      </w:t>
      </w:r>
      <w:r>
        <w:rPr>
          <w:rFonts w:hint="eastAsia" w:ascii="宋体" w:hAnsi="宋体" w:cs="宋体"/>
          <w:b/>
          <w:color w:val="auto"/>
          <w:sz w:val="32"/>
          <w:szCs w:val="32"/>
        </w:rPr>
        <w:t xml:space="preserve">   </w:t>
      </w:r>
    </w:p>
    <w:p w14:paraId="441B02EA">
      <w:pPr>
        <w:widowControl/>
        <w:tabs>
          <w:tab w:val="left" w:pos="765"/>
          <w:tab w:val="left" w:pos="8280"/>
        </w:tabs>
        <w:spacing w:line="360" w:lineRule="auto"/>
        <w:ind w:firstLine="480"/>
        <w:jc w:val="left"/>
        <w:rPr>
          <w:rFonts w:ascii="宋体" w:hAnsi="宋体" w:cs="宋体"/>
          <w:b/>
          <w:color w:val="auto"/>
          <w:sz w:val="36"/>
          <w:szCs w:val="36"/>
        </w:rPr>
      </w:pPr>
      <w:r>
        <w:rPr>
          <w:rFonts w:hint="eastAsia" w:ascii="宋体" w:hAnsi="宋体" w:cs="宋体"/>
          <w:b/>
          <w:color w:val="auto"/>
          <w:sz w:val="36"/>
          <w:szCs w:val="36"/>
        </w:rPr>
        <w:tab/>
      </w:r>
    </w:p>
    <w:p w14:paraId="22058E39">
      <w:pPr>
        <w:widowControl/>
        <w:tabs>
          <w:tab w:val="left" w:pos="765"/>
          <w:tab w:val="left" w:pos="8280"/>
        </w:tabs>
        <w:spacing w:line="360" w:lineRule="auto"/>
        <w:jc w:val="left"/>
        <w:rPr>
          <w:rFonts w:ascii="宋体" w:hAnsi="宋体" w:cs="宋体"/>
          <w:b/>
          <w:color w:val="auto"/>
          <w:sz w:val="36"/>
          <w:szCs w:val="36"/>
          <w:u w:val="single"/>
        </w:rPr>
      </w:pPr>
      <w:r>
        <w:rPr>
          <w:rFonts w:hint="eastAsia" w:ascii="宋体" w:hAnsi="宋体" w:cs="宋体"/>
          <w:b/>
          <w:color w:val="auto"/>
          <w:sz w:val="32"/>
          <w:szCs w:val="32"/>
        </w:rPr>
        <w:t>入围响应人：</w:t>
      </w:r>
      <w:r>
        <w:rPr>
          <w:rFonts w:hint="eastAsia" w:ascii="宋体" w:hAnsi="宋体" w:cs="宋体"/>
          <w:b/>
          <w:color w:val="auto"/>
          <w:sz w:val="32"/>
          <w:szCs w:val="32"/>
          <w:u w:val="single"/>
        </w:rPr>
        <w:t xml:space="preserve">           （盖公章）              </w:t>
      </w:r>
    </w:p>
    <w:p w14:paraId="740BB30F">
      <w:pPr>
        <w:widowControl/>
        <w:tabs>
          <w:tab w:val="left" w:pos="8280"/>
        </w:tabs>
        <w:spacing w:line="360" w:lineRule="auto"/>
        <w:ind w:firstLine="480"/>
        <w:jc w:val="center"/>
        <w:rPr>
          <w:rFonts w:ascii="宋体" w:hAnsi="宋体" w:cs="宋体"/>
          <w:b/>
          <w:color w:val="auto"/>
          <w:sz w:val="32"/>
          <w:szCs w:val="32"/>
        </w:rPr>
      </w:pPr>
    </w:p>
    <w:p w14:paraId="75F0F5A4">
      <w:pPr>
        <w:widowControl/>
        <w:tabs>
          <w:tab w:val="left" w:pos="350"/>
          <w:tab w:val="left" w:pos="8280"/>
        </w:tabs>
        <w:spacing w:line="360" w:lineRule="auto"/>
        <w:jc w:val="left"/>
        <w:rPr>
          <w:rFonts w:ascii="宋体" w:hAnsi="宋体" w:cs="宋体"/>
          <w:b/>
          <w:color w:val="auto"/>
          <w:sz w:val="36"/>
          <w:szCs w:val="36"/>
          <w:u w:val="single"/>
        </w:rPr>
      </w:pPr>
      <w:r>
        <w:rPr>
          <w:rFonts w:hint="eastAsia" w:ascii="宋体" w:hAnsi="宋体" w:cs="宋体"/>
          <w:b/>
          <w:color w:val="auto"/>
          <w:sz w:val="32"/>
          <w:szCs w:val="32"/>
        </w:rPr>
        <w:t>法定代表人或部门负责人：</w:t>
      </w:r>
      <w:r>
        <w:rPr>
          <w:rFonts w:hint="eastAsia" w:ascii="宋体" w:hAnsi="宋体" w:cs="宋体"/>
          <w:b/>
          <w:color w:val="auto"/>
          <w:sz w:val="32"/>
          <w:szCs w:val="32"/>
          <w:u w:val="single"/>
        </w:rPr>
        <w:t xml:space="preserve">   （签字或盖章）  </w:t>
      </w:r>
      <w:r>
        <w:rPr>
          <w:rFonts w:hint="eastAsia" w:ascii="宋体" w:hAnsi="宋体" w:cs="宋体"/>
          <w:b/>
          <w:color w:val="auto"/>
          <w:sz w:val="32"/>
          <w:szCs w:val="32"/>
        </w:rPr>
        <w:t xml:space="preserve">   </w:t>
      </w:r>
    </w:p>
    <w:p w14:paraId="13D9A488">
      <w:pPr>
        <w:widowControl/>
        <w:tabs>
          <w:tab w:val="left" w:pos="8280"/>
        </w:tabs>
        <w:spacing w:line="360" w:lineRule="auto"/>
        <w:ind w:firstLine="480"/>
        <w:jc w:val="center"/>
        <w:rPr>
          <w:rFonts w:ascii="宋体" w:hAnsi="宋体" w:cs="宋体"/>
          <w:b/>
          <w:color w:val="auto"/>
          <w:sz w:val="32"/>
          <w:szCs w:val="32"/>
        </w:rPr>
      </w:pPr>
    </w:p>
    <w:p w14:paraId="1E06110A">
      <w:pPr>
        <w:widowControl/>
        <w:tabs>
          <w:tab w:val="left" w:pos="350"/>
          <w:tab w:val="left" w:pos="8280"/>
        </w:tabs>
        <w:spacing w:line="360" w:lineRule="auto"/>
        <w:jc w:val="left"/>
        <w:rPr>
          <w:rFonts w:ascii="宋体" w:hAnsi="宋体" w:cs="宋体"/>
          <w:b/>
          <w:color w:val="auto"/>
          <w:sz w:val="32"/>
          <w:szCs w:val="32"/>
        </w:rPr>
      </w:pPr>
      <w:r>
        <w:rPr>
          <w:rFonts w:hint="eastAsia" w:ascii="宋体" w:hAnsi="宋体" w:cs="宋体"/>
          <w:b/>
          <w:color w:val="auto"/>
          <w:sz w:val="32"/>
          <w:szCs w:val="32"/>
        </w:rPr>
        <w:t xml:space="preserve">日期：      </w:t>
      </w:r>
      <w:r>
        <w:rPr>
          <w:rFonts w:hint="eastAsia" w:ascii="宋体" w:hAnsi="宋体" w:cs="宋体"/>
          <w:b/>
          <w:color w:val="auto"/>
          <w:sz w:val="36"/>
          <w:szCs w:val="36"/>
        </w:rPr>
        <w:t xml:space="preserve"> </w:t>
      </w:r>
      <w:r>
        <w:rPr>
          <w:rFonts w:hint="eastAsia" w:ascii="宋体" w:hAnsi="宋体" w:cs="宋体"/>
          <w:b/>
          <w:color w:val="auto"/>
          <w:sz w:val="32"/>
          <w:szCs w:val="32"/>
        </w:rPr>
        <w:t>年</w:t>
      </w:r>
      <w:r>
        <w:rPr>
          <w:rFonts w:hint="eastAsia" w:ascii="宋体" w:hAnsi="宋体" w:cs="宋体"/>
          <w:b/>
          <w:color w:val="auto"/>
          <w:sz w:val="36"/>
          <w:szCs w:val="36"/>
        </w:rPr>
        <w:t xml:space="preserve">     </w:t>
      </w:r>
      <w:r>
        <w:rPr>
          <w:rFonts w:hint="eastAsia" w:ascii="宋体" w:hAnsi="宋体" w:cs="宋体"/>
          <w:b/>
          <w:color w:val="auto"/>
          <w:sz w:val="32"/>
          <w:szCs w:val="32"/>
        </w:rPr>
        <w:t>月</w:t>
      </w:r>
      <w:r>
        <w:rPr>
          <w:rFonts w:hint="eastAsia" w:ascii="宋体" w:hAnsi="宋体" w:cs="宋体"/>
          <w:b/>
          <w:color w:val="auto"/>
          <w:sz w:val="36"/>
          <w:szCs w:val="36"/>
        </w:rPr>
        <w:t xml:space="preserve">     </w:t>
      </w:r>
      <w:r>
        <w:rPr>
          <w:rFonts w:hint="eastAsia" w:ascii="宋体" w:hAnsi="宋体" w:cs="宋体"/>
          <w:b/>
          <w:color w:val="auto"/>
          <w:sz w:val="32"/>
          <w:szCs w:val="32"/>
        </w:rPr>
        <w:t>日</w:t>
      </w:r>
    </w:p>
    <w:p w14:paraId="6DCA4E62">
      <w:pPr>
        <w:widowControl/>
        <w:tabs>
          <w:tab w:val="left" w:pos="350"/>
          <w:tab w:val="left" w:pos="8280"/>
        </w:tabs>
        <w:spacing w:line="360" w:lineRule="auto"/>
        <w:ind w:firstLine="480"/>
        <w:jc w:val="left"/>
        <w:rPr>
          <w:rFonts w:ascii="宋体" w:hAnsi="宋体" w:cs="宋体"/>
          <w:b/>
          <w:color w:val="auto"/>
          <w:sz w:val="32"/>
          <w:szCs w:val="32"/>
        </w:rPr>
      </w:pPr>
    </w:p>
    <w:p w14:paraId="4588B3E7">
      <w:pPr>
        <w:pStyle w:val="6"/>
        <w:spacing w:line="500" w:lineRule="exact"/>
        <w:jc w:val="center"/>
        <w:rPr>
          <w:rFonts w:ascii="宋体" w:hAnsi="宋体" w:eastAsia="宋体" w:cs="宋体"/>
          <w:b w:val="0"/>
          <w:color w:val="auto"/>
        </w:rPr>
      </w:pPr>
    </w:p>
    <w:p w14:paraId="35E00350">
      <w:pPr>
        <w:rPr>
          <w:rFonts w:ascii="宋体" w:hAnsi="宋体" w:cs="宋体"/>
          <w:color w:val="auto"/>
        </w:rPr>
      </w:pPr>
    </w:p>
    <w:p w14:paraId="1D4036F8">
      <w:pPr>
        <w:rPr>
          <w:rFonts w:ascii="宋体" w:hAnsi="宋体" w:cs="宋体"/>
          <w:color w:val="auto"/>
        </w:rPr>
      </w:pPr>
    </w:p>
    <w:p w14:paraId="59F7FB85">
      <w:pPr>
        <w:rPr>
          <w:rFonts w:ascii="宋体" w:hAnsi="宋体" w:cs="宋体"/>
          <w:color w:val="auto"/>
        </w:rPr>
      </w:pPr>
    </w:p>
    <w:p w14:paraId="3DD0B492">
      <w:pPr>
        <w:rPr>
          <w:rFonts w:ascii="宋体" w:hAnsi="宋体" w:cs="宋体"/>
          <w:color w:val="auto"/>
        </w:rPr>
      </w:pPr>
    </w:p>
    <w:p w14:paraId="6F99D318">
      <w:pPr>
        <w:widowControl/>
        <w:tabs>
          <w:tab w:val="left" w:pos="450"/>
          <w:tab w:val="left" w:pos="2520"/>
          <w:tab w:val="left" w:pos="8280"/>
        </w:tabs>
        <w:spacing w:line="360" w:lineRule="auto"/>
        <w:ind w:firstLine="480"/>
        <w:jc w:val="center"/>
        <w:rPr>
          <w:rFonts w:ascii="宋体" w:hAnsi="宋体" w:cs="宋体"/>
          <w:color w:val="auto"/>
          <w:sz w:val="32"/>
          <w:szCs w:val="32"/>
        </w:rPr>
      </w:pPr>
    </w:p>
    <w:p w14:paraId="7694B9DF">
      <w:pPr>
        <w:pStyle w:val="2"/>
        <w:rPr>
          <w:rFonts w:hAnsi="宋体" w:cs="宋体"/>
          <w:color w:val="auto"/>
          <w:sz w:val="32"/>
          <w:szCs w:val="32"/>
        </w:rPr>
      </w:pPr>
    </w:p>
    <w:p w14:paraId="5462FDC7">
      <w:pPr>
        <w:pStyle w:val="4"/>
        <w:ind w:firstLine="360"/>
        <w:rPr>
          <w:color w:val="auto"/>
        </w:rPr>
      </w:pPr>
    </w:p>
    <w:p w14:paraId="72C8FDFA">
      <w:pPr>
        <w:widowControl/>
        <w:tabs>
          <w:tab w:val="left" w:pos="450"/>
          <w:tab w:val="left" w:pos="2520"/>
          <w:tab w:val="left" w:pos="8280"/>
        </w:tabs>
        <w:spacing w:line="360" w:lineRule="auto"/>
        <w:ind w:firstLine="480"/>
        <w:jc w:val="center"/>
        <w:rPr>
          <w:rFonts w:ascii="宋体" w:hAnsi="宋体" w:cs="宋体"/>
          <w:color w:val="auto"/>
          <w:sz w:val="32"/>
          <w:szCs w:val="32"/>
        </w:rPr>
      </w:pPr>
    </w:p>
    <w:p w14:paraId="050BAAC4">
      <w:pPr>
        <w:widowControl/>
        <w:tabs>
          <w:tab w:val="left" w:pos="450"/>
          <w:tab w:val="left" w:pos="2520"/>
          <w:tab w:val="left" w:pos="8280"/>
        </w:tabs>
        <w:spacing w:line="360" w:lineRule="auto"/>
        <w:ind w:firstLine="480"/>
        <w:jc w:val="center"/>
        <w:rPr>
          <w:rFonts w:ascii="宋体" w:hAnsi="宋体" w:cs="宋体"/>
          <w:b/>
          <w:bCs/>
          <w:color w:val="auto"/>
          <w:sz w:val="32"/>
          <w:szCs w:val="32"/>
        </w:rPr>
      </w:pPr>
      <w:r>
        <w:rPr>
          <w:rFonts w:hint="eastAsia" w:ascii="宋体" w:hAnsi="宋体" w:cs="宋体"/>
          <w:b/>
          <w:bCs/>
          <w:color w:val="auto"/>
          <w:sz w:val="32"/>
          <w:szCs w:val="32"/>
        </w:rPr>
        <w:t>二、内包装封面格式</w:t>
      </w:r>
    </w:p>
    <w:p w14:paraId="1C608D4F">
      <w:pPr>
        <w:widowControl/>
        <w:tabs>
          <w:tab w:val="left" w:pos="8280"/>
        </w:tabs>
        <w:spacing w:line="360" w:lineRule="auto"/>
        <w:ind w:firstLine="480"/>
        <w:jc w:val="center"/>
        <w:rPr>
          <w:rFonts w:ascii="宋体" w:hAnsi="宋体" w:cs="宋体"/>
          <w:b/>
          <w:bCs/>
          <w:color w:val="auto"/>
          <w:sz w:val="32"/>
          <w:szCs w:val="32"/>
        </w:rPr>
      </w:pPr>
      <w:r>
        <w:rPr>
          <w:rFonts w:hint="eastAsia" w:ascii="宋体" w:hAnsi="宋体" w:cs="宋体"/>
          <w:b/>
          <w:bCs/>
          <w:color w:val="auto"/>
          <w:sz w:val="32"/>
          <w:szCs w:val="32"/>
        </w:rPr>
        <w:t xml:space="preserve">                                       </w:t>
      </w:r>
    </w:p>
    <w:p w14:paraId="0B0CD596">
      <w:pPr>
        <w:widowControl/>
        <w:tabs>
          <w:tab w:val="left" w:pos="8280"/>
        </w:tabs>
        <w:spacing w:line="360" w:lineRule="auto"/>
        <w:ind w:firstLine="480"/>
        <w:jc w:val="center"/>
        <w:rPr>
          <w:rFonts w:ascii="宋体" w:hAnsi="宋体" w:cs="宋体"/>
          <w:b/>
          <w:bCs/>
          <w:color w:val="auto"/>
          <w:sz w:val="32"/>
          <w:szCs w:val="32"/>
        </w:rPr>
      </w:pPr>
      <w:r>
        <w:rPr>
          <w:rFonts w:hint="eastAsia" w:ascii="宋体" w:hAnsi="宋体" w:cs="宋体"/>
          <w:b/>
          <w:bCs/>
          <w:color w:val="auto"/>
          <w:sz w:val="32"/>
          <w:szCs w:val="32"/>
        </w:rPr>
        <w:t>投标文件</w:t>
      </w:r>
    </w:p>
    <w:p w14:paraId="690B5879">
      <w:pPr>
        <w:widowControl/>
        <w:tabs>
          <w:tab w:val="left" w:pos="275"/>
          <w:tab w:val="left" w:pos="8280"/>
        </w:tabs>
        <w:spacing w:line="360" w:lineRule="auto"/>
        <w:ind w:firstLine="480"/>
        <w:jc w:val="left"/>
        <w:rPr>
          <w:rFonts w:ascii="宋体" w:hAnsi="宋体" w:cs="宋体"/>
          <w:b/>
          <w:color w:val="auto"/>
          <w:sz w:val="36"/>
          <w:szCs w:val="36"/>
        </w:rPr>
      </w:pPr>
      <w:r>
        <w:rPr>
          <w:rFonts w:hint="eastAsia" w:ascii="宋体" w:hAnsi="宋体" w:cs="宋体"/>
          <w:b/>
          <w:color w:val="auto"/>
          <w:sz w:val="36"/>
          <w:szCs w:val="36"/>
        </w:rPr>
        <w:tab/>
      </w:r>
    </w:p>
    <w:p w14:paraId="11EEEB27">
      <w:pPr>
        <w:widowControl/>
        <w:tabs>
          <w:tab w:val="left" w:pos="275"/>
          <w:tab w:val="left" w:pos="8280"/>
        </w:tabs>
        <w:spacing w:line="360" w:lineRule="auto"/>
        <w:jc w:val="left"/>
        <w:rPr>
          <w:rFonts w:ascii="宋体" w:hAnsi="宋体" w:cs="宋体"/>
          <w:b/>
          <w:color w:val="auto"/>
          <w:sz w:val="32"/>
          <w:szCs w:val="32"/>
          <w:u w:val="single"/>
        </w:rPr>
      </w:pPr>
      <w:r>
        <w:rPr>
          <w:rFonts w:hint="eastAsia" w:ascii="宋体" w:hAnsi="宋体" w:cs="宋体"/>
          <w:b/>
          <w:color w:val="auto"/>
          <w:sz w:val="32"/>
          <w:szCs w:val="32"/>
        </w:rPr>
        <w:t>项目名称：</w:t>
      </w:r>
      <w:r>
        <w:rPr>
          <w:rFonts w:hint="eastAsia" w:ascii="宋体" w:hAnsi="宋体" w:cs="宋体"/>
          <w:b/>
          <w:color w:val="auto"/>
          <w:sz w:val="32"/>
          <w:szCs w:val="32"/>
          <w:u w:val="single"/>
        </w:rPr>
        <w:t xml:space="preserve">                                      </w:t>
      </w:r>
    </w:p>
    <w:p w14:paraId="2554F3A2">
      <w:pPr>
        <w:widowControl/>
        <w:tabs>
          <w:tab w:val="left" w:pos="275"/>
          <w:tab w:val="left" w:pos="8280"/>
        </w:tabs>
        <w:spacing w:line="360" w:lineRule="auto"/>
        <w:ind w:firstLine="472" w:firstLineChars="147"/>
        <w:jc w:val="left"/>
        <w:rPr>
          <w:rFonts w:ascii="宋体" w:hAnsi="宋体" w:cs="宋体"/>
          <w:b/>
          <w:color w:val="auto"/>
          <w:sz w:val="32"/>
          <w:szCs w:val="32"/>
        </w:rPr>
      </w:pPr>
    </w:p>
    <w:p w14:paraId="31B61081">
      <w:pPr>
        <w:widowControl/>
        <w:tabs>
          <w:tab w:val="left" w:pos="275"/>
          <w:tab w:val="left" w:pos="8280"/>
        </w:tabs>
        <w:spacing w:line="360" w:lineRule="auto"/>
        <w:jc w:val="left"/>
        <w:rPr>
          <w:rFonts w:ascii="宋体" w:hAnsi="宋体" w:cs="宋体"/>
          <w:b/>
          <w:color w:val="auto"/>
          <w:sz w:val="36"/>
          <w:szCs w:val="36"/>
        </w:rPr>
      </w:pPr>
      <w:r>
        <w:rPr>
          <w:rFonts w:hint="eastAsia" w:ascii="宋体" w:hAnsi="宋体" w:cs="宋体"/>
          <w:b/>
          <w:color w:val="auto"/>
          <w:sz w:val="32"/>
          <w:szCs w:val="32"/>
        </w:rPr>
        <w:t>项目编号：</w:t>
      </w:r>
      <w:r>
        <w:rPr>
          <w:rFonts w:hint="eastAsia" w:ascii="宋体" w:hAnsi="宋体" w:cs="宋体"/>
          <w:b/>
          <w:color w:val="auto"/>
          <w:sz w:val="32"/>
          <w:szCs w:val="32"/>
          <w:u w:val="single"/>
        </w:rPr>
        <w:t xml:space="preserve">                                      </w:t>
      </w:r>
      <w:r>
        <w:rPr>
          <w:rFonts w:hint="eastAsia" w:ascii="宋体" w:hAnsi="宋体" w:cs="宋体"/>
          <w:b/>
          <w:color w:val="auto"/>
          <w:sz w:val="32"/>
          <w:szCs w:val="32"/>
        </w:rPr>
        <w:t xml:space="preserve">   </w:t>
      </w:r>
    </w:p>
    <w:p w14:paraId="3E5B3D07">
      <w:pPr>
        <w:widowControl/>
        <w:tabs>
          <w:tab w:val="left" w:pos="765"/>
          <w:tab w:val="left" w:pos="8280"/>
        </w:tabs>
        <w:spacing w:line="360" w:lineRule="auto"/>
        <w:ind w:firstLine="480"/>
        <w:jc w:val="left"/>
        <w:rPr>
          <w:rFonts w:ascii="宋体" w:hAnsi="宋体" w:cs="宋体"/>
          <w:b/>
          <w:color w:val="auto"/>
          <w:sz w:val="36"/>
          <w:szCs w:val="36"/>
        </w:rPr>
      </w:pPr>
      <w:r>
        <w:rPr>
          <w:rFonts w:hint="eastAsia" w:ascii="宋体" w:hAnsi="宋体" w:cs="宋体"/>
          <w:b/>
          <w:color w:val="auto"/>
          <w:sz w:val="36"/>
          <w:szCs w:val="36"/>
        </w:rPr>
        <w:tab/>
      </w:r>
    </w:p>
    <w:p w14:paraId="61574826">
      <w:pPr>
        <w:widowControl/>
        <w:tabs>
          <w:tab w:val="left" w:pos="765"/>
          <w:tab w:val="left" w:pos="8280"/>
        </w:tabs>
        <w:spacing w:line="360" w:lineRule="auto"/>
        <w:jc w:val="left"/>
        <w:rPr>
          <w:rFonts w:ascii="宋体" w:hAnsi="宋体" w:cs="宋体"/>
          <w:b/>
          <w:color w:val="auto"/>
          <w:sz w:val="36"/>
          <w:szCs w:val="36"/>
          <w:u w:val="single"/>
        </w:rPr>
      </w:pPr>
      <w:r>
        <w:rPr>
          <w:rFonts w:hint="eastAsia" w:ascii="宋体" w:hAnsi="宋体" w:cs="宋体"/>
          <w:b/>
          <w:color w:val="auto"/>
          <w:sz w:val="32"/>
          <w:szCs w:val="32"/>
        </w:rPr>
        <w:t>入围响应人：</w:t>
      </w:r>
      <w:r>
        <w:rPr>
          <w:rFonts w:hint="eastAsia" w:ascii="宋体" w:hAnsi="宋体" w:cs="宋体"/>
          <w:b/>
          <w:color w:val="auto"/>
          <w:sz w:val="32"/>
          <w:szCs w:val="32"/>
          <w:u w:val="single"/>
        </w:rPr>
        <w:t xml:space="preserve">           （盖公章）              </w:t>
      </w:r>
    </w:p>
    <w:p w14:paraId="5D14E1FC">
      <w:pPr>
        <w:widowControl/>
        <w:tabs>
          <w:tab w:val="left" w:pos="8280"/>
        </w:tabs>
        <w:spacing w:line="360" w:lineRule="auto"/>
        <w:ind w:firstLine="480"/>
        <w:jc w:val="center"/>
        <w:rPr>
          <w:rFonts w:ascii="宋体" w:hAnsi="宋体" w:cs="宋体"/>
          <w:b/>
          <w:color w:val="auto"/>
          <w:sz w:val="32"/>
          <w:szCs w:val="32"/>
        </w:rPr>
      </w:pPr>
    </w:p>
    <w:p w14:paraId="4AA2194B">
      <w:pPr>
        <w:widowControl/>
        <w:tabs>
          <w:tab w:val="left" w:pos="350"/>
          <w:tab w:val="left" w:pos="8280"/>
        </w:tabs>
        <w:spacing w:line="360" w:lineRule="auto"/>
        <w:jc w:val="left"/>
        <w:rPr>
          <w:rFonts w:ascii="宋体" w:hAnsi="宋体" w:cs="宋体"/>
          <w:b/>
          <w:color w:val="auto"/>
          <w:sz w:val="36"/>
          <w:szCs w:val="36"/>
          <w:u w:val="single"/>
        </w:rPr>
      </w:pPr>
      <w:r>
        <w:rPr>
          <w:rFonts w:hint="eastAsia" w:ascii="宋体" w:hAnsi="宋体" w:cs="宋体"/>
          <w:b/>
          <w:color w:val="auto"/>
          <w:sz w:val="32"/>
          <w:szCs w:val="32"/>
        </w:rPr>
        <w:t>法定代表人或部门负责人：</w:t>
      </w:r>
      <w:r>
        <w:rPr>
          <w:rFonts w:hint="eastAsia" w:ascii="宋体" w:hAnsi="宋体" w:cs="宋体"/>
          <w:b/>
          <w:color w:val="auto"/>
          <w:sz w:val="32"/>
          <w:szCs w:val="32"/>
          <w:u w:val="single"/>
        </w:rPr>
        <w:t xml:space="preserve">   （签字或盖章）  </w:t>
      </w:r>
      <w:r>
        <w:rPr>
          <w:rFonts w:hint="eastAsia" w:ascii="宋体" w:hAnsi="宋体" w:cs="宋体"/>
          <w:b/>
          <w:color w:val="auto"/>
          <w:sz w:val="32"/>
          <w:szCs w:val="32"/>
        </w:rPr>
        <w:t xml:space="preserve">   </w:t>
      </w:r>
    </w:p>
    <w:p w14:paraId="1EC499D2">
      <w:pPr>
        <w:widowControl/>
        <w:tabs>
          <w:tab w:val="left" w:pos="8280"/>
        </w:tabs>
        <w:spacing w:line="360" w:lineRule="auto"/>
        <w:ind w:firstLine="480"/>
        <w:jc w:val="center"/>
        <w:rPr>
          <w:rFonts w:ascii="宋体" w:hAnsi="宋体" w:cs="宋体"/>
          <w:b/>
          <w:color w:val="auto"/>
          <w:sz w:val="32"/>
          <w:szCs w:val="32"/>
        </w:rPr>
      </w:pPr>
    </w:p>
    <w:p w14:paraId="73A4B4E4">
      <w:pPr>
        <w:rPr>
          <w:rFonts w:ascii="宋体" w:hAnsi="宋体" w:cs="宋体"/>
          <w:color w:val="auto"/>
          <w:sz w:val="44"/>
        </w:rPr>
      </w:pPr>
      <w:r>
        <w:rPr>
          <w:rFonts w:hint="eastAsia" w:ascii="宋体" w:hAnsi="宋体" w:cs="宋体"/>
          <w:b/>
          <w:color w:val="auto"/>
          <w:sz w:val="32"/>
          <w:szCs w:val="32"/>
        </w:rPr>
        <w:t xml:space="preserve">日期：      </w:t>
      </w:r>
      <w:r>
        <w:rPr>
          <w:rFonts w:hint="eastAsia" w:ascii="宋体" w:hAnsi="宋体" w:cs="宋体"/>
          <w:b/>
          <w:color w:val="auto"/>
          <w:sz w:val="36"/>
          <w:szCs w:val="36"/>
        </w:rPr>
        <w:t xml:space="preserve"> </w:t>
      </w:r>
      <w:r>
        <w:rPr>
          <w:rFonts w:hint="eastAsia" w:ascii="宋体" w:hAnsi="宋体" w:cs="宋体"/>
          <w:b/>
          <w:color w:val="auto"/>
          <w:sz w:val="32"/>
          <w:szCs w:val="32"/>
        </w:rPr>
        <w:t>年</w:t>
      </w:r>
      <w:r>
        <w:rPr>
          <w:rFonts w:hint="eastAsia" w:ascii="宋体" w:hAnsi="宋体" w:cs="宋体"/>
          <w:b/>
          <w:color w:val="auto"/>
          <w:sz w:val="36"/>
          <w:szCs w:val="36"/>
        </w:rPr>
        <w:t xml:space="preserve">     </w:t>
      </w:r>
      <w:r>
        <w:rPr>
          <w:rFonts w:hint="eastAsia" w:ascii="宋体" w:hAnsi="宋体" w:cs="宋体"/>
          <w:b/>
          <w:color w:val="auto"/>
          <w:sz w:val="32"/>
          <w:szCs w:val="32"/>
        </w:rPr>
        <w:t>月</w:t>
      </w:r>
      <w:r>
        <w:rPr>
          <w:rFonts w:hint="eastAsia" w:ascii="宋体" w:hAnsi="宋体" w:cs="宋体"/>
          <w:b/>
          <w:color w:val="auto"/>
          <w:sz w:val="36"/>
          <w:szCs w:val="36"/>
        </w:rPr>
        <w:t xml:space="preserve">     </w:t>
      </w:r>
      <w:r>
        <w:rPr>
          <w:rFonts w:hint="eastAsia" w:ascii="宋体" w:hAnsi="宋体" w:cs="宋体"/>
          <w:b/>
          <w:color w:val="auto"/>
          <w:sz w:val="32"/>
          <w:szCs w:val="32"/>
        </w:rPr>
        <w:t>日</w:t>
      </w:r>
    </w:p>
    <w:p w14:paraId="11C23B13">
      <w:pPr>
        <w:jc w:val="center"/>
        <w:rPr>
          <w:rFonts w:hint="default" w:ascii="宋体" w:hAnsi="宋体" w:eastAsia="宋体" w:cs="宋体"/>
          <w:b w:val="0"/>
          <w:bCs w:val="0"/>
          <w:color w:val="auto"/>
          <w:kern w:val="2"/>
          <w:sz w:val="32"/>
          <w:szCs w:val="32"/>
          <w:highlight w:val="none"/>
          <w:lang w:val="en-US" w:eastAsia="zh-CN" w:bidi="ar-SA"/>
        </w:rPr>
      </w:pPr>
      <w:r>
        <w:rPr>
          <w:rFonts w:hint="eastAsia" w:ascii="宋体" w:hAnsi="宋体" w:cs="宋体"/>
          <w:color w:val="auto"/>
          <w:sz w:val="44"/>
        </w:rPr>
        <w:br w:type="page"/>
      </w:r>
      <w:r>
        <w:rPr>
          <w:rFonts w:hint="eastAsia" w:ascii="宋体" w:hAnsi="宋体" w:eastAsia="宋体" w:cs="宋体"/>
          <w:b w:val="0"/>
          <w:bCs w:val="0"/>
          <w:color w:val="auto"/>
          <w:kern w:val="2"/>
          <w:sz w:val="32"/>
          <w:szCs w:val="32"/>
          <w:highlight w:val="none"/>
          <w:lang w:val="en-US" w:eastAsia="zh-CN" w:bidi="ar-SA"/>
        </w:rPr>
        <w:t>三、</w:t>
      </w:r>
      <w:r>
        <w:rPr>
          <w:rFonts w:hint="eastAsia" w:ascii="宋体" w:hAnsi="宋体" w:cs="宋体"/>
          <w:b w:val="0"/>
          <w:bCs w:val="0"/>
          <w:color w:val="auto"/>
          <w:kern w:val="2"/>
          <w:sz w:val="32"/>
          <w:szCs w:val="32"/>
          <w:highlight w:val="none"/>
          <w:lang w:val="en-US" w:eastAsia="zh-CN" w:bidi="ar-SA"/>
        </w:rPr>
        <w:t>诸暨市浣东街道2026年度</w:t>
      </w:r>
      <w:r>
        <w:rPr>
          <w:rFonts w:hint="eastAsia" w:ascii="宋体" w:hAnsi="宋体" w:eastAsia="宋体" w:cs="宋体"/>
          <w:b w:val="0"/>
          <w:bCs w:val="0"/>
          <w:color w:val="auto"/>
          <w:kern w:val="2"/>
          <w:sz w:val="32"/>
          <w:szCs w:val="32"/>
          <w:highlight w:val="none"/>
          <w:lang w:val="en-US" w:eastAsia="zh-CN" w:bidi="ar-SA"/>
        </w:rPr>
        <w:t>采购代理机构</w:t>
      </w:r>
      <w:r>
        <w:rPr>
          <w:rFonts w:hint="eastAsia" w:ascii="宋体" w:hAnsi="宋体" w:cs="宋体"/>
          <w:b w:val="0"/>
          <w:bCs w:val="0"/>
          <w:color w:val="auto"/>
          <w:kern w:val="2"/>
          <w:sz w:val="32"/>
          <w:szCs w:val="32"/>
          <w:highlight w:val="none"/>
          <w:lang w:val="en-US" w:eastAsia="zh-CN" w:bidi="ar-SA"/>
        </w:rPr>
        <w:t>情况简介</w:t>
      </w:r>
    </w:p>
    <w:p w14:paraId="569D0244">
      <w:pPr>
        <w:ind w:firstLine="480" w:firstLineChars="200"/>
        <w:rPr>
          <w:rFonts w:hint="eastAsia" w:ascii="宋体" w:hAnsi="宋体" w:cs="宋体"/>
          <w:color w:val="auto"/>
          <w:sz w:val="24"/>
          <w:szCs w:val="24"/>
          <w:highlight w:val="no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699"/>
        <w:gridCol w:w="1699"/>
        <w:gridCol w:w="3402"/>
      </w:tblGrid>
      <w:tr w14:paraId="5DE8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699" w:type="dxa"/>
            <w:vAlign w:val="center"/>
          </w:tcPr>
          <w:p w14:paraId="0F73B9C2">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单位名称</w:t>
            </w:r>
          </w:p>
          <w:p w14:paraId="1764C73A">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（盖章）</w:t>
            </w:r>
          </w:p>
        </w:tc>
        <w:tc>
          <w:tcPr>
            <w:tcW w:w="6800" w:type="dxa"/>
            <w:gridSpan w:val="3"/>
            <w:vAlign w:val="center"/>
          </w:tcPr>
          <w:p w14:paraId="1F5A4AD8">
            <w:pPr>
              <w:jc w:val="center"/>
              <w:rPr>
                <w:rFonts w:hint="default" w:ascii="宋体" w:hAnsi="宋体" w:cs="宋体"/>
                <w:color w:val="auto"/>
                <w:sz w:val="24"/>
                <w:szCs w:val="24"/>
                <w:highlight w:val="none"/>
                <w:vertAlign w:val="baseline"/>
                <w:lang w:val="en-US" w:eastAsia="zh-CN"/>
              </w:rPr>
            </w:pPr>
          </w:p>
        </w:tc>
      </w:tr>
      <w:tr w14:paraId="4E39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99" w:type="dxa"/>
            <w:vAlign w:val="center"/>
          </w:tcPr>
          <w:p w14:paraId="0FCB704E">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法定代表人</w:t>
            </w:r>
          </w:p>
        </w:tc>
        <w:tc>
          <w:tcPr>
            <w:tcW w:w="1699" w:type="dxa"/>
            <w:vAlign w:val="center"/>
          </w:tcPr>
          <w:p w14:paraId="65CE52D0">
            <w:pPr>
              <w:jc w:val="center"/>
              <w:rPr>
                <w:rFonts w:hint="default" w:ascii="宋体" w:hAnsi="宋体" w:cs="宋体"/>
                <w:color w:val="auto"/>
                <w:sz w:val="24"/>
                <w:szCs w:val="24"/>
                <w:highlight w:val="none"/>
                <w:vertAlign w:val="baseline"/>
                <w:lang w:val="en-US" w:eastAsia="zh-CN"/>
              </w:rPr>
            </w:pPr>
          </w:p>
        </w:tc>
        <w:tc>
          <w:tcPr>
            <w:tcW w:w="1699" w:type="dxa"/>
            <w:vAlign w:val="center"/>
          </w:tcPr>
          <w:p w14:paraId="201DA60B">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手机号码</w:t>
            </w:r>
          </w:p>
        </w:tc>
        <w:tc>
          <w:tcPr>
            <w:tcW w:w="3402" w:type="dxa"/>
            <w:vAlign w:val="center"/>
          </w:tcPr>
          <w:p w14:paraId="3B8DD50E">
            <w:pPr>
              <w:jc w:val="center"/>
              <w:rPr>
                <w:rFonts w:hint="default" w:ascii="宋体" w:hAnsi="宋体" w:cs="宋体"/>
                <w:color w:val="auto"/>
                <w:sz w:val="24"/>
                <w:szCs w:val="24"/>
                <w:highlight w:val="none"/>
                <w:vertAlign w:val="baseline"/>
                <w:lang w:val="en-US" w:eastAsia="zh-CN"/>
              </w:rPr>
            </w:pPr>
          </w:p>
        </w:tc>
      </w:tr>
      <w:tr w14:paraId="24FC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99" w:type="dxa"/>
            <w:vAlign w:val="center"/>
          </w:tcPr>
          <w:p w14:paraId="1497BE5F">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业务联系人</w:t>
            </w:r>
          </w:p>
        </w:tc>
        <w:tc>
          <w:tcPr>
            <w:tcW w:w="1699" w:type="dxa"/>
            <w:vAlign w:val="center"/>
          </w:tcPr>
          <w:p w14:paraId="6B7C3028">
            <w:pPr>
              <w:jc w:val="center"/>
              <w:rPr>
                <w:rFonts w:hint="default" w:ascii="宋体" w:hAnsi="宋体" w:cs="宋体"/>
                <w:color w:val="auto"/>
                <w:sz w:val="24"/>
                <w:szCs w:val="24"/>
                <w:highlight w:val="none"/>
                <w:vertAlign w:val="baseline"/>
                <w:lang w:val="en-US" w:eastAsia="zh-CN"/>
              </w:rPr>
            </w:pPr>
          </w:p>
        </w:tc>
        <w:tc>
          <w:tcPr>
            <w:tcW w:w="1699" w:type="dxa"/>
            <w:vAlign w:val="center"/>
          </w:tcPr>
          <w:p w14:paraId="346F8CB0">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手机号码</w:t>
            </w:r>
          </w:p>
        </w:tc>
        <w:tc>
          <w:tcPr>
            <w:tcW w:w="3402" w:type="dxa"/>
            <w:vAlign w:val="center"/>
          </w:tcPr>
          <w:p w14:paraId="7ACB7A4D">
            <w:pPr>
              <w:jc w:val="center"/>
              <w:rPr>
                <w:rFonts w:hint="default" w:ascii="宋体" w:hAnsi="宋体" w:cs="宋体"/>
                <w:color w:val="auto"/>
                <w:sz w:val="24"/>
                <w:szCs w:val="24"/>
                <w:highlight w:val="none"/>
                <w:vertAlign w:val="baseline"/>
                <w:lang w:val="en-US" w:eastAsia="zh-CN"/>
              </w:rPr>
            </w:pPr>
          </w:p>
        </w:tc>
      </w:tr>
      <w:tr w14:paraId="1D5A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99" w:type="dxa"/>
            <w:vAlign w:val="center"/>
          </w:tcPr>
          <w:p w14:paraId="6B3A97E6">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营业地址</w:t>
            </w:r>
          </w:p>
        </w:tc>
        <w:tc>
          <w:tcPr>
            <w:tcW w:w="6800" w:type="dxa"/>
            <w:gridSpan w:val="3"/>
            <w:vAlign w:val="center"/>
          </w:tcPr>
          <w:p w14:paraId="05FFCF72">
            <w:pPr>
              <w:jc w:val="center"/>
              <w:rPr>
                <w:rFonts w:hint="default" w:ascii="宋体" w:hAnsi="宋体" w:cs="宋体"/>
                <w:color w:val="auto"/>
                <w:sz w:val="24"/>
                <w:szCs w:val="24"/>
                <w:highlight w:val="none"/>
                <w:vertAlign w:val="baseline"/>
                <w:lang w:val="en-US" w:eastAsia="zh-CN"/>
              </w:rPr>
            </w:pPr>
          </w:p>
        </w:tc>
      </w:tr>
      <w:tr w14:paraId="189C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99" w:type="dxa"/>
            <w:vAlign w:val="center"/>
          </w:tcPr>
          <w:p w14:paraId="3EA6C31E">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营业范围</w:t>
            </w:r>
          </w:p>
        </w:tc>
        <w:tc>
          <w:tcPr>
            <w:tcW w:w="6800" w:type="dxa"/>
            <w:gridSpan w:val="3"/>
            <w:vAlign w:val="center"/>
          </w:tcPr>
          <w:p w14:paraId="6C1F9798">
            <w:pPr>
              <w:jc w:val="center"/>
              <w:rPr>
                <w:rFonts w:hint="default" w:ascii="宋体" w:hAnsi="宋体" w:cs="宋体"/>
                <w:color w:val="auto"/>
                <w:sz w:val="24"/>
                <w:szCs w:val="24"/>
                <w:highlight w:val="none"/>
                <w:vertAlign w:val="baseline"/>
                <w:lang w:val="en-US" w:eastAsia="zh-CN"/>
              </w:rPr>
            </w:pPr>
          </w:p>
        </w:tc>
      </w:tr>
      <w:tr w14:paraId="4E9A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99" w:type="dxa"/>
            <w:vAlign w:val="center"/>
          </w:tcPr>
          <w:p w14:paraId="31F300C6">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专职人员1</w:t>
            </w:r>
          </w:p>
        </w:tc>
        <w:tc>
          <w:tcPr>
            <w:tcW w:w="1699" w:type="dxa"/>
            <w:vAlign w:val="center"/>
          </w:tcPr>
          <w:p w14:paraId="287C3A76">
            <w:pPr>
              <w:jc w:val="center"/>
              <w:rPr>
                <w:rFonts w:hint="default" w:ascii="宋体" w:hAnsi="宋体" w:cs="宋体"/>
                <w:color w:val="auto"/>
                <w:sz w:val="24"/>
                <w:szCs w:val="24"/>
                <w:highlight w:val="none"/>
                <w:vertAlign w:val="baseline"/>
                <w:lang w:val="en-US" w:eastAsia="zh-CN"/>
              </w:rPr>
            </w:pPr>
          </w:p>
        </w:tc>
        <w:tc>
          <w:tcPr>
            <w:tcW w:w="1699" w:type="dxa"/>
            <w:vAlign w:val="center"/>
          </w:tcPr>
          <w:p w14:paraId="2B05E8B3">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手机号码</w:t>
            </w:r>
          </w:p>
        </w:tc>
        <w:tc>
          <w:tcPr>
            <w:tcW w:w="3402" w:type="dxa"/>
            <w:vAlign w:val="center"/>
          </w:tcPr>
          <w:p w14:paraId="4E2B1ECA">
            <w:pPr>
              <w:jc w:val="center"/>
              <w:rPr>
                <w:rFonts w:hint="default" w:ascii="宋体" w:hAnsi="宋体" w:cs="宋体"/>
                <w:color w:val="auto"/>
                <w:sz w:val="24"/>
                <w:szCs w:val="24"/>
                <w:highlight w:val="none"/>
                <w:vertAlign w:val="baseline"/>
                <w:lang w:val="en-US" w:eastAsia="zh-CN"/>
              </w:rPr>
            </w:pPr>
          </w:p>
        </w:tc>
      </w:tr>
      <w:tr w14:paraId="2ECD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99" w:type="dxa"/>
            <w:vAlign w:val="center"/>
          </w:tcPr>
          <w:p w14:paraId="5F6C0B81">
            <w:pPr>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专职人员2</w:t>
            </w:r>
          </w:p>
        </w:tc>
        <w:tc>
          <w:tcPr>
            <w:tcW w:w="1699" w:type="dxa"/>
            <w:vAlign w:val="center"/>
          </w:tcPr>
          <w:p w14:paraId="63AB13E9">
            <w:pPr>
              <w:jc w:val="center"/>
              <w:rPr>
                <w:rFonts w:hint="default" w:ascii="宋体" w:hAnsi="宋体" w:cs="宋体"/>
                <w:color w:val="auto"/>
                <w:sz w:val="24"/>
                <w:szCs w:val="24"/>
                <w:highlight w:val="none"/>
                <w:vertAlign w:val="baseline"/>
                <w:lang w:val="en-US" w:eastAsia="zh-CN"/>
              </w:rPr>
            </w:pPr>
          </w:p>
        </w:tc>
        <w:tc>
          <w:tcPr>
            <w:tcW w:w="1699" w:type="dxa"/>
            <w:vAlign w:val="center"/>
          </w:tcPr>
          <w:p w14:paraId="4F2B0794">
            <w:pPr>
              <w:jc w:val="center"/>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手机号码</w:t>
            </w:r>
          </w:p>
        </w:tc>
        <w:tc>
          <w:tcPr>
            <w:tcW w:w="3402" w:type="dxa"/>
            <w:vAlign w:val="center"/>
          </w:tcPr>
          <w:p w14:paraId="1936986B">
            <w:pPr>
              <w:jc w:val="center"/>
              <w:rPr>
                <w:rFonts w:hint="default" w:ascii="宋体" w:hAnsi="宋体" w:cs="宋体"/>
                <w:color w:val="auto"/>
                <w:sz w:val="24"/>
                <w:szCs w:val="24"/>
                <w:highlight w:val="none"/>
                <w:vertAlign w:val="baseline"/>
                <w:lang w:val="en-US" w:eastAsia="zh-CN"/>
              </w:rPr>
            </w:pPr>
          </w:p>
        </w:tc>
      </w:tr>
      <w:tr w14:paraId="695D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99" w:type="dxa"/>
            <w:vAlign w:val="center"/>
          </w:tcPr>
          <w:p w14:paraId="2A484C30">
            <w:p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w:t>
            </w:r>
          </w:p>
        </w:tc>
        <w:tc>
          <w:tcPr>
            <w:tcW w:w="1699" w:type="dxa"/>
            <w:vAlign w:val="center"/>
          </w:tcPr>
          <w:p w14:paraId="40CDA520">
            <w:pPr>
              <w:jc w:val="center"/>
              <w:rPr>
                <w:rFonts w:hint="default" w:ascii="宋体" w:hAnsi="宋体" w:cs="宋体"/>
                <w:color w:val="auto"/>
                <w:sz w:val="24"/>
                <w:szCs w:val="24"/>
                <w:highlight w:val="none"/>
                <w:vertAlign w:val="baseline"/>
                <w:lang w:val="en-US" w:eastAsia="zh-CN"/>
              </w:rPr>
            </w:pPr>
          </w:p>
        </w:tc>
        <w:tc>
          <w:tcPr>
            <w:tcW w:w="1699" w:type="dxa"/>
            <w:vAlign w:val="center"/>
          </w:tcPr>
          <w:p w14:paraId="3BD5B109">
            <w:pPr>
              <w:jc w:val="center"/>
              <w:rPr>
                <w:rFonts w:hint="eastAsia" w:ascii="宋体" w:hAnsi="宋体" w:cs="宋体"/>
                <w:color w:val="auto"/>
                <w:sz w:val="24"/>
                <w:szCs w:val="24"/>
                <w:highlight w:val="none"/>
                <w:vertAlign w:val="baseline"/>
                <w:lang w:val="en-US" w:eastAsia="zh-CN"/>
              </w:rPr>
            </w:pPr>
          </w:p>
        </w:tc>
        <w:tc>
          <w:tcPr>
            <w:tcW w:w="3402" w:type="dxa"/>
            <w:vAlign w:val="center"/>
          </w:tcPr>
          <w:p w14:paraId="7AB46617">
            <w:pPr>
              <w:jc w:val="center"/>
              <w:rPr>
                <w:rFonts w:hint="default" w:ascii="宋体" w:hAnsi="宋体" w:cs="宋体"/>
                <w:color w:val="auto"/>
                <w:sz w:val="24"/>
                <w:szCs w:val="24"/>
                <w:highlight w:val="none"/>
                <w:vertAlign w:val="baseline"/>
                <w:lang w:val="en-US" w:eastAsia="zh-CN"/>
              </w:rPr>
            </w:pPr>
          </w:p>
        </w:tc>
      </w:tr>
    </w:tbl>
    <w:p w14:paraId="6A0D85A9">
      <w:pPr>
        <w:jc w:val="center"/>
        <w:rPr>
          <w:rFonts w:hint="eastAsia" w:ascii="宋体" w:hAnsi="宋体" w:eastAsia="宋体" w:cs="宋体"/>
          <w:color w:val="auto"/>
          <w:sz w:val="32"/>
          <w:szCs w:val="32"/>
          <w:highlight w:val="none"/>
          <w:lang w:val="en-US" w:eastAsia="zh-CN"/>
        </w:rPr>
      </w:pPr>
    </w:p>
    <w:p w14:paraId="73B72266">
      <w:pPr>
        <w:jc w:val="center"/>
        <w:rPr>
          <w:rFonts w:hint="eastAsia" w:ascii="宋体" w:hAnsi="宋体" w:eastAsia="宋体" w:cs="宋体"/>
          <w:color w:val="auto"/>
          <w:sz w:val="32"/>
          <w:szCs w:val="32"/>
          <w:highlight w:val="none"/>
          <w:lang w:val="en-US" w:eastAsia="zh-CN"/>
        </w:rPr>
      </w:pPr>
    </w:p>
    <w:p w14:paraId="4D85DED1">
      <w:pPr>
        <w:jc w:val="center"/>
        <w:rPr>
          <w:rFonts w:hint="eastAsia" w:ascii="宋体" w:hAnsi="宋体" w:eastAsia="宋体" w:cs="宋体"/>
          <w:color w:val="auto"/>
          <w:sz w:val="32"/>
          <w:szCs w:val="32"/>
          <w:highlight w:val="none"/>
          <w:lang w:val="en-US" w:eastAsia="zh-CN"/>
        </w:rPr>
      </w:pPr>
    </w:p>
    <w:p w14:paraId="5B9F50CC">
      <w:pPr>
        <w:jc w:val="center"/>
        <w:rPr>
          <w:rFonts w:hint="eastAsia" w:ascii="宋体" w:hAnsi="宋体" w:eastAsia="宋体" w:cs="宋体"/>
          <w:color w:val="auto"/>
          <w:sz w:val="32"/>
          <w:szCs w:val="32"/>
          <w:highlight w:val="none"/>
          <w:lang w:val="en-US" w:eastAsia="zh-CN"/>
        </w:rPr>
      </w:pPr>
    </w:p>
    <w:p w14:paraId="6B205337">
      <w:pPr>
        <w:jc w:val="center"/>
        <w:rPr>
          <w:rFonts w:hint="eastAsia" w:ascii="宋体" w:hAnsi="宋体" w:eastAsia="宋体" w:cs="宋体"/>
          <w:color w:val="auto"/>
          <w:sz w:val="32"/>
          <w:szCs w:val="32"/>
          <w:highlight w:val="none"/>
          <w:lang w:val="en-US" w:eastAsia="zh-CN"/>
        </w:rPr>
      </w:pPr>
    </w:p>
    <w:p w14:paraId="7B92965E">
      <w:pPr>
        <w:jc w:val="center"/>
        <w:rPr>
          <w:rFonts w:hint="eastAsia" w:ascii="宋体" w:hAnsi="宋体" w:eastAsia="宋体" w:cs="宋体"/>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color w:val="auto"/>
          <w:sz w:val="32"/>
          <w:szCs w:val="32"/>
          <w:highlight w:val="none"/>
          <w:lang w:val="en-US" w:eastAsia="zh-CN"/>
        </w:rPr>
        <w:t>四</w:t>
      </w:r>
      <w:r>
        <w:rPr>
          <w:rFonts w:hint="eastAsia" w:ascii="宋体" w:hAnsi="宋体" w:eastAsia="宋体" w:cs="宋体"/>
          <w:color w:val="auto"/>
          <w:sz w:val="32"/>
          <w:szCs w:val="32"/>
          <w:highlight w:val="none"/>
        </w:rPr>
        <w:t>、法定代表人授权书</w:t>
      </w:r>
    </w:p>
    <w:p w14:paraId="1AEE7CD0">
      <w:pPr>
        <w:ind w:firstLine="566" w:firstLineChars="235"/>
        <w:jc w:val="center"/>
        <w:rPr>
          <w:rFonts w:hint="eastAsia" w:ascii="宋体" w:hAnsi="宋体" w:eastAsia="宋体" w:cs="宋体"/>
          <w:b/>
          <w:bCs/>
          <w:color w:val="auto"/>
          <w:sz w:val="24"/>
          <w:highlight w:val="none"/>
        </w:rPr>
      </w:pPr>
    </w:p>
    <w:p w14:paraId="57A895DB">
      <w:pPr>
        <w:ind w:firstLine="566" w:firstLineChars="235"/>
        <w:jc w:val="center"/>
        <w:rPr>
          <w:rFonts w:hint="eastAsia" w:ascii="宋体" w:hAnsi="宋体" w:eastAsia="宋体" w:cs="宋体"/>
          <w:b/>
          <w:bCs/>
          <w:color w:val="auto"/>
          <w:sz w:val="24"/>
          <w:highlight w:val="none"/>
        </w:rPr>
      </w:pPr>
    </w:p>
    <w:p w14:paraId="1A6B6B86">
      <w:pPr>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本授权委托书声明：我</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（姓名）系</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w:t>
      </w:r>
      <w:r>
        <w:rPr>
          <w:rFonts w:hint="eastAsia" w:ascii="宋体" w:hAnsi="宋体" w:eastAsia="宋体" w:cs="宋体"/>
          <w:color w:val="auto"/>
          <w:sz w:val="30"/>
          <w:highlight w:val="none"/>
          <w:lang w:val="en-US" w:eastAsia="zh-CN"/>
        </w:rPr>
        <w:t>招标代理</w:t>
      </w:r>
      <w:r>
        <w:rPr>
          <w:rFonts w:hint="eastAsia" w:ascii="宋体" w:hAnsi="宋体" w:eastAsia="宋体" w:cs="宋体"/>
          <w:color w:val="auto"/>
          <w:sz w:val="30"/>
          <w:highlight w:val="none"/>
        </w:rPr>
        <w:t>机构）的法定代表人，现授权</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（姓名）为我公司委托代理人，以本公司的名义参加</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（招标人）的</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（项目名称）的招标活动。委托代理人在</w:t>
      </w:r>
      <w:r>
        <w:rPr>
          <w:rFonts w:hint="eastAsia" w:ascii="宋体" w:hAnsi="宋体" w:eastAsia="宋体" w:cs="宋体"/>
          <w:color w:val="auto"/>
          <w:sz w:val="30"/>
          <w:highlight w:val="none"/>
          <w:lang w:val="en-US" w:eastAsia="zh-CN"/>
        </w:rPr>
        <w:t>代理</w:t>
      </w:r>
      <w:r>
        <w:rPr>
          <w:rFonts w:hint="eastAsia" w:ascii="宋体" w:hAnsi="宋体" w:eastAsia="宋体" w:cs="宋体"/>
          <w:color w:val="auto"/>
          <w:sz w:val="30"/>
          <w:highlight w:val="none"/>
        </w:rPr>
        <w:t>机构招标活动和委托</w:t>
      </w:r>
      <w:r>
        <w:rPr>
          <w:rFonts w:hint="eastAsia" w:ascii="宋体" w:hAnsi="宋体" w:eastAsia="宋体" w:cs="宋体"/>
          <w:color w:val="auto"/>
          <w:sz w:val="30"/>
          <w:highlight w:val="none"/>
          <w:lang w:val="en-US" w:eastAsia="zh-CN"/>
        </w:rPr>
        <w:t>代理协议</w:t>
      </w:r>
      <w:r>
        <w:rPr>
          <w:rFonts w:hint="eastAsia" w:ascii="宋体" w:hAnsi="宋体" w:eastAsia="宋体" w:cs="宋体"/>
          <w:color w:val="auto"/>
          <w:sz w:val="30"/>
          <w:highlight w:val="none"/>
        </w:rPr>
        <w:t>谈判过程中所签署的一切文件和处理与之有关的一切事务，我及我公司均予以承认并全部承担其产生的所有权利和义务。</w:t>
      </w:r>
    </w:p>
    <w:p w14:paraId="0248A685">
      <w:pPr>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委托代理人无转委权。特此委托。</w:t>
      </w:r>
    </w:p>
    <w:p w14:paraId="24832F04">
      <w:pPr>
        <w:ind w:firstLine="600" w:firstLineChars="200"/>
        <w:rPr>
          <w:rFonts w:hint="eastAsia" w:ascii="宋体" w:hAnsi="宋体" w:eastAsia="宋体" w:cs="宋体"/>
          <w:color w:val="auto"/>
          <w:sz w:val="30"/>
          <w:highlight w:val="none"/>
        </w:rPr>
      </w:pPr>
    </w:p>
    <w:p w14:paraId="5710D2B6">
      <w:pPr>
        <w:ind w:firstLine="600" w:firstLineChars="200"/>
        <w:rPr>
          <w:rFonts w:hint="eastAsia" w:ascii="宋体" w:hAnsi="宋体" w:eastAsia="宋体" w:cs="宋体"/>
          <w:color w:val="auto"/>
          <w:sz w:val="30"/>
          <w:highlight w:val="none"/>
        </w:rPr>
      </w:pPr>
    </w:p>
    <w:p w14:paraId="5B12F5EE">
      <w:pPr>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委托代理人</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（签字）性别</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年龄</w:t>
      </w:r>
      <w:r>
        <w:rPr>
          <w:rFonts w:hint="eastAsia" w:ascii="宋体" w:hAnsi="宋体" w:eastAsia="宋体" w:cs="宋体"/>
          <w:color w:val="auto"/>
          <w:sz w:val="30"/>
          <w:highlight w:val="none"/>
          <w:u w:val="single"/>
        </w:rPr>
        <w:t xml:space="preserve">：     </w:t>
      </w:r>
    </w:p>
    <w:p w14:paraId="4924C906">
      <w:pPr>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委托代理人部门</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职务</w:t>
      </w:r>
      <w:r>
        <w:rPr>
          <w:rFonts w:hint="eastAsia" w:ascii="宋体" w:hAnsi="宋体" w:eastAsia="宋体" w:cs="宋体"/>
          <w:color w:val="auto"/>
          <w:sz w:val="30"/>
          <w:highlight w:val="none"/>
          <w:u w:val="single"/>
        </w:rPr>
        <w:t xml:space="preserve">：        </w:t>
      </w:r>
    </w:p>
    <w:p w14:paraId="26F8AF39">
      <w:pPr>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委托代理人(电话)</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（手机）</w:t>
      </w:r>
      <w:r>
        <w:rPr>
          <w:rFonts w:hint="eastAsia" w:ascii="宋体" w:hAnsi="宋体" w:eastAsia="宋体" w:cs="宋体"/>
          <w:color w:val="auto"/>
          <w:sz w:val="30"/>
          <w:highlight w:val="none"/>
          <w:u w:val="single"/>
        </w:rPr>
        <w:t xml:space="preserve">          </w:t>
      </w:r>
    </w:p>
    <w:p w14:paraId="214DE6CB">
      <w:pPr>
        <w:ind w:firstLine="600" w:firstLineChars="200"/>
        <w:rPr>
          <w:rFonts w:hint="eastAsia" w:ascii="宋体" w:hAnsi="宋体" w:eastAsia="宋体" w:cs="宋体"/>
          <w:color w:val="auto"/>
          <w:sz w:val="30"/>
          <w:highlight w:val="none"/>
        </w:rPr>
      </w:pPr>
    </w:p>
    <w:p w14:paraId="599F167A">
      <w:pPr>
        <w:ind w:firstLine="600" w:firstLineChars="200"/>
        <w:rPr>
          <w:rFonts w:hint="eastAsia" w:ascii="宋体" w:hAnsi="宋体" w:eastAsia="宋体" w:cs="宋体"/>
          <w:color w:val="auto"/>
          <w:sz w:val="30"/>
          <w:highlight w:val="none"/>
        </w:rPr>
      </w:pPr>
    </w:p>
    <w:p w14:paraId="529347F4">
      <w:pPr>
        <w:ind w:firstLine="3000" w:firstLineChars="1000"/>
        <w:rPr>
          <w:rFonts w:hint="eastAsia" w:ascii="宋体" w:hAnsi="宋体" w:eastAsia="宋体" w:cs="宋体"/>
          <w:color w:val="auto"/>
          <w:sz w:val="30"/>
          <w:highlight w:val="none"/>
        </w:rPr>
      </w:pPr>
      <w:r>
        <w:rPr>
          <w:rFonts w:hint="eastAsia" w:ascii="宋体" w:hAnsi="宋体" w:eastAsia="宋体" w:cs="宋体"/>
          <w:color w:val="auto"/>
          <w:sz w:val="30"/>
          <w:highlight w:val="none"/>
        </w:rPr>
        <w:t>授权人(法定代表人)</w:t>
      </w:r>
      <w:r>
        <w:rPr>
          <w:rFonts w:hint="eastAsia" w:ascii="宋体" w:hAnsi="宋体" w:eastAsia="宋体" w:cs="宋体"/>
          <w:color w:val="auto"/>
          <w:sz w:val="30"/>
          <w:highlight w:val="none"/>
          <w:u w:val="single"/>
        </w:rPr>
        <w:t xml:space="preserve">：                </w:t>
      </w:r>
    </w:p>
    <w:p w14:paraId="0A1ABE93">
      <w:pPr>
        <w:ind w:firstLine="705" w:firstLineChars="23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 xml:space="preserve">     　　　</w:t>
      </w:r>
      <w:r>
        <w:rPr>
          <w:rFonts w:hint="eastAsia" w:ascii="宋体" w:hAnsi="宋体" w:eastAsia="宋体" w:cs="宋体"/>
          <w:color w:val="auto"/>
          <w:sz w:val="30"/>
          <w:highlight w:val="none"/>
          <w:lang w:val="en-US" w:eastAsia="zh-CN"/>
        </w:rPr>
        <w:t>招标代理</w:t>
      </w:r>
      <w:r>
        <w:rPr>
          <w:rFonts w:hint="eastAsia" w:ascii="宋体" w:hAnsi="宋体" w:eastAsia="宋体" w:cs="宋体"/>
          <w:color w:val="auto"/>
          <w:sz w:val="30"/>
          <w:highlight w:val="none"/>
        </w:rPr>
        <w:t>机构：</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（全称并加盖公章）</w:t>
      </w:r>
    </w:p>
    <w:p w14:paraId="456CAC87">
      <w:pPr>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                        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E65C845">
      <w:pPr>
        <w:spacing w:line="360" w:lineRule="auto"/>
        <w:jc w:val="center"/>
        <w:rPr>
          <w:rFonts w:hint="eastAsia" w:ascii="宋体" w:hAnsi="宋体" w:eastAsia="宋体" w:cs="宋体"/>
          <w:color w:val="auto"/>
          <w:sz w:val="30"/>
          <w:highlight w:val="none"/>
        </w:rPr>
      </w:pPr>
    </w:p>
    <w:p w14:paraId="228FC4FB">
      <w:pPr>
        <w:spacing w:line="360" w:lineRule="auto"/>
        <w:jc w:val="center"/>
        <w:rPr>
          <w:rFonts w:hint="eastAsia" w:ascii="宋体" w:hAnsi="宋体" w:eastAsia="宋体" w:cs="宋体"/>
          <w:color w:val="auto"/>
          <w:sz w:val="30"/>
          <w:highlight w:val="none"/>
        </w:rPr>
      </w:pPr>
    </w:p>
    <w:p w14:paraId="5B37BC83">
      <w:pPr>
        <w:spacing w:line="360" w:lineRule="auto"/>
        <w:jc w:val="center"/>
        <w:rPr>
          <w:rFonts w:hint="eastAsia" w:ascii="宋体" w:hAnsi="宋体" w:eastAsia="宋体" w:cs="宋体"/>
          <w:color w:val="auto"/>
          <w:sz w:val="30"/>
          <w:highlight w:val="none"/>
        </w:rPr>
      </w:pPr>
    </w:p>
    <w:p w14:paraId="3C5C0AB1">
      <w:pPr>
        <w:spacing w:line="360" w:lineRule="auto"/>
        <w:jc w:val="center"/>
        <w:rPr>
          <w:rFonts w:hint="eastAsia" w:ascii="宋体" w:hAnsi="宋体" w:eastAsia="宋体" w:cs="宋体"/>
          <w:color w:val="auto"/>
          <w:sz w:val="30"/>
          <w:highlight w:val="none"/>
        </w:rPr>
      </w:pPr>
    </w:p>
    <w:p w14:paraId="11CA13F2">
      <w:pPr>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32"/>
          <w:szCs w:val="32"/>
          <w:highlight w:val="none"/>
          <w:lang w:val="en-US" w:eastAsia="zh-CN"/>
        </w:rPr>
        <w:t>五、投标函</w:t>
      </w:r>
    </w:p>
    <w:p w14:paraId="69CB6104">
      <w:pPr>
        <w:spacing w:line="360" w:lineRule="auto"/>
        <w:rPr>
          <w:rFonts w:hint="eastAsia" w:ascii="宋体" w:hAnsi="宋体" w:eastAsia="宋体" w:cs="宋体"/>
          <w:color w:val="auto"/>
          <w:sz w:val="28"/>
          <w:szCs w:val="28"/>
          <w:highlight w:val="none"/>
          <w:u w:val="single"/>
        </w:rPr>
      </w:pPr>
    </w:p>
    <w:p w14:paraId="5D6B74D1">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6DCC4268">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1、我方已全面阅读和研究了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入围</w:t>
      </w:r>
      <w:r>
        <w:rPr>
          <w:rFonts w:hint="eastAsia" w:ascii="宋体" w:hAnsi="宋体" w:eastAsia="宋体" w:cs="宋体"/>
          <w:color w:val="auto"/>
          <w:sz w:val="28"/>
          <w:szCs w:val="28"/>
          <w:highlight w:val="none"/>
        </w:rPr>
        <w:t>招标文件和</w:t>
      </w:r>
      <w:r>
        <w:rPr>
          <w:rFonts w:hint="eastAsia" w:ascii="宋体" w:hAnsi="宋体" w:eastAsia="宋体" w:cs="宋体"/>
          <w:color w:val="auto"/>
          <w:sz w:val="28"/>
          <w:szCs w:val="28"/>
          <w:highlight w:val="none"/>
          <w:lang w:val="en-US" w:eastAsia="zh-CN"/>
        </w:rPr>
        <w:t>入围</w:t>
      </w:r>
      <w:r>
        <w:rPr>
          <w:rFonts w:hint="eastAsia" w:ascii="宋体" w:hAnsi="宋体" w:eastAsia="宋体" w:cs="宋体"/>
          <w:color w:val="auto"/>
          <w:sz w:val="28"/>
          <w:szCs w:val="28"/>
          <w:highlight w:val="none"/>
        </w:rPr>
        <w:t>招标补充文件，已充分理解并掌握了本项目的全部有关情况。同意接受</w:t>
      </w:r>
      <w:r>
        <w:rPr>
          <w:rFonts w:hint="eastAsia" w:ascii="宋体" w:hAnsi="宋体" w:eastAsia="宋体" w:cs="宋体"/>
          <w:color w:val="auto"/>
          <w:sz w:val="28"/>
          <w:szCs w:val="28"/>
          <w:highlight w:val="none"/>
          <w:lang w:eastAsia="zh-CN"/>
        </w:rPr>
        <w:t>入围招标文件</w:t>
      </w:r>
      <w:r>
        <w:rPr>
          <w:rFonts w:hint="eastAsia" w:ascii="宋体" w:hAnsi="宋体" w:eastAsia="宋体" w:cs="宋体"/>
          <w:color w:val="auto"/>
          <w:sz w:val="28"/>
          <w:szCs w:val="28"/>
          <w:highlight w:val="none"/>
        </w:rPr>
        <w:t>的全部内容和条件，并按此确定本项目投标的要约内容，以本投标函进行投标。</w:t>
      </w:r>
    </w:p>
    <w:p w14:paraId="0D15DB4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2、我方承诺在投标有效期内不修改、撤销投标函。</w:t>
      </w:r>
    </w:p>
    <w:p w14:paraId="60D911C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3、一旦我方中标，我方保证在</w:t>
      </w:r>
      <w:r>
        <w:rPr>
          <w:rFonts w:hint="eastAsia" w:ascii="宋体" w:hAnsi="宋体" w:eastAsia="宋体" w:cs="宋体"/>
          <w:color w:val="auto"/>
          <w:sz w:val="28"/>
          <w:szCs w:val="28"/>
          <w:highlight w:val="none"/>
          <w:lang w:eastAsia="zh-CN"/>
        </w:rPr>
        <w:t>入围招标文件</w:t>
      </w:r>
      <w:r>
        <w:rPr>
          <w:rFonts w:hint="eastAsia" w:ascii="宋体" w:hAnsi="宋体" w:eastAsia="宋体" w:cs="宋体"/>
          <w:color w:val="auto"/>
          <w:sz w:val="28"/>
          <w:szCs w:val="28"/>
          <w:highlight w:val="none"/>
        </w:rPr>
        <w:t>规定的时间内与你方签订合同，并按期完成</w:t>
      </w:r>
      <w:r>
        <w:rPr>
          <w:rFonts w:hint="eastAsia" w:ascii="宋体" w:hAnsi="宋体" w:eastAsia="宋体" w:cs="宋体"/>
          <w:color w:val="auto"/>
          <w:sz w:val="28"/>
          <w:szCs w:val="28"/>
          <w:highlight w:val="none"/>
          <w:lang w:eastAsia="zh-CN"/>
        </w:rPr>
        <w:t>入围招标文件</w:t>
      </w:r>
      <w:r>
        <w:rPr>
          <w:rFonts w:hint="eastAsia" w:ascii="宋体" w:hAnsi="宋体" w:eastAsia="宋体" w:cs="宋体"/>
          <w:color w:val="auto"/>
          <w:sz w:val="28"/>
          <w:szCs w:val="28"/>
          <w:highlight w:val="none"/>
        </w:rPr>
        <w:t>中规定的所有代理内容。</w:t>
      </w:r>
    </w:p>
    <w:p w14:paraId="22055E7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4、我公司如违反上述条款，愿无条件接受你方解除合同的处理，并赔偿由此造成的一切损失，同时接受招投标监管部门的处理。</w:t>
      </w:r>
    </w:p>
    <w:p w14:paraId="5D74A1DA">
      <w:pPr>
        <w:adjustRightInd w:val="0"/>
        <w:snapToGrid w:val="0"/>
        <w:spacing w:line="360" w:lineRule="auto"/>
        <w:ind w:left="718" w:leftChars="3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入围响应人</w:t>
      </w:r>
      <w:r>
        <w:rPr>
          <w:rFonts w:hint="eastAsia" w:ascii="宋体" w:hAnsi="宋体" w:eastAsia="宋体" w:cs="宋体"/>
          <w:color w:val="auto"/>
          <w:sz w:val="28"/>
          <w:szCs w:val="28"/>
          <w:highlight w:val="none"/>
        </w:rPr>
        <w:t>（全称）：</w:t>
      </w:r>
      <w:r>
        <w:rPr>
          <w:rFonts w:hint="eastAsia" w:ascii="宋体" w:hAnsi="宋体" w:eastAsia="宋体" w:cs="宋体"/>
          <w:color w:val="auto"/>
          <w:sz w:val="28"/>
          <w:szCs w:val="28"/>
          <w:highlight w:val="none"/>
          <w:u w:val="single"/>
        </w:rPr>
        <w:t xml:space="preserve">                         （盖章）</w:t>
      </w:r>
    </w:p>
    <w:p w14:paraId="75BC1B28">
      <w:pPr>
        <w:adjustRightInd w:val="0"/>
        <w:snapToGrid w:val="0"/>
        <w:spacing w:line="360" w:lineRule="auto"/>
        <w:ind w:left="718" w:leftChars="34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入围响应人</w:t>
      </w: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14:paraId="4B49A4D9">
      <w:pPr>
        <w:adjustRightInd w:val="0"/>
        <w:snapToGrid w:val="0"/>
        <w:spacing w:line="360" w:lineRule="auto"/>
        <w:ind w:left="718" w:leftChars="3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（签字）</w:t>
      </w:r>
    </w:p>
    <w:p w14:paraId="62AC4575">
      <w:pPr>
        <w:adjustRightInd w:val="0"/>
        <w:snapToGrid w:val="0"/>
        <w:spacing w:line="360" w:lineRule="auto"/>
        <w:ind w:left="718" w:leftChars="34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法定代表人或委托代理人联系电话：</w:t>
      </w:r>
      <w:r>
        <w:rPr>
          <w:rFonts w:hint="eastAsia" w:ascii="宋体" w:hAnsi="宋体" w:eastAsia="宋体" w:cs="宋体"/>
          <w:color w:val="auto"/>
          <w:sz w:val="28"/>
          <w:szCs w:val="28"/>
          <w:highlight w:val="none"/>
          <w:u w:val="single"/>
        </w:rPr>
        <w:t xml:space="preserve">             　　</w:t>
      </w:r>
    </w:p>
    <w:p w14:paraId="3026907F">
      <w:pPr>
        <w:adjustRightInd w:val="0"/>
        <w:snapToGrid w:val="0"/>
        <w:spacing w:line="360" w:lineRule="auto"/>
        <w:ind w:left="718" w:leftChars="34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邮政编码：</w:t>
      </w:r>
      <w:r>
        <w:rPr>
          <w:rFonts w:hint="eastAsia" w:ascii="宋体" w:hAnsi="宋体" w:eastAsia="宋体" w:cs="宋体"/>
          <w:color w:val="auto"/>
          <w:sz w:val="28"/>
          <w:szCs w:val="28"/>
          <w:highlight w:val="none"/>
          <w:u w:val="single"/>
        </w:rPr>
        <w:t xml:space="preserve">                      </w:t>
      </w:r>
    </w:p>
    <w:p w14:paraId="6999A81B">
      <w:pPr>
        <w:adjustRightInd w:val="0"/>
        <w:snapToGrid w:val="0"/>
        <w:spacing w:line="360" w:lineRule="auto"/>
        <w:ind w:left="718" w:leftChars="34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p>
    <w:p w14:paraId="05ECCEC4">
      <w:pPr>
        <w:adjustRightInd w:val="0"/>
        <w:snapToGrid w:val="0"/>
        <w:spacing w:line="360" w:lineRule="auto"/>
        <w:ind w:left="718" w:leftChars="3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p>
    <w:p w14:paraId="50BDC1D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0CEC7B3">
      <w:pPr>
        <w:jc w:val="center"/>
        <w:rPr>
          <w:rFonts w:hint="eastAsia" w:ascii="宋体" w:hAnsi="宋体" w:eastAsia="宋体" w:cs="宋体"/>
          <w:bCs/>
          <w:color w:val="auto"/>
          <w:sz w:val="44"/>
          <w:highlight w:val="none"/>
        </w:rPr>
      </w:pPr>
    </w:p>
    <w:p w14:paraId="568F5E47">
      <w:pPr>
        <w:jc w:val="center"/>
        <w:rPr>
          <w:rFonts w:hint="eastAsia" w:ascii="宋体" w:hAnsi="宋体" w:eastAsia="宋体" w:cs="宋体"/>
          <w:bCs/>
          <w:color w:val="auto"/>
          <w:sz w:val="44"/>
          <w:highlight w:val="none"/>
        </w:rPr>
      </w:pPr>
    </w:p>
    <w:p w14:paraId="78B46A92">
      <w:pPr>
        <w:pStyle w:val="5"/>
        <w:numPr>
          <w:ilvl w:val="0"/>
          <w:numId w:val="0"/>
        </w:numPr>
        <w:jc w:val="center"/>
        <w:rPr>
          <w:rFonts w:hint="eastAsia" w:ascii="宋体" w:hAnsi="宋体" w:eastAsia="宋体" w:cs="宋体"/>
          <w:color w:val="auto"/>
          <w:sz w:val="44"/>
          <w:highlight w:val="none"/>
          <w:lang w:val="en-US" w:eastAsia="zh-CN"/>
        </w:rPr>
      </w:pPr>
      <w:r>
        <w:rPr>
          <w:rFonts w:hint="eastAsia" w:ascii="宋体" w:hAnsi="宋体" w:eastAsia="宋体" w:cs="宋体"/>
          <w:color w:val="auto"/>
          <w:sz w:val="44"/>
          <w:highlight w:val="none"/>
          <w:lang w:val="en-US" w:eastAsia="zh-CN"/>
        </w:rPr>
        <w:br w:type="page"/>
      </w:r>
      <w:r>
        <w:rPr>
          <w:rFonts w:hint="eastAsia" w:ascii="宋体" w:hAnsi="宋体" w:eastAsia="宋体" w:cs="宋体"/>
          <w:b w:val="0"/>
          <w:bCs w:val="0"/>
          <w:color w:val="auto"/>
          <w:kern w:val="2"/>
          <w:sz w:val="32"/>
          <w:szCs w:val="32"/>
          <w:highlight w:val="none"/>
          <w:lang w:val="en-US" w:eastAsia="zh-CN" w:bidi="ar-SA"/>
        </w:rPr>
        <w:t>六、其他</w:t>
      </w:r>
    </w:p>
    <w:p w14:paraId="5F2B66AE">
      <w:pPr>
        <w:pStyle w:val="5"/>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sz w:val="28"/>
          <w:highlight w:val="none"/>
        </w:rPr>
        <w:t>格式自拟（</w:t>
      </w:r>
      <w:r>
        <w:rPr>
          <w:rFonts w:hint="eastAsia" w:ascii="宋体" w:hAnsi="宋体" w:eastAsia="宋体" w:cs="宋体"/>
          <w:color w:val="auto"/>
          <w:sz w:val="28"/>
          <w:highlight w:val="none"/>
          <w:lang w:val="en-US" w:eastAsia="zh-CN"/>
        </w:rPr>
        <w:t>按第二章前附表中投标文件顺序资料编写并装订成册</w:t>
      </w:r>
      <w:r>
        <w:rPr>
          <w:rFonts w:hint="eastAsia" w:ascii="宋体" w:hAnsi="宋体" w:eastAsia="宋体" w:cs="宋体"/>
          <w:color w:val="auto"/>
          <w:sz w:val="28"/>
          <w:highlight w:val="none"/>
        </w:rPr>
        <w:t>）。</w:t>
      </w:r>
    </w:p>
    <w:p w14:paraId="7C846197">
      <w:pPr>
        <w:pStyle w:val="5"/>
        <w:jc w:val="center"/>
        <w:rPr>
          <w:rFonts w:ascii="宋体" w:hAnsi="宋体" w:cs="宋体"/>
          <w:color w:val="auto"/>
          <w:kern w:val="1"/>
          <w:sz w:val="24"/>
          <w:szCs w:val="24"/>
        </w:rPr>
      </w:pPr>
    </w:p>
    <w:p w14:paraId="4459A7C8">
      <w:pPr>
        <w:spacing w:line="540" w:lineRule="exact"/>
        <w:rPr>
          <w:rFonts w:ascii="宋体" w:hAnsi="宋体" w:cs="宋体"/>
          <w:color w:val="auto"/>
          <w:kern w:val="1"/>
          <w:sz w:val="24"/>
        </w:rPr>
        <w:sectPr>
          <w:pgSz w:w="11906" w:h="16838"/>
          <w:pgMar w:top="1134" w:right="1174" w:bottom="1134" w:left="1380" w:header="851" w:footer="992" w:gutter="0"/>
          <w:pgNumType w:start="1"/>
          <w:cols w:space="720" w:num="1"/>
          <w:titlePg/>
          <w:docGrid w:type="lines" w:linePitch="312" w:charSpace="0"/>
        </w:sectPr>
      </w:pPr>
    </w:p>
    <w:p w14:paraId="071F2CB6">
      <w:pPr>
        <w:spacing w:line="540" w:lineRule="exact"/>
        <w:jc w:val="center"/>
        <w:rPr>
          <w:rFonts w:ascii="宋体" w:hAnsi="宋体" w:cs="宋体"/>
          <w:color w:val="auto"/>
          <w:sz w:val="44"/>
        </w:rPr>
      </w:pPr>
      <w:r>
        <w:rPr>
          <w:rFonts w:hint="eastAsia" w:ascii="宋体" w:hAnsi="宋体" w:cs="宋体"/>
          <w:b/>
          <w:bCs/>
          <w:color w:val="auto"/>
          <w:sz w:val="40"/>
          <w:szCs w:val="22"/>
        </w:rPr>
        <w:t>第五章  采购项目委托代理框架协议（模板）</w:t>
      </w:r>
    </w:p>
    <w:p w14:paraId="3BFDC53A">
      <w:pPr>
        <w:rPr>
          <w:rFonts w:ascii="宋体" w:hAnsi="宋体" w:cs="宋体"/>
          <w:color w:val="auto"/>
        </w:rPr>
      </w:pPr>
    </w:p>
    <w:p w14:paraId="7A95B26F">
      <w:pPr>
        <w:ind w:firstLine="482" w:firstLineChars="200"/>
        <w:rPr>
          <w:rFonts w:ascii="宋体" w:hAnsi="宋体" w:cs="宋体"/>
          <w:bCs/>
          <w:color w:val="auto"/>
          <w:sz w:val="24"/>
          <w:u w:val="single"/>
        </w:rPr>
      </w:pPr>
      <w:r>
        <w:rPr>
          <w:rFonts w:hint="eastAsia" w:ascii="宋体" w:hAnsi="宋体" w:cs="宋体"/>
          <w:b/>
          <w:bCs/>
          <w:color w:val="auto"/>
          <w:sz w:val="24"/>
        </w:rPr>
        <w:t>采 购 人（</w:t>
      </w:r>
      <w:r>
        <w:rPr>
          <w:rFonts w:hint="eastAsia" w:ascii="宋体" w:hAnsi="宋体" w:cs="宋体"/>
          <w:color w:val="auto"/>
          <w:sz w:val="24"/>
        </w:rPr>
        <w:t>以下称为甲方</w:t>
      </w:r>
      <w:r>
        <w:rPr>
          <w:rFonts w:hint="eastAsia" w:ascii="宋体" w:hAnsi="宋体" w:cs="宋体"/>
          <w:b/>
          <w:bCs/>
          <w:color w:val="auto"/>
          <w:sz w:val="24"/>
        </w:rPr>
        <w:t>）：</w:t>
      </w:r>
      <w:r>
        <w:rPr>
          <w:rFonts w:hint="eastAsia" w:ascii="宋体" w:hAnsi="宋体" w:cs="宋体"/>
          <w:color w:val="auto"/>
          <w:sz w:val="24"/>
          <w:u w:val="single"/>
        </w:rPr>
        <w:t xml:space="preserve">                       </w:t>
      </w:r>
    </w:p>
    <w:p w14:paraId="0507E211">
      <w:pPr>
        <w:widowControl/>
        <w:ind w:firstLine="480" w:firstLineChars="200"/>
        <w:jc w:val="left"/>
        <w:rPr>
          <w:rFonts w:ascii="宋体" w:hAnsi="宋体" w:cs="宋体"/>
          <w:bCs/>
          <w:color w:val="auto"/>
          <w:sz w:val="24"/>
          <w:u w:val="single"/>
        </w:rPr>
      </w:pPr>
      <w:r>
        <w:rPr>
          <w:rFonts w:hint="eastAsia" w:ascii="宋体" w:hAnsi="宋体" w:cs="宋体"/>
          <w:bCs/>
          <w:color w:val="auto"/>
          <w:sz w:val="24"/>
        </w:rPr>
        <w:t>联系人：</w:t>
      </w:r>
      <w:r>
        <w:rPr>
          <w:rFonts w:hint="eastAsia" w:ascii="宋体" w:hAnsi="宋体" w:cs="宋体"/>
          <w:bCs/>
          <w:color w:val="auto"/>
          <w:sz w:val="24"/>
          <w:u w:val="single"/>
        </w:rPr>
        <w:t xml:space="preserve">           </w:t>
      </w:r>
      <w:r>
        <w:rPr>
          <w:rFonts w:hint="eastAsia" w:ascii="宋体" w:hAnsi="宋体" w:cs="宋体"/>
          <w:color w:val="auto"/>
          <w:kern w:val="0"/>
          <w:sz w:val="24"/>
        </w:rPr>
        <w:t xml:space="preserve">     联系电话：</w:t>
      </w:r>
      <w:r>
        <w:rPr>
          <w:rFonts w:hint="eastAsia" w:ascii="宋体" w:hAnsi="宋体" w:cs="宋体"/>
          <w:bCs/>
          <w:color w:val="auto"/>
          <w:sz w:val="24"/>
          <w:u w:val="single"/>
        </w:rPr>
        <w:t xml:space="preserve">              </w:t>
      </w:r>
    </w:p>
    <w:p w14:paraId="74B190AD">
      <w:pPr>
        <w:ind w:firstLine="482" w:firstLineChars="200"/>
        <w:rPr>
          <w:rFonts w:ascii="宋体" w:hAnsi="宋体" w:cs="宋体"/>
          <w:color w:val="auto"/>
          <w:sz w:val="24"/>
        </w:rPr>
      </w:pPr>
      <w:r>
        <w:rPr>
          <w:rFonts w:hint="eastAsia" w:ascii="宋体" w:hAnsi="宋体" w:cs="宋体"/>
          <w:b/>
          <w:bCs/>
          <w:color w:val="auto"/>
          <w:sz w:val="24"/>
        </w:rPr>
        <w:t>采购代理机构（</w:t>
      </w:r>
      <w:r>
        <w:rPr>
          <w:rFonts w:hint="eastAsia" w:ascii="宋体" w:hAnsi="宋体" w:cs="宋体"/>
          <w:color w:val="auto"/>
          <w:sz w:val="24"/>
        </w:rPr>
        <w:t>以下称为乙方</w:t>
      </w:r>
      <w:r>
        <w:rPr>
          <w:rFonts w:hint="eastAsia" w:ascii="宋体" w:hAnsi="宋体" w:cs="宋体"/>
          <w:b/>
          <w:bCs/>
          <w:color w:val="auto"/>
          <w:sz w:val="24"/>
        </w:rPr>
        <w:t>）：</w:t>
      </w:r>
      <w:r>
        <w:rPr>
          <w:rFonts w:hint="eastAsia" w:ascii="宋体" w:hAnsi="宋体" w:cs="宋体"/>
          <w:bCs/>
          <w:color w:val="auto"/>
          <w:sz w:val="24"/>
          <w:u w:val="single"/>
        </w:rPr>
        <w:t xml:space="preserve">                   </w:t>
      </w:r>
      <w:r>
        <w:rPr>
          <w:rFonts w:hint="eastAsia" w:ascii="宋体" w:hAnsi="宋体" w:cs="宋体"/>
          <w:bCs/>
          <w:color w:val="auto"/>
          <w:sz w:val="24"/>
        </w:rPr>
        <w:t xml:space="preserve"> </w:t>
      </w:r>
    </w:p>
    <w:p w14:paraId="74CA7965">
      <w:pPr>
        <w:ind w:firstLine="480" w:firstLineChars="200"/>
        <w:rPr>
          <w:rFonts w:ascii="宋体" w:hAnsi="宋体" w:cs="宋体"/>
          <w:bCs/>
          <w:color w:val="auto"/>
          <w:sz w:val="24"/>
        </w:rPr>
      </w:pPr>
      <w:r>
        <w:rPr>
          <w:rFonts w:hint="eastAsia" w:ascii="宋体" w:hAnsi="宋体" w:cs="宋体"/>
          <w:bCs/>
          <w:color w:val="auto"/>
          <w:sz w:val="24"/>
        </w:rPr>
        <w:t>联系人：</w:t>
      </w:r>
      <w:r>
        <w:rPr>
          <w:rFonts w:hint="eastAsia" w:ascii="宋体" w:hAnsi="宋体" w:cs="宋体"/>
          <w:bCs/>
          <w:color w:val="auto"/>
          <w:sz w:val="24"/>
          <w:u w:val="single"/>
        </w:rPr>
        <w:t xml:space="preserve">           </w:t>
      </w:r>
      <w:r>
        <w:rPr>
          <w:rFonts w:hint="eastAsia" w:ascii="宋体" w:hAnsi="宋体" w:cs="宋体"/>
          <w:bCs/>
          <w:color w:val="auto"/>
          <w:sz w:val="24"/>
        </w:rPr>
        <w:t xml:space="preserve"> </w:t>
      </w:r>
      <w:r>
        <w:rPr>
          <w:rFonts w:hint="eastAsia" w:ascii="宋体" w:hAnsi="宋体" w:cs="宋体"/>
          <w:bCs/>
          <w:color w:val="auto"/>
          <w:sz w:val="24"/>
        </w:rPr>
        <w:tab/>
      </w:r>
      <w:r>
        <w:rPr>
          <w:rFonts w:hint="eastAsia" w:ascii="宋体" w:hAnsi="宋体" w:cs="宋体"/>
          <w:bCs/>
          <w:color w:val="auto"/>
          <w:sz w:val="24"/>
        </w:rPr>
        <w:t xml:space="preserve">   联系电话：</w:t>
      </w:r>
      <w:r>
        <w:rPr>
          <w:rFonts w:hint="eastAsia" w:ascii="宋体" w:hAnsi="宋体" w:cs="宋体"/>
          <w:bCs/>
          <w:color w:val="auto"/>
          <w:sz w:val="24"/>
          <w:u w:val="single"/>
        </w:rPr>
        <w:t xml:space="preserve">                 </w:t>
      </w:r>
    </w:p>
    <w:p w14:paraId="6CF7E3AA">
      <w:pPr>
        <w:ind w:firstLine="480" w:firstLineChars="200"/>
        <w:jc w:val="left"/>
        <w:rPr>
          <w:rFonts w:ascii="宋体" w:hAnsi="宋体" w:cs="宋体"/>
          <w:color w:val="auto"/>
          <w:sz w:val="24"/>
          <w:u w:val="single"/>
        </w:rPr>
      </w:pPr>
      <w:r>
        <w:rPr>
          <w:rFonts w:hint="eastAsia" w:ascii="宋体" w:hAnsi="宋体" w:cs="宋体"/>
          <w:color w:val="auto"/>
          <w:sz w:val="24"/>
        </w:rPr>
        <w:t>根据相关法律法规的有关规定，甲方就</w:t>
      </w:r>
      <w:r>
        <w:rPr>
          <w:rFonts w:hint="eastAsia" w:ascii="宋体" w:hAnsi="宋体" w:cs="宋体"/>
          <w:color w:val="auto"/>
          <w:sz w:val="24"/>
          <w:u w:val="single"/>
        </w:rPr>
        <w:t xml:space="preserve">                                 </w:t>
      </w:r>
      <w:r>
        <w:rPr>
          <w:rFonts w:hint="eastAsia" w:ascii="宋体" w:hAnsi="宋体" w:cs="宋体"/>
          <w:color w:val="auto"/>
          <w:sz w:val="24"/>
        </w:rPr>
        <w:t>委托乙方组织实施采购。为明确各自的权利与责任，经双方友好协商一致，达成如下协议：</w:t>
      </w:r>
    </w:p>
    <w:p w14:paraId="4CED3926">
      <w:pPr>
        <w:numPr>
          <w:ilvl w:val="0"/>
          <w:numId w:val="3"/>
        </w:numPr>
        <w:ind w:firstLine="555"/>
        <w:rPr>
          <w:rFonts w:ascii="宋体" w:hAnsi="宋体" w:cs="宋体"/>
          <w:b/>
          <w:bCs/>
          <w:color w:val="auto"/>
          <w:sz w:val="24"/>
        </w:rPr>
      </w:pPr>
      <w:r>
        <w:rPr>
          <w:rFonts w:hint="eastAsia" w:ascii="宋体" w:hAnsi="宋体" w:cs="宋体"/>
          <w:b/>
          <w:bCs/>
          <w:color w:val="auto"/>
          <w:sz w:val="24"/>
        </w:rPr>
        <w:t>委托项目内容、数量及预算金额</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3473"/>
        <w:gridCol w:w="2270"/>
        <w:gridCol w:w="2270"/>
      </w:tblGrid>
      <w:tr w14:paraId="343A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tcPr>
          <w:p w14:paraId="412C1E37">
            <w:pPr>
              <w:jc w:val="center"/>
              <w:rPr>
                <w:rFonts w:ascii="宋体" w:hAnsi="宋体" w:cs="宋体"/>
                <w:color w:val="auto"/>
                <w:sz w:val="24"/>
              </w:rPr>
            </w:pPr>
            <w:r>
              <w:rPr>
                <w:rFonts w:hint="eastAsia" w:ascii="宋体" w:hAnsi="宋体" w:cs="宋体"/>
                <w:color w:val="auto"/>
                <w:sz w:val="24"/>
              </w:rPr>
              <w:t>序号</w:t>
            </w:r>
          </w:p>
        </w:tc>
        <w:tc>
          <w:tcPr>
            <w:tcW w:w="3473" w:type="dxa"/>
          </w:tcPr>
          <w:p w14:paraId="78938C7F">
            <w:pPr>
              <w:jc w:val="center"/>
              <w:rPr>
                <w:rFonts w:ascii="宋体" w:hAnsi="宋体" w:cs="宋体"/>
                <w:color w:val="auto"/>
                <w:sz w:val="24"/>
              </w:rPr>
            </w:pPr>
            <w:r>
              <w:rPr>
                <w:rFonts w:hint="eastAsia" w:ascii="宋体" w:hAnsi="宋体" w:cs="宋体"/>
                <w:color w:val="auto"/>
                <w:sz w:val="24"/>
              </w:rPr>
              <w:t>项目名称</w:t>
            </w:r>
          </w:p>
        </w:tc>
        <w:tc>
          <w:tcPr>
            <w:tcW w:w="2270" w:type="dxa"/>
          </w:tcPr>
          <w:p w14:paraId="607AC1A1">
            <w:pPr>
              <w:jc w:val="center"/>
              <w:rPr>
                <w:rFonts w:ascii="宋体" w:hAnsi="宋体" w:cs="宋体"/>
                <w:color w:val="auto"/>
                <w:sz w:val="24"/>
              </w:rPr>
            </w:pPr>
            <w:r>
              <w:rPr>
                <w:rFonts w:hint="eastAsia" w:ascii="宋体" w:hAnsi="宋体" w:cs="宋体"/>
                <w:color w:val="auto"/>
                <w:sz w:val="24"/>
              </w:rPr>
              <w:t>预算金额</w:t>
            </w:r>
          </w:p>
        </w:tc>
        <w:tc>
          <w:tcPr>
            <w:tcW w:w="2270" w:type="dxa"/>
          </w:tcPr>
          <w:p w14:paraId="27B298BA">
            <w:pPr>
              <w:jc w:val="center"/>
              <w:rPr>
                <w:rFonts w:ascii="宋体" w:hAnsi="宋体" w:cs="宋体"/>
                <w:color w:val="auto"/>
                <w:sz w:val="24"/>
              </w:rPr>
            </w:pPr>
            <w:r>
              <w:rPr>
                <w:rFonts w:hint="eastAsia" w:ascii="宋体" w:hAnsi="宋体" w:cs="宋体"/>
                <w:color w:val="auto"/>
                <w:sz w:val="24"/>
              </w:rPr>
              <w:t>备注</w:t>
            </w:r>
          </w:p>
        </w:tc>
      </w:tr>
      <w:tr w14:paraId="349D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tcPr>
          <w:p w14:paraId="47D8CEAE">
            <w:pPr>
              <w:rPr>
                <w:rFonts w:ascii="宋体" w:hAnsi="宋体" w:cs="宋体"/>
                <w:color w:val="auto"/>
                <w:sz w:val="24"/>
              </w:rPr>
            </w:pPr>
          </w:p>
        </w:tc>
        <w:tc>
          <w:tcPr>
            <w:tcW w:w="3473" w:type="dxa"/>
          </w:tcPr>
          <w:p w14:paraId="48E75328">
            <w:pPr>
              <w:rPr>
                <w:rFonts w:ascii="宋体" w:hAnsi="宋体" w:cs="宋体"/>
                <w:color w:val="auto"/>
                <w:sz w:val="24"/>
              </w:rPr>
            </w:pPr>
          </w:p>
        </w:tc>
        <w:tc>
          <w:tcPr>
            <w:tcW w:w="2270" w:type="dxa"/>
          </w:tcPr>
          <w:p w14:paraId="2E30C397">
            <w:pPr>
              <w:rPr>
                <w:rFonts w:ascii="宋体" w:hAnsi="宋体" w:cs="宋体"/>
                <w:color w:val="auto"/>
                <w:sz w:val="24"/>
              </w:rPr>
            </w:pPr>
          </w:p>
        </w:tc>
        <w:tc>
          <w:tcPr>
            <w:tcW w:w="2270" w:type="dxa"/>
          </w:tcPr>
          <w:p w14:paraId="7774A1AF">
            <w:pPr>
              <w:rPr>
                <w:rFonts w:ascii="宋体" w:hAnsi="宋体" w:cs="宋体"/>
                <w:color w:val="auto"/>
                <w:sz w:val="24"/>
              </w:rPr>
            </w:pPr>
          </w:p>
        </w:tc>
      </w:tr>
    </w:tbl>
    <w:p w14:paraId="16C6A09D">
      <w:pPr>
        <w:ind w:firstLine="555"/>
        <w:rPr>
          <w:rFonts w:ascii="宋体" w:hAnsi="宋体" w:cs="宋体"/>
          <w:b/>
          <w:bCs/>
          <w:color w:val="auto"/>
          <w:sz w:val="24"/>
        </w:rPr>
      </w:pPr>
      <w:r>
        <w:rPr>
          <w:rFonts w:hint="eastAsia" w:ascii="宋体" w:hAnsi="宋体" w:cs="宋体"/>
          <w:b/>
          <w:bCs/>
          <w:color w:val="auto"/>
          <w:sz w:val="24"/>
        </w:rPr>
        <w:t>二、基本原则</w:t>
      </w:r>
    </w:p>
    <w:p w14:paraId="49BCC0DE">
      <w:pPr>
        <w:ind w:firstLine="555"/>
        <w:rPr>
          <w:rFonts w:ascii="宋体" w:hAnsi="宋体" w:cs="宋体"/>
          <w:color w:val="auto"/>
          <w:sz w:val="24"/>
          <w:u w:val="single"/>
        </w:rPr>
      </w:pPr>
      <w:r>
        <w:rPr>
          <w:rFonts w:hint="eastAsia" w:ascii="宋体" w:hAnsi="宋体" w:cs="宋体"/>
          <w:color w:val="auto"/>
          <w:sz w:val="24"/>
        </w:rPr>
        <w:t>1.甲方应当为有权独立进行项目采购的单位，乙方应当是已经在浙江政府采购网登记备案的符合资格的政府采购代理机构。</w:t>
      </w:r>
    </w:p>
    <w:p w14:paraId="087EAA11">
      <w:pPr>
        <w:ind w:firstLine="555"/>
        <w:rPr>
          <w:rFonts w:ascii="宋体" w:hAnsi="宋体" w:cs="宋体"/>
          <w:color w:val="auto"/>
          <w:sz w:val="24"/>
        </w:rPr>
      </w:pPr>
      <w:r>
        <w:rPr>
          <w:rFonts w:hint="eastAsia" w:ascii="宋体" w:hAnsi="宋体" w:cs="宋体"/>
          <w:color w:val="auto"/>
          <w:sz w:val="24"/>
        </w:rPr>
        <w:t>2.甲方保证委托项目的真实性、合法性和有效性，并承担相应保证责任。</w:t>
      </w:r>
    </w:p>
    <w:p w14:paraId="008E0FAB">
      <w:pPr>
        <w:ind w:firstLine="555"/>
        <w:rPr>
          <w:rFonts w:ascii="宋体" w:hAnsi="宋体" w:cs="宋体"/>
          <w:color w:val="auto"/>
          <w:sz w:val="24"/>
        </w:rPr>
      </w:pPr>
      <w:r>
        <w:rPr>
          <w:rFonts w:hint="eastAsia" w:ascii="宋体" w:hAnsi="宋体" w:cs="宋体"/>
          <w:color w:val="auto"/>
          <w:sz w:val="24"/>
        </w:rPr>
        <w:t>3.甲方委托乙方依法代理其组织本次采购活动，配合相关采购程序的推进，并自愿接受代理结果。</w:t>
      </w:r>
    </w:p>
    <w:p w14:paraId="7CC957C6">
      <w:pPr>
        <w:ind w:firstLine="555"/>
        <w:rPr>
          <w:rFonts w:ascii="宋体" w:hAnsi="宋体" w:cs="宋体"/>
          <w:color w:val="auto"/>
          <w:sz w:val="24"/>
        </w:rPr>
      </w:pPr>
      <w:r>
        <w:rPr>
          <w:rFonts w:hint="eastAsia" w:ascii="宋体" w:hAnsi="宋体" w:cs="宋体"/>
          <w:color w:val="auto"/>
          <w:sz w:val="24"/>
        </w:rPr>
        <w:t>4.乙方依法自主组织本次采购活动，接受相关监管部门依法监督。</w:t>
      </w:r>
    </w:p>
    <w:p w14:paraId="65C458C8">
      <w:pPr>
        <w:ind w:firstLine="555"/>
        <w:rPr>
          <w:rFonts w:ascii="宋体" w:hAnsi="宋体" w:cs="宋体"/>
          <w:color w:val="auto"/>
          <w:sz w:val="24"/>
          <w:u w:val="single"/>
        </w:rPr>
      </w:pPr>
      <w:r>
        <w:rPr>
          <w:rFonts w:hint="eastAsia" w:ascii="宋体" w:hAnsi="宋体" w:cs="宋体"/>
          <w:color w:val="auto"/>
          <w:sz w:val="24"/>
        </w:rPr>
        <w:t>5.甲方保证其提供的采购标准符合相关法律法规的规定。</w:t>
      </w:r>
    </w:p>
    <w:p w14:paraId="68E1A7FA">
      <w:pPr>
        <w:ind w:firstLine="435"/>
        <w:rPr>
          <w:rFonts w:ascii="宋体" w:hAnsi="宋体" w:cs="宋体"/>
          <w:b/>
          <w:bCs/>
          <w:color w:val="auto"/>
          <w:sz w:val="24"/>
        </w:rPr>
      </w:pPr>
      <w:r>
        <w:rPr>
          <w:rFonts w:hint="eastAsia" w:ascii="宋体" w:hAnsi="宋体" w:cs="宋体"/>
          <w:b/>
          <w:bCs/>
          <w:color w:val="auto"/>
          <w:sz w:val="24"/>
        </w:rPr>
        <w:t>三、协议效力</w:t>
      </w:r>
    </w:p>
    <w:p w14:paraId="7B189F1F">
      <w:pPr>
        <w:ind w:firstLine="480" w:firstLineChars="200"/>
        <w:rPr>
          <w:rFonts w:ascii="宋体" w:hAnsi="宋体" w:cs="宋体"/>
          <w:color w:val="auto"/>
          <w:sz w:val="24"/>
        </w:rPr>
      </w:pPr>
      <w:r>
        <w:rPr>
          <w:rFonts w:hint="eastAsia" w:ascii="宋体" w:hAnsi="宋体" w:cs="宋体"/>
          <w:color w:val="auto"/>
          <w:sz w:val="24"/>
        </w:rPr>
        <w:t>本协议对甲方委托乙方采购的项目都具有效力。本协议相关条款为一般性要求，采购单位如对具体采购项目有特殊要求时，双方协商后可另行签订补充协议进行约定。</w:t>
      </w:r>
    </w:p>
    <w:p w14:paraId="60DB1DC4">
      <w:pPr>
        <w:ind w:firstLine="435"/>
        <w:rPr>
          <w:rFonts w:ascii="宋体" w:hAnsi="宋体" w:cs="宋体"/>
          <w:b/>
          <w:bCs/>
          <w:color w:val="auto"/>
          <w:sz w:val="24"/>
        </w:rPr>
      </w:pPr>
      <w:r>
        <w:rPr>
          <w:rFonts w:hint="eastAsia" w:ascii="宋体" w:hAnsi="宋体" w:cs="宋体"/>
          <w:b/>
          <w:bCs/>
          <w:color w:val="auto"/>
          <w:sz w:val="24"/>
        </w:rPr>
        <w:t>四、委托事项</w:t>
      </w:r>
    </w:p>
    <w:p w14:paraId="11F5B920">
      <w:pPr>
        <w:ind w:firstLine="435"/>
        <w:rPr>
          <w:rFonts w:ascii="宋体" w:hAnsi="宋体" w:cs="宋体"/>
          <w:color w:val="auto"/>
          <w:sz w:val="24"/>
        </w:rPr>
      </w:pPr>
      <w:r>
        <w:rPr>
          <w:rFonts w:hint="eastAsia" w:ascii="宋体" w:hAnsi="宋体" w:cs="宋体"/>
          <w:color w:val="auto"/>
          <w:sz w:val="24"/>
        </w:rPr>
        <w:t>1.依法发布采购信息及相关公告等；</w:t>
      </w:r>
    </w:p>
    <w:p w14:paraId="482C597F">
      <w:pPr>
        <w:ind w:firstLine="435"/>
        <w:rPr>
          <w:rFonts w:ascii="宋体" w:hAnsi="宋体" w:cs="宋体"/>
          <w:color w:val="auto"/>
          <w:sz w:val="24"/>
        </w:rPr>
      </w:pPr>
      <w:r>
        <w:rPr>
          <w:rFonts w:hint="eastAsia" w:ascii="宋体" w:hAnsi="宋体" w:cs="宋体"/>
          <w:color w:val="auto"/>
          <w:sz w:val="24"/>
        </w:rPr>
        <w:t>2.根据甲方提供的采购需求，编制采购文件；</w:t>
      </w:r>
    </w:p>
    <w:p w14:paraId="3FA4FB2A">
      <w:pPr>
        <w:ind w:firstLine="435"/>
        <w:rPr>
          <w:rFonts w:ascii="宋体" w:hAnsi="宋体" w:cs="宋体"/>
          <w:color w:val="auto"/>
          <w:sz w:val="24"/>
        </w:rPr>
      </w:pPr>
      <w:r>
        <w:rPr>
          <w:rFonts w:hint="eastAsia" w:ascii="宋体" w:hAnsi="宋体" w:cs="宋体"/>
          <w:color w:val="auto"/>
          <w:sz w:val="24"/>
        </w:rPr>
        <w:t>3.确定采购方式、评审办法和评审标准；</w:t>
      </w:r>
    </w:p>
    <w:p w14:paraId="39A19D62">
      <w:pPr>
        <w:ind w:firstLine="435"/>
        <w:rPr>
          <w:rFonts w:ascii="宋体" w:hAnsi="宋体" w:cs="宋体"/>
          <w:color w:val="auto"/>
          <w:sz w:val="24"/>
        </w:rPr>
      </w:pPr>
      <w:r>
        <w:rPr>
          <w:rFonts w:hint="eastAsia" w:ascii="宋体" w:hAnsi="宋体" w:cs="宋体"/>
          <w:color w:val="auto"/>
          <w:sz w:val="24"/>
        </w:rPr>
        <w:t>4.依法组织采购活动，包括：发出采购文件、组织论证、接收投标（或谈判、报价）文件、代管保证金、依法组建评审委员会、组织开标评审活动、向中标（成交）供应商发出中标（成交）通知书。</w:t>
      </w:r>
    </w:p>
    <w:p w14:paraId="5B7BBC2C">
      <w:pPr>
        <w:ind w:firstLine="435"/>
        <w:rPr>
          <w:rFonts w:ascii="宋体" w:hAnsi="宋体" w:cs="宋体"/>
          <w:color w:val="auto"/>
          <w:sz w:val="24"/>
        </w:rPr>
      </w:pPr>
      <w:r>
        <w:rPr>
          <w:rFonts w:hint="eastAsia" w:ascii="宋体" w:hAnsi="宋体" w:cs="宋体"/>
          <w:color w:val="auto"/>
          <w:sz w:val="24"/>
        </w:rPr>
        <w:t>5.委托期限：自合同签订之日起至</w:t>
      </w:r>
      <w:r>
        <w:rPr>
          <w:rFonts w:hint="eastAsia" w:ascii="宋体" w:hAnsi="宋体" w:cs="宋体"/>
          <w:color w:val="auto"/>
          <w:sz w:val="24"/>
          <w:lang w:eastAsia="zh-CN"/>
        </w:rPr>
        <w:t>2026</w:t>
      </w:r>
      <w:r>
        <w:rPr>
          <w:rFonts w:hint="eastAsia" w:ascii="宋体" w:hAnsi="宋体" w:cs="宋体"/>
          <w:color w:val="auto"/>
          <w:sz w:val="24"/>
        </w:rPr>
        <w:t>年12月31止。</w:t>
      </w:r>
    </w:p>
    <w:p w14:paraId="63D80307">
      <w:pPr>
        <w:ind w:firstLine="435"/>
        <w:rPr>
          <w:rFonts w:ascii="宋体" w:hAnsi="宋体" w:cs="宋体"/>
          <w:b/>
          <w:bCs/>
          <w:color w:val="auto"/>
          <w:sz w:val="24"/>
        </w:rPr>
      </w:pPr>
      <w:r>
        <w:rPr>
          <w:rFonts w:hint="eastAsia" w:ascii="宋体" w:hAnsi="宋体" w:cs="宋体"/>
          <w:b/>
          <w:bCs/>
          <w:color w:val="auto"/>
          <w:sz w:val="24"/>
        </w:rPr>
        <w:t>五、甲方权利义务</w:t>
      </w:r>
    </w:p>
    <w:p w14:paraId="763E9AAB">
      <w:pPr>
        <w:ind w:firstLine="435"/>
        <w:rPr>
          <w:rFonts w:ascii="宋体" w:hAnsi="宋体" w:cs="宋体"/>
          <w:color w:val="auto"/>
          <w:sz w:val="24"/>
        </w:rPr>
      </w:pPr>
      <w:r>
        <w:rPr>
          <w:rFonts w:hint="eastAsia" w:ascii="宋体" w:hAnsi="宋体" w:cs="宋体"/>
          <w:color w:val="auto"/>
          <w:sz w:val="24"/>
        </w:rPr>
        <w:t>1.负责提供项目具体采购标准，并确保内容的真实性、合法性和有效性。甲方提供的采购标准应当符合相关法律法规的要求。</w:t>
      </w:r>
    </w:p>
    <w:p w14:paraId="63561198">
      <w:pPr>
        <w:ind w:firstLine="435"/>
        <w:rPr>
          <w:rFonts w:ascii="宋体" w:hAnsi="宋体" w:cs="宋体"/>
          <w:color w:val="auto"/>
          <w:sz w:val="24"/>
        </w:rPr>
      </w:pPr>
      <w:r>
        <w:rPr>
          <w:rFonts w:hint="eastAsia" w:ascii="宋体" w:hAnsi="宋体" w:cs="宋体"/>
          <w:color w:val="auto"/>
          <w:sz w:val="24"/>
        </w:rPr>
        <w:t>2.甲方指定熟悉本项目情况的有关人员对整个政府采购活动的全过程进行跟踪、协作，配合乙方工作。</w:t>
      </w:r>
    </w:p>
    <w:p w14:paraId="1A7AC864">
      <w:pPr>
        <w:ind w:firstLine="435"/>
        <w:rPr>
          <w:rFonts w:ascii="宋体" w:hAnsi="宋体" w:cs="宋体"/>
          <w:color w:val="auto"/>
          <w:sz w:val="24"/>
        </w:rPr>
      </w:pPr>
      <w:r>
        <w:rPr>
          <w:rFonts w:hint="eastAsia" w:ascii="宋体" w:hAnsi="宋体" w:cs="宋体"/>
          <w:color w:val="auto"/>
          <w:sz w:val="24"/>
        </w:rPr>
        <w:t>3.对需要报请主管部门备案和审批的事项，依法向主管部门报送相关书面文件。</w:t>
      </w:r>
    </w:p>
    <w:p w14:paraId="2E1032E7">
      <w:pPr>
        <w:ind w:firstLine="435"/>
        <w:rPr>
          <w:rFonts w:ascii="宋体" w:hAnsi="宋体" w:cs="宋体"/>
          <w:color w:val="auto"/>
          <w:sz w:val="24"/>
        </w:rPr>
      </w:pPr>
      <w:r>
        <w:rPr>
          <w:rFonts w:hint="eastAsia" w:ascii="宋体" w:hAnsi="宋体" w:cs="宋体"/>
          <w:color w:val="auto"/>
          <w:sz w:val="24"/>
        </w:rPr>
        <w:t>4.有权对乙方实施的代理事项提出询问，并按规定履行有关保密责任。</w:t>
      </w:r>
    </w:p>
    <w:p w14:paraId="1DFAA39A">
      <w:pPr>
        <w:ind w:firstLine="435"/>
        <w:rPr>
          <w:rFonts w:ascii="宋体" w:hAnsi="宋体" w:cs="宋体"/>
          <w:color w:val="auto"/>
          <w:sz w:val="24"/>
        </w:rPr>
      </w:pPr>
      <w:r>
        <w:rPr>
          <w:rFonts w:hint="eastAsia" w:ascii="宋体" w:hAnsi="宋体" w:cs="宋体"/>
          <w:color w:val="auto"/>
          <w:sz w:val="24"/>
        </w:rPr>
        <w:t>5.应派人协助乙方编制招标（或谈判、询价）文件。甲方应对采购文件审核并签字确认；对乙方在代理期间和代理权限内提出的与项目有关的问题及时答复乙方；对项目采购涉及的踏勘现场等活动提供便利和条件。</w:t>
      </w:r>
    </w:p>
    <w:p w14:paraId="0624EF3D">
      <w:pPr>
        <w:topLinePunct/>
        <w:ind w:firstLine="480" w:firstLineChars="200"/>
        <w:rPr>
          <w:rFonts w:ascii="宋体" w:hAnsi="宋体" w:cs="宋体"/>
          <w:color w:val="auto"/>
          <w:sz w:val="24"/>
        </w:rPr>
      </w:pPr>
      <w:r>
        <w:rPr>
          <w:rFonts w:hint="eastAsia" w:ascii="宋体" w:hAnsi="宋体" w:cs="宋体"/>
          <w:color w:val="auto"/>
          <w:sz w:val="24"/>
        </w:rPr>
        <w:t>6.负责审查评审报告，确认采购结果，在规定期限内与中标（成交）供应商严格按照采购文件和投标（谈判、报价）文件签订合同，所签订的合同不得对采购文件和投标文件进行实质性修改。</w:t>
      </w:r>
    </w:p>
    <w:p w14:paraId="2E327058">
      <w:pPr>
        <w:ind w:firstLine="435"/>
        <w:rPr>
          <w:rFonts w:ascii="宋体" w:hAnsi="宋体" w:cs="宋体"/>
          <w:color w:val="auto"/>
          <w:sz w:val="24"/>
        </w:rPr>
      </w:pPr>
      <w:r>
        <w:rPr>
          <w:rFonts w:hint="eastAsia" w:ascii="宋体" w:hAnsi="宋体" w:cs="宋体"/>
          <w:color w:val="auto"/>
          <w:sz w:val="24"/>
        </w:rPr>
        <w:t>7.应当妥善处理供应商提出的询问、质疑以及其他事项。</w:t>
      </w:r>
    </w:p>
    <w:p w14:paraId="2B24A3D8">
      <w:pPr>
        <w:ind w:firstLine="435"/>
        <w:rPr>
          <w:rFonts w:ascii="宋体" w:hAnsi="宋体" w:cs="宋体"/>
          <w:color w:val="auto"/>
          <w:sz w:val="24"/>
        </w:rPr>
      </w:pPr>
      <w:r>
        <w:rPr>
          <w:rFonts w:hint="eastAsia" w:ascii="宋体" w:hAnsi="宋体" w:cs="宋体"/>
          <w:color w:val="auto"/>
          <w:sz w:val="24"/>
        </w:rPr>
        <w:t>8.协助乙方完成组织采购活动的其他工作。</w:t>
      </w:r>
    </w:p>
    <w:p w14:paraId="08128D88">
      <w:pPr>
        <w:ind w:firstLine="435"/>
        <w:rPr>
          <w:rFonts w:ascii="宋体" w:hAnsi="宋体" w:cs="宋体"/>
          <w:color w:val="auto"/>
          <w:sz w:val="24"/>
        </w:rPr>
      </w:pPr>
      <w:r>
        <w:rPr>
          <w:rFonts w:hint="eastAsia" w:ascii="宋体" w:hAnsi="宋体" w:cs="宋体"/>
          <w:color w:val="auto"/>
          <w:sz w:val="24"/>
        </w:rPr>
        <w:t>9.因甲方管理需要或乙方工作失误等原因，甲方有权随时终止本协议。</w:t>
      </w:r>
    </w:p>
    <w:p w14:paraId="65E961BE">
      <w:pPr>
        <w:ind w:firstLine="435"/>
        <w:rPr>
          <w:rFonts w:ascii="宋体" w:hAnsi="宋体" w:cs="宋体"/>
          <w:color w:val="auto"/>
          <w:sz w:val="24"/>
        </w:rPr>
      </w:pPr>
      <w:r>
        <w:rPr>
          <w:rFonts w:hint="eastAsia" w:ascii="宋体" w:hAnsi="宋体" w:cs="宋体"/>
          <w:b/>
          <w:bCs/>
          <w:color w:val="auto"/>
          <w:sz w:val="24"/>
        </w:rPr>
        <w:t>六、乙方权利义务</w:t>
      </w:r>
      <w:r>
        <w:rPr>
          <w:rFonts w:hint="eastAsia" w:ascii="宋体" w:hAnsi="宋体" w:cs="宋体"/>
          <w:color w:val="auto"/>
          <w:sz w:val="24"/>
        </w:rPr>
        <w:t>：</w:t>
      </w:r>
    </w:p>
    <w:p w14:paraId="650D7510">
      <w:pPr>
        <w:ind w:firstLine="435"/>
        <w:rPr>
          <w:rFonts w:ascii="宋体" w:hAnsi="宋体" w:cs="宋体"/>
          <w:color w:val="auto"/>
          <w:sz w:val="24"/>
        </w:rPr>
      </w:pPr>
      <w:r>
        <w:rPr>
          <w:rFonts w:hint="eastAsia" w:ascii="宋体" w:hAnsi="宋体" w:cs="宋体"/>
          <w:color w:val="auto"/>
          <w:sz w:val="24"/>
        </w:rPr>
        <w:t>1.严格按照相关法律法规和采购监督管理部门赋予采购机构的权责组织采购活动，自觉接受甲方和有关部门的监督，及时向甲方通报采购计划和进度，保证采购计划顺利实施。</w:t>
      </w:r>
    </w:p>
    <w:p w14:paraId="5C479B5F">
      <w:pPr>
        <w:ind w:firstLine="435"/>
        <w:rPr>
          <w:rFonts w:ascii="宋体" w:hAnsi="宋体" w:cs="宋体"/>
          <w:color w:val="auto"/>
          <w:sz w:val="24"/>
        </w:rPr>
      </w:pPr>
      <w:r>
        <w:rPr>
          <w:rFonts w:hint="eastAsia" w:ascii="宋体" w:hAnsi="宋体" w:cs="宋体"/>
          <w:color w:val="auto"/>
          <w:sz w:val="24"/>
        </w:rPr>
        <w:t>2.在甲方的协助下，负责编制和备案招标（或谈判、询价）文件，及时公开发布采购信息。根据项目采购有关规定抽取评标专家，组织开评标。</w:t>
      </w:r>
    </w:p>
    <w:p w14:paraId="1CD72708">
      <w:pPr>
        <w:ind w:firstLine="435"/>
        <w:rPr>
          <w:rFonts w:ascii="宋体" w:hAnsi="宋体" w:cs="宋体"/>
          <w:color w:val="auto"/>
          <w:sz w:val="24"/>
        </w:rPr>
      </w:pPr>
      <w:r>
        <w:rPr>
          <w:rFonts w:hint="eastAsia" w:ascii="宋体" w:hAnsi="宋体" w:cs="宋体"/>
          <w:color w:val="auto"/>
          <w:sz w:val="24"/>
        </w:rPr>
        <w:t>3.在甲方委托的权限内，履行相应职责，并承担保密责任。</w:t>
      </w:r>
    </w:p>
    <w:p w14:paraId="706025DD">
      <w:pPr>
        <w:ind w:firstLine="435"/>
        <w:rPr>
          <w:rFonts w:ascii="宋体" w:hAnsi="宋体" w:cs="宋体"/>
          <w:color w:val="auto"/>
          <w:sz w:val="24"/>
        </w:rPr>
      </w:pPr>
      <w:r>
        <w:rPr>
          <w:rFonts w:hint="eastAsia" w:ascii="宋体" w:hAnsi="宋体" w:cs="宋体"/>
          <w:color w:val="auto"/>
          <w:sz w:val="24"/>
        </w:rPr>
        <w:t>4.就甲方委托授权乙方实施的事项，在乙方的职责范围内解答供应商提出的询问和质疑。</w:t>
      </w:r>
    </w:p>
    <w:p w14:paraId="330035CB">
      <w:pPr>
        <w:ind w:firstLine="435"/>
        <w:rPr>
          <w:rFonts w:ascii="宋体" w:hAnsi="宋体" w:cs="宋体"/>
          <w:color w:val="auto"/>
          <w:sz w:val="24"/>
        </w:rPr>
      </w:pPr>
      <w:r>
        <w:rPr>
          <w:rFonts w:hint="eastAsia" w:ascii="宋体" w:hAnsi="宋体" w:cs="宋体"/>
          <w:color w:val="auto"/>
          <w:sz w:val="24"/>
        </w:rPr>
        <w:t>5.按照采购有关规定，负责中标（或成交）通知书的鉴证，做好采购合同等资料的备案工作。</w:t>
      </w:r>
    </w:p>
    <w:p w14:paraId="1044215D">
      <w:pPr>
        <w:ind w:firstLine="435"/>
        <w:rPr>
          <w:rFonts w:ascii="宋体" w:hAnsi="宋体" w:cs="宋体"/>
          <w:color w:val="auto"/>
          <w:sz w:val="24"/>
        </w:rPr>
      </w:pPr>
      <w:r>
        <w:rPr>
          <w:rFonts w:hint="eastAsia" w:ascii="宋体" w:hAnsi="宋体" w:cs="宋体"/>
          <w:color w:val="auto"/>
          <w:sz w:val="24"/>
        </w:rPr>
        <w:t>6.按国家、省、市有关规定，做好采购文件和其他资料的存档。</w:t>
      </w:r>
    </w:p>
    <w:p w14:paraId="1258914F">
      <w:pPr>
        <w:ind w:firstLine="435"/>
        <w:rPr>
          <w:rFonts w:ascii="宋体" w:hAnsi="宋体" w:cs="宋体"/>
          <w:color w:val="auto"/>
          <w:sz w:val="24"/>
        </w:rPr>
      </w:pPr>
      <w:r>
        <w:rPr>
          <w:rFonts w:hint="eastAsia" w:ascii="宋体" w:hAnsi="宋体" w:cs="宋体"/>
          <w:color w:val="auto"/>
          <w:sz w:val="24"/>
        </w:rPr>
        <w:t>7.办理甲方委托的其他事项。</w:t>
      </w:r>
    </w:p>
    <w:p w14:paraId="2DD8568E">
      <w:pPr>
        <w:ind w:firstLine="435"/>
        <w:rPr>
          <w:rFonts w:ascii="宋体" w:hAnsi="宋体" w:cs="宋体"/>
          <w:b/>
          <w:bCs/>
          <w:color w:val="auto"/>
          <w:sz w:val="24"/>
        </w:rPr>
      </w:pPr>
      <w:r>
        <w:rPr>
          <w:rFonts w:hint="eastAsia" w:ascii="宋体" w:hAnsi="宋体" w:cs="宋体"/>
          <w:b/>
          <w:bCs/>
          <w:color w:val="auto"/>
          <w:sz w:val="24"/>
        </w:rPr>
        <w:t>七、双方的共同责任</w:t>
      </w:r>
    </w:p>
    <w:p w14:paraId="37E926D2">
      <w:pPr>
        <w:adjustRightInd w:val="0"/>
        <w:snapToGrid w:val="0"/>
        <w:ind w:firstLine="480" w:firstLineChars="200"/>
        <w:rPr>
          <w:rFonts w:ascii="宋体" w:hAnsi="宋体" w:cs="宋体"/>
          <w:color w:val="auto"/>
          <w:sz w:val="24"/>
        </w:rPr>
      </w:pPr>
      <w:r>
        <w:rPr>
          <w:rFonts w:hint="eastAsia" w:ascii="宋体" w:hAnsi="宋体" w:cs="宋体"/>
          <w:color w:val="auto"/>
          <w:sz w:val="24"/>
        </w:rPr>
        <w:t>1.在采购活动中，甲乙双方均有遵守廉政规定、采购纪律和承担保密的责任。</w:t>
      </w:r>
    </w:p>
    <w:p w14:paraId="4CFEFD40">
      <w:pPr>
        <w:adjustRightInd w:val="0"/>
        <w:snapToGrid w:val="0"/>
        <w:ind w:firstLine="480" w:firstLineChars="200"/>
        <w:rPr>
          <w:rFonts w:ascii="宋体" w:hAnsi="宋体" w:cs="宋体"/>
          <w:color w:val="auto"/>
          <w:sz w:val="24"/>
        </w:rPr>
      </w:pPr>
      <w:r>
        <w:rPr>
          <w:rFonts w:hint="eastAsia" w:ascii="宋体" w:hAnsi="宋体" w:cs="宋体"/>
          <w:color w:val="auto"/>
          <w:sz w:val="24"/>
        </w:rPr>
        <w:t>2.甲乙双方有调查处理并答复供应商质疑的共同义务。</w:t>
      </w:r>
    </w:p>
    <w:p w14:paraId="2AB93725">
      <w:pPr>
        <w:adjustRightInd w:val="0"/>
        <w:snapToGrid w:val="0"/>
        <w:ind w:firstLine="480" w:firstLineChars="200"/>
        <w:rPr>
          <w:rFonts w:ascii="宋体" w:hAnsi="宋体" w:cs="宋体"/>
          <w:color w:val="auto"/>
          <w:sz w:val="24"/>
        </w:rPr>
      </w:pPr>
      <w:r>
        <w:rPr>
          <w:rFonts w:hint="eastAsia" w:ascii="宋体" w:hAnsi="宋体" w:cs="宋体"/>
          <w:color w:val="auto"/>
          <w:sz w:val="24"/>
        </w:rPr>
        <w:t>3.甲乙双方应当全面履行各自的义务，如发生违约行为，应承担相应的责任。</w:t>
      </w:r>
    </w:p>
    <w:p w14:paraId="6C8A2E9D">
      <w:pPr>
        <w:adjustRightInd w:val="0"/>
        <w:snapToGrid w:val="0"/>
        <w:ind w:firstLine="480" w:firstLineChars="200"/>
        <w:rPr>
          <w:rFonts w:ascii="宋体" w:hAnsi="宋体" w:cs="宋体"/>
          <w:color w:val="auto"/>
          <w:sz w:val="24"/>
        </w:rPr>
      </w:pPr>
      <w:r>
        <w:rPr>
          <w:rFonts w:hint="eastAsia" w:ascii="宋体" w:hAnsi="宋体" w:cs="宋体"/>
          <w:color w:val="auto"/>
          <w:sz w:val="24"/>
        </w:rPr>
        <w:t>4.非法定事由，不得撤销委托，不得拒绝确认评标结果。</w:t>
      </w:r>
    </w:p>
    <w:p w14:paraId="25448E99">
      <w:pPr>
        <w:adjustRightInd w:val="0"/>
        <w:snapToGrid w:val="0"/>
        <w:ind w:firstLine="482" w:firstLineChars="200"/>
        <w:rPr>
          <w:rFonts w:ascii="宋体" w:hAnsi="宋体" w:cs="宋体"/>
          <w:b/>
          <w:color w:val="auto"/>
          <w:sz w:val="24"/>
        </w:rPr>
      </w:pPr>
      <w:r>
        <w:rPr>
          <w:rFonts w:hint="eastAsia" w:ascii="宋体" w:hAnsi="宋体" w:cs="宋体"/>
          <w:b/>
          <w:color w:val="auto"/>
          <w:sz w:val="24"/>
        </w:rPr>
        <w:t>八、费用</w:t>
      </w:r>
    </w:p>
    <w:p w14:paraId="39B85340">
      <w:pPr>
        <w:ind w:firstLine="435"/>
        <w:rPr>
          <w:rFonts w:hint="eastAsia" w:ascii="宋体" w:hAnsi="宋体" w:cs="宋体"/>
          <w:color w:val="auto"/>
          <w:sz w:val="24"/>
        </w:rPr>
      </w:pPr>
      <w:r>
        <w:rPr>
          <w:rFonts w:hint="eastAsia" w:ascii="宋体" w:hAnsi="宋体" w:cs="宋体"/>
          <w:color w:val="auto"/>
          <w:sz w:val="24"/>
        </w:rPr>
        <w:t>1、采购项目的招标代理费由中标方支付，具体收费标准按</w:t>
      </w:r>
      <w:r>
        <w:rPr>
          <w:rFonts w:hint="eastAsia" w:ascii="宋体" w:hAnsi="宋体" w:cs="宋体"/>
          <w:color w:val="auto"/>
          <w:sz w:val="24"/>
          <w:lang w:val="en-US" w:eastAsia="zh-CN"/>
        </w:rPr>
        <w:t>表格中计算标准</w:t>
      </w:r>
      <w:r>
        <w:rPr>
          <w:rFonts w:hint="eastAsia" w:ascii="宋体" w:hAnsi="宋体" w:cs="宋体"/>
          <w:color w:val="auto"/>
          <w:sz w:val="24"/>
        </w:rPr>
        <w:t>执行。本项目约定最高收费不超过人民币壹万伍仟元，不足3000元按3000元收取。</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364"/>
        <w:gridCol w:w="2364"/>
        <w:gridCol w:w="2364"/>
      </w:tblGrid>
      <w:tr w14:paraId="4ADE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2364" w:type="dxa"/>
            <mc:AlternateContent>
              <mc:Choice Requires="wpsCustomData">
                <wpsCustomData:diagonals>
                  <wpsCustomData:diagonal from="11300" to="29000">
                    <wpsCustomData:border w:val="single" w:color="auto" w:sz="4" w:space="0"/>
                  </wpsCustomData:diagonal>
                  <wpsCustomData:diagonal from="4000" to="30000">
                    <wpsCustomData:border w:val="single" w:color="auto" w:sz="4" w:space="0"/>
                  </wpsCustomData:diagonal>
                </wpsCustomData:diagonals>
              </mc:Choice>
            </mc:AlternateContent>
          </w:tcPr>
          <w:p w14:paraId="5D7E238A">
            <w:pPr>
              <w:snapToGrid w:val="0"/>
              <w:spacing w:line="240" w:lineRule="auto"/>
              <w:rPr>
                <w:rFonts w:hint="eastAsia" w:ascii="宋体" w:hAnsi="宋体" w:cs="宋体"/>
                <w:b w:val="0"/>
                <w:bCs w:val="0"/>
                <w:color w:val="auto"/>
                <w:sz w:val="18"/>
                <w:szCs w:val="18"/>
                <w:vertAlign w:val="baseline"/>
                <w:lang w:val="en-US" w:eastAsia="zh-CN"/>
              </w:rPr>
            </w:pPr>
          </w:p>
          <w:p w14:paraId="0CFC9E3D">
            <w:pPr>
              <w:snapToGrid w:val="0"/>
              <w:spacing w:line="240" w:lineRule="auto"/>
              <w:rPr>
                <w:rFonts w:hint="eastAsia" w:ascii="宋体" w:hAnsi="宋体" w:cs="宋体"/>
                <w:b w:val="0"/>
                <w:bCs w:val="0"/>
                <w:color w:val="auto"/>
                <w:sz w:val="18"/>
                <w:szCs w:val="18"/>
                <w:vertAlign w:val="baseline"/>
                <w:lang w:val="en-US" w:eastAsia="zh-CN"/>
              </w:rPr>
            </w:pPr>
          </w:p>
          <w:p w14:paraId="06766968">
            <w:pPr>
              <w:snapToGrid w:val="0"/>
              <w:spacing w:line="240" w:lineRule="auto"/>
              <mc:AlternateContent>
                <mc:Choice Requires="wpsCustomData">
                  <wpsCustomData:diagonalParaType/>
                </mc:Choice>
              </mc:AlternateContent>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中标金额（万元）</w:t>
            </w:r>
          </w:p>
          <w:p w14:paraId="500FA63E">
            <w:pPr>
              <w:snapToGrid w:val="0"/>
              <w:spacing w:line="240" w:lineRule="auto"/>
              <w:rPr>
                <w:rFonts w:hint="eastAsia" w:ascii="宋体" w:hAnsi="宋体" w:cs="宋体"/>
                <w:b w:val="0"/>
                <w:bCs w:val="0"/>
                <w:color w:val="auto"/>
                <w:sz w:val="18"/>
                <w:szCs w:val="18"/>
                <w:vertAlign w:val="baseline"/>
                <w:lang w:val="en-US" w:eastAsia="zh-CN"/>
              </w:rPr>
            </w:pPr>
          </w:p>
          <w:p w14:paraId="206664C1">
            <w:pPr>
              <w:snapToGrid w:val="0"/>
              <w:spacing w:line="240" w:lineRule="auto"/>
              <w:rPr>
                <w:rFonts w:hint="eastAsia" w:ascii="宋体" w:hAnsi="宋体" w:cs="宋体"/>
                <w:b w:val="0"/>
                <w:bCs w:val="0"/>
                <w:color w:val="auto"/>
                <w:sz w:val="18"/>
                <w:szCs w:val="18"/>
                <w:vertAlign w:val="baseline"/>
                <w:lang w:val="en-US" w:eastAsia="zh-CN"/>
              </w:rPr>
            </w:pPr>
          </w:p>
          <w:p w14:paraId="5759E2D4">
            <w:pPr>
              <w:snapToGrid w:val="0"/>
              <w:spacing w:line="240" w:lineRule="auto"/>
              <w:rPr>
                <w:rFonts w:hint="eastAsia" w:ascii="宋体" w:hAnsi="宋体" w:cs="宋体"/>
                <w:b w:val="0"/>
                <w:bCs w:val="0"/>
                <w:color w:val="auto"/>
                <w:sz w:val="18"/>
                <w:szCs w:val="18"/>
                <w:vertAlign w:val="baseline"/>
                <w:lang w:val="en-US" w:eastAsia="zh-CN"/>
              </w:rPr>
            </w:pPr>
          </w:p>
          <w:p w14:paraId="27B243BC">
            <w:pPr>
              <w:snapToGrid w:val="0"/>
              <w:spacing w:line="240" w:lineRule="auto"/>
              <w:rPr>
                <w:rFonts w:hint="eastAsia" w:ascii="宋体" w:hAnsi="宋体" w:cs="宋体"/>
                <w:b w:val="0"/>
                <w:bCs w:val="0"/>
                <w:color w:val="auto"/>
                <w:sz w:val="18"/>
                <w:szCs w:val="18"/>
                <w:vertAlign w:val="baseline"/>
                <w:lang w:val="en-US" w:eastAsia="zh-CN"/>
              </w:rPr>
            </w:pPr>
          </w:p>
          <w:p w14:paraId="6031087E">
            <w:pPr>
              <w:snapToGrid w:val="0"/>
              <w:spacing w:line="240" w:lineRule="auto"/>
              <w:ind w:firstLine="180" w:firstLineChars="100"/>
              <mc:AlternateContent>
                <mc:Choice Requires="wpsCustomData">
                  <wpsCustomData:diagonalParaType/>
                </mc:Choice>
              </mc:AlternateContent>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费率</w:t>
            </w:r>
          </w:p>
          <w:p w14:paraId="51F47E5A">
            <w:pPr>
              <w:rPr>
                <w:rFonts w:hint="eastAsia" w:ascii="宋体" w:hAnsi="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 xml:space="preserve">服务 </w:t>
            </w:r>
          </w:p>
          <w:p w14:paraId="0C6DC210">
            <w:pPr>
              <w:pStyle w:val="2"/>
              <w:ind w:left="0" w:leftChars="0" w:firstLine="180" w:firstLineChars="100"/>
              <w:rPr>
                <w:rFonts w:hint="eastAsia" w:hAnsi="宋体" w:cs="宋体"/>
                <w:b w:val="0"/>
                <w:bCs w:val="0"/>
                <w:color w:val="auto"/>
                <w:sz w:val="18"/>
                <w:szCs w:val="18"/>
                <w:vertAlign w:val="baseline"/>
                <w:lang w:val="en-US" w:eastAsia="zh-CN"/>
              </w:rPr>
            </w:pPr>
            <w:r>
              <w:rPr>
                <w:rFonts w:hint="eastAsia" w:hAnsi="宋体" w:cs="宋体"/>
                <w:b w:val="0"/>
                <w:bCs w:val="0"/>
                <w:color w:val="auto"/>
                <w:sz w:val="18"/>
                <w:szCs w:val="18"/>
                <w:vertAlign w:val="baseline"/>
                <w:lang w:val="en-US" w:eastAsia="zh-CN"/>
              </w:rPr>
              <w:t xml:space="preserve"> </w:t>
            </w:r>
          </w:p>
          <w:p w14:paraId="66228A43">
            <w:pPr>
              <w:pStyle w:val="2"/>
              <w:ind w:left="0" w:leftChars="0" w:firstLine="0" w:firstLineChars="0"/>
              <w:rPr>
                <w:rFonts w:hint="default"/>
                <w:color w:val="auto"/>
                <w:lang w:val="en-US" w:eastAsia="zh-CN"/>
              </w:rPr>
            </w:pPr>
            <w:r>
              <w:rPr>
                <w:rFonts w:hint="eastAsia" w:hAnsi="宋体" w:cs="宋体"/>
                <w:b w:val="0"/>
                <w:bCs w:val="0"/>
                <w:color w:val="auto"/>
                <w:sz w:val="18"/>
                <w:szCs w:val="18"/>
                <w:vertAlign w:val="baseline"/>
                <w:lang w:val="en-US" w:eastAsia="zh-CN"/>
              </w:rPr>
              <w:t>类型</w:t>
            </w:r>
          </w:p>
        </w:tc>
        <w:tc>
          <w:tcPr>
            <w:tcW w:w="2364" w:type="dxa"/>
            <w:vAlign w:val="center"/>
          </w:tcPr>
          <w:p w14:paraId="0E68D756">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货物招标</w:t>
            </w:r>
          </w:p>
        </w:tc>
        <w:tc>
          <w:tcPr>
            <w:tcW w:w="2364" w:type="dxa"/>
            <w:vAlign w:val="center"/>
          </w:tcPr>
          <w:p w14:paraId="75FB41E5">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服务招标</w:t>
            </w:r>
          </w:p>
        </w:tc>
        <w:tc>
          <w:tcPr>
            <w:tcW w:w="2364" w:type="dxa"/>
            <w:vAlign w:val="center"/>
          </w:tcPr>
          <w:p w14:paraId="665CE255">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工程招标</w:t>
            </w:r>
          </w:p>
        </w:tc>
      </w:tr>
      <w:tr w14:paraId="24DE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14:paraId="28116751">
            <w:pP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100以下</w:t>
            </w:r>
          </w:p>
        </w:tc>
        <w:tc>
          <w:tcPr>
            <w:tcW w:w="2364" w:type="dxa"/>
          </w:tcPr>
          <w:p w14:paraId="3209B16E">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1.5%</w:t>
            </w:r>
          </w:p>
        </w:tc>
        <w:tc>
          <w:tcPr>
            <w:tcW w:w="2364" w:type="dxa"/>
          </w:tcPr>
          <w:p w14:paraId="3BC951A5">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1.5%</w:t>
            </w:r>
          </w:p>
        </w:tc>
        <w:tc>
          <w:tcPr>
            <w:tcW w:w="2364" w:type="dxa"/>
          </w:tcPr>
          <w:p w14:paraId="33A8B791">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1.0%</w:t>
            </w:r>
          </w:p>
        </w:tc>
      </w:tr>
      <w:tr w14:paraId="531A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14:paraId="21C6036D">
            <w:pP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100-500</w:t>
            </w:r>
          </w:p>
        </w:tc>
        <w:tc>
          <w:tcPr>
            <w:tcW w:w="2364" w:type="dxa"/>
          </w:tcPr>
          <w:p w14:paraId="21682C51">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1.1%</w:t>
            </w:r>
          </w:p>
        </w:tc>
        <w:tc>
          <w:tcPr>
            <w:tcW w:w="2364" w:type="dxa"/>
          </w:tcPr>
          <w:p w14:paraId="0DAC29D8">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0.8%</w:t>
            </w:r>
          </w:p>
        </w:tc>
        <w:tc>
          <w:tcPr>
            <w:tcW w:w="2364" w:type="dxa"/>
          </w:tcPr>
          <w:p w14:paraId="0EEC33EA">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0.7%</w:t>
            </w:r>
          </w:p>
        </w:tc>
      </w:tr>
      <w:tr w14:paraId="2AB7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14:paraId="372B1C72">
            <w:pP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500-1000</w:t>
            </w:r>
          </w:p>
        </w:tc>
        <w:tc>
          <w:tcPr>
            <w:tcW w:w="2364" w:type="dxa"/>
          </w:tcPr>
          <w:p w14:paraId="512416F0">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0.8%</w:t>
            </w:r>
          </w:p>
        </w:tc>
        <w:tc>
          <w:tcPr>
            <w:tcW w:w="2364" w:type="dxa"/>
          </w:tcPr>
          <w:p w14:paraId="17299B8E">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0.45%</w:t>
            </w:r>
          </w:p>
        </w:tc>
        <w:tc>
          <w:tcPr>
            <w:tcW w:w="2364" w:type="dxa"/>
          </w:tcPr>
          <w:p w14:paraId="52404C9D">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0.55%</w:t>
            </w:r>
          </w:p>
        </w:tc>
      </w:tr>
      <w:tr w14:paraId="5D84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14:paraId="266B5E21">
            <w:pP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1000-5000</w:t>
            </w:r>
          </w:p>
        </w:tc>
        <w:tc>
          <w:tcPr>
            <w:tcW w:w="2364" w:type="dxa"/>
          </w:tcPr>
          <w:p w14:paraId="2A7B7648">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0.5%</w:t>
            </w:r>
          </w:p>
        </w:tc>
        <w:tc>
          <w:tcPr>
            <w:tcW w:w="2364" w:type="dxa"/>
          </w:tcPr>
          <w:p w14:paraId="60B15663">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0.25%</w:t>
            </w:r>
          </w:p>
        </w:tc>
        <w:tc>
          <w:tcPr>
            <w:tcW w:w="2364" w:type="dxa"/>
          </w:tcPr>
          <w:p w14:paraId="24200C29">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0.35%</w:t>
            </w:r>
          </w:p>
        </w:tc>
      </w:tr>
      <w:tr w14:paraId="6A4B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14:paraId="23D83379">
            <w:pP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5000-10000</w:t>
            </w:r>
          </w:p>
        </w:tc>
        <w:tc>
          <w:tcPr>
            <w:tcW w:w="2364" w:type="dxa"/>
          </w:tcPr>
          <w:p w14:paraId="5D906F3E">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0.25%</w:t>
            </w:r>
          </w:p>
        </w:tc>
        <w:tc>
          <w:tcPr>
            <w:tcW w:w="2364" w:type="dxa"/>
          </w:tcPr>
          <w:p w14:paraId="10A31978">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0.1%</w:t>
            </w:r>
          </w:p>
        </w:tc>
        <w:tc>
          <w:tcPr>
            <w:tcW w:w="2364" w:type="dxa"/>
          </w:tcPr>
          <w:p w14:paraId="19D1462C">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0.2%</w:t>
            </w:r>
          </w:p>
        </w:tc>
      </w:tr>
      <w:tr w14:paraId="28EF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14:paraId="29398BCD">
            <w:pP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10000-100000</w:t>
            </w:r>
          </w:p>
        </w:tc>
        <w:tc>
          <w:tcPr>
            <w:tcW w:w="2364" w:type="dxa"/>
          </w:tcPr>
          <w:p w14:paraId="29A384CD">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0.05%</w:t>
            </w:r>
          </w:p>
        </w:tc>
        <w:tc>
          <w:tcPr>
            <w:tcW w:w="2364" w:type="dxa"/>
          </w:tcPr>
          <w:p w14:paraId="125F952F">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0.05%</w:t>
            </w:r>
          </w:p>
        </w:tc>
        <w:tc>
          <w:tcPr>
            <w:tcW w:w="2364" w:type="dxa"/>
          </w:tcPr>
          <w:p w14:paraId="65A5FE15">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0.05%</w:t>
            </w:r>
          </w:p>
        </w:tc>
      </w:tr>
      <w:tr w14:paraId="1C3C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14:paraId="014E3DDF">
            <w:pP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1000000以上</w:t>
            </w:r>
          </w:p>
        </w:tc>
        <w:tc>
          <w:tcPr>
            <w:tcW w:w="2364" w:type="dxa"/>
          </w:tcPr>
          <w:p w14:paraId="63283A52">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0.01%</w:t>
            </w:r>
          </w:p>
        </w:tc>
        <w:tc>
          <w:tcPr>
            <w:tcW w:w="2364" w:type="dxa"/>
          </w:tcPr>
          <w:p w14:paraId="4D28EE47">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0.01%</w:t>
            </w:r>
          </w:p>
        </w:tc>
        <w:tc>
          <w:tcPr>
            <w:tcW w:w="2364" w:type="dxa"/>
          </w:tcPr>
          <w:p w14:paraId="484E2742">
            <w:pPr>
              <w:jc w:val="center"/>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0.01%</w:t>
            </w:r>
          </w:p>
        </w:tc>
      </w:tr>
    </w:tbl>
    <w:p w14:paraId="5CCEA339">
      <w:pPr>
        <w:ind w:firstLine="482" w:firstLineChars="200"/>
        <w:rPr>
          <w:rFonts w:ascii="宋体" w:hAnsi="宋体" w:cs="宋体"/>
          <w:b/>
          <w:bCs/>
          <w:color w:val="auto"/>
          <w:sz w:val="24"/>
        </w:rPr>
      </w:pPr>
      <w:r>
        <w:rPr>
          <w:rFonts w:hint="eastAsia" w:ascii="宋体" w:hAnsi="宋体" w:cs="宋体"/>
          <w:b/>
          <w:bCs/>
          <w:color w:val="auto"/>
          <w:sz w:val="24"/>
        </w:rPr>
        <w:t>九、其他事项</w:t>
      </w:r>
    </w:p>
    <w:p w14:paraId="79C934E8">
      <w:pPr>
        <w:adjustRightInd w:val="0"/>
        <w:snapToGrid w:val="0"/>
        <w:ind w:firstLine="480" w:firstLineChars="200"/>
        <w:rPr>
          <w:rFonts w:ascii="宋体" w:hAnsi="宋体" w:cs="宋体"/>
          <w:color w:val="auto"/>
          <w:sz w:val="24"/>
        </w:rPr>
      </w:pPr>
      <w:r>
        <w:rPr>
          <w:rFonts w:hint="eastAsia" w:ascii="宋体" w:hAnsi="宋体" w:cs="宋体"/>
          <w:color w:val="auto"/>
          <w:sz w:val="24"/>
        </w:rPr>
        <w:t>1.原则上乙方在甲方提供完整招标所需资料后按采购相关法律法规规定时间，完成相关招标工作。如因乙方自身原因未按期完成招标工作的将按照相关管理制度处理；</w:t>
      </w:r>
    </w:p>
    <w:p w14:paraId="0182077E">
      <w:pPr>
        <w:adjustRightInd w:val="0"/>
        <w:snapToGrid w:val="0"/>
        <w:ind w:firstLine="480" w:firstLineChars="200"/>
        <w:rPr>
          <w:rFonts w:ascii="宋体" w:hAnsi="宋体" w:cs="宋体"/>
          <w:color w:val="auto"/>
          <w:sz w:val="24"/>
        </w:rPr>
      </w:pPr>
      <w:r>
        <w:rPr>
          <w:rFonts w:hint="eastAsia" w:ascii="宋体" w:hAnsi="宋体" w:cs="宋体"/>
          <w:color w:val="auto"/>
          <w:sz w:val="24"/>
        </w:rPr>
        <w:t>2.分派方式：按各项目实施（管理）单位提交时间的前后顺序，依次轮流（如遇项目政策性强、技术要求高、时间紧等特殊的项目，经相关领导审批通过后择优选定服务单位），乙方不得以单个项目金额大小及其它各种理由为借口拒绝或推诿相关采购代理工作。</w:t>
      </w:r>
    </w:p>
    <w:p w14:paraId="57725F63">
      <w:pPr>
        <w:adjustRightInd w:val="0"/>
        <w:snapToGrid w:val="0"/>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kern w:val="1"/>
          <w:sz w:val="24"/>
        </w:rPr>
        <w:t>后续负责代理工作人员需与投标时提供拟派项目人员一致，若因人员离职、伤亡等其它非预见性原因需跟换代理工作人员的，更换人员的经验和资质不得低于被更换的人员并报甲方审批通过后方可替换，若发现实际服务人员与投标时拟派人员不一致或未经审批擅自更换的，甲方有权解除年度服务合同</w:t>
      </w:r>
      <w:r>
        <w:rPr>
          <w:rFonts w:hint="eastAsia" w:ascii="宋体" w:hAnsi="宋体" w:cs="宋体"/>
          <w:color w:val="auto"/>
          <w:sz w:val="24"/>
        </w:rPr>
        <w:t>。</w:t>
      </w:r>
    </w:p>
    <w:p w14:paraId="572C831A">
      <w:pPr>
        <w:adjustRightInd w:val="0"/>
        <w:snapToGrid w:val="0"/>
        <w:ind w:firstLine="480" w:firstLineChars="200"/>
        <w:rPr>
          <w:rFonts w:ascii="宋体" w:hAnsi="宋体" w:cs="宋体"/>
          <w:color w:val="auto"/>
          <w:sz w:val="24"/>
        </w:rPr>
      </w:pPr>
      <w:r>
        <w:rPr>
          <w:rFonts w:hint="eastAsia" w:ascii="宋体" w:hAnsi="宋体" w:cs="宋体"/>
          <w:color w:val="auto"/>
          <w:sz w:val="24"/>
        </w:rPr>
        <w:t>4.乙方在项目代理过程中，因与其项目相关单位恶意串通、弄虚作假、徇私舞弊、玩忽职守或滥用职权造成审核结果失实以及发生其它过失情况的，除解除合同、抄告相关行政主管部门，还将依法追究其经济责任和法律责任。</w:t>
      </w:r>
    </w:p>
    <w:p w14:paraId="280978E9">
      <w:pPr>
        <w:adjustRightInd w:val="0"/>
        <w:snapToGrid w:val="0"/>
        <w:ind w:firstLine="480" w:firstLineChars="200"/>
        <w:rPr>
          <w:rFonts w:ascii="宋体" w:hAnsi="宋体" w:cs="宋体"/>
          <w:color w:val="auto"/>
          <w:sz w:val="24"/>
        </w:rPr>
      </w:pPr>
      <w:r>
        <w:rPr>
          <w:rFonts w:hint="eastAsia" w:ascii="宋体" w:hAnsi="宋体" w:cs="宋体"/>
          <w:color w:val="auto"/>
          <w:sz w:val="24"/>
        </w:rPr>
        <w:t>5.乙方在项目代理过程中，不按招标程序、不处理问题，吃拿卡要，对潜在投标单位设置障碍，故意刁难、粗暴对待的，经核实除解除合同、抄告相关行政主管部门，还将依法追究其经济责任和法律责任。</w:t>
      </w:r>
    </w:p>
    <w:p w14:paraId="0D860C67">
      <w:pPr>
        <w:adjustRightInd w:val="0"/>
        <w:snapToGrid w:val="0"/>
        <w:spacing w:line="24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6、甲方将依据</w:t>
      </w:r>
      <w:r>
        <w:rPr>
          <w:rFonts w:hint="eastAsia" w:ascii="宋体" w:hAnsi="宋体" w:cs="宋体"/>
          <w:color w:val="auto"/>
          <w:sz w:val="24"/>
          <w:highlight w:val="none"/>
          <w:lang w:val="en-US" w:eastAsia="zh-CN"/>
        </w:rPr>
        <w:t>本街道</w:t>
      </w:r>
      <w:r>
        <w:rPr>
          <w:rFonts w:hint="eastAsia" w:ascii="宋体" w:hAnsi="宋体" w:eastAsia="宋体" w:cs="宋体"/>
          <w:color w:val="auto"/>
          <w:sz w:val="24"/>
          <w:highlight w:val="none"/>
          <w:lang w:val="en-US" w:eastAsia="zh-CN"/>
        </w:rPr>
        <w:t>关于开展第三方服务单位相关规定对乙方代理服务质量进行日常考核，乙方需无条件服从，甲方有权根据日常考核结果优劣进行处理，处理结果包括但不限于：责令其限期改正、警告、取消其一定次数或一段时限</w:t>
      </w:r>
      <w:r>
        <w:rPr>
          <w:rFonts w:hint="eastAsia" w:ascii="宋体" w:hAnsi="宋体" w:cs="宋体"/>
          <w:color w:val="auto"/>
          <w:sz w:val="24"/>
          <w:highlight w:val="none"/>
          <w:lang w:val="en-US" w:eastAsia="zh-CN"/>
        </w:rPr>
        <w:t>本街道</w:t>
      </w:r>
      <w:r>
        <w:rPr>
          <w:rFonts w:hint="eastAsia" w:ascii="宋体" w:hAnsi="宋体" w:eastAsia="宋体" w:cs="宋体"/>
          <w:color w:val="auto"/>
          <w:sz w:val="24"/>
          <w:highlight w:val="none"/>
          <w:lang w:val="en-US" w:eastAsia="zh-CN"/>
        </w:rPr>
        <w:t>的招标代理资格、解除合同等；给业主单位、投标单位造成损失的，应当承担赔偿责任；构成犯罪的，移交司法机关依法追究其刑事责任（未尽事宜详见</w:t>
      </w:r>
      <w:r>
        <w:rPr>
          <w:rFonts w:hint="eastAsia" w:ascii="宋体" w:hAnsi="宋体" w:cs="宋体"/>
          <w:color w:val="auto"/>
          <w:sz w:val="24"/>
          <w:highlight w:val="none"/>
          <w:lang w:val="en-US" w:eastAsia="zh-CN"/>
        </w:rPr>
        <w:t>本街道</w:t>
      </w:r>
      <w:r>
        <w:rPr>
          <w:rFonts w:hint="eastAsia" w:ascii="宋体" w:hAnsi="宋体" w:eastAsia="宋体" w:cs="宋体"/>
          <w:color w:val="auto"/>
          <w:sz w:val="24"/>
          <w:highlight w:val="none"/>
          <w:lang w:val="en-US" w:eastAsia="zh-CN"/>
        </w:rPr>
        <w:t>有关管理制度）。</w:t>
      </w:r>
    </w:p>
    <w:p w14:paraId="5000FD3A">
      <w:pPr>
        <w:adjustRightInd w:val="0"/>
        <w:snapToGrid w:val="0"/>
        <w:spacing w:line="24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7、若上级政策调整或</w:t>
      </w:r>
      <w:r>
        <w:rPr>
          <w:rFonts w:hint="eastAsia" w:ascii="宋体" w:hAnsi="宋体" w:cs="宋体"/>
          <w:color w:val="auto"/>
          <w:sz w:val="24"/>
          <w:highlight w:val="none"/>
          <w:lang w:val="en-US" w:eastAsia="zh-CN"/>
        </w:rPr>
        <w:t>本街道</w:t>
      </w:r>
      <w:r>
        <w:rPr>
          <w:rFonts w:hint="eastAsia" w:ascii="宋体" w:hAnsi="宋体" w:eastAsia="宋体" w:cs="宋体"/>
          <w:color w:val="auto"/>
          <w:sz w:val="24"/>
          <w:highlight w:val="none"/>
          <w:lang w:val="en-US" w:eastAsia="zh-CN"/>
        </w:rPr>
        <w:t>制度改变，本合同期限及相应条款也随之变更，乙方无条件配合，由此造成的一切损失、费用均由乙方自行承担。</w:t>
      </w:r>
    </w:p>
    <w:p w14:paraId="1D2A811B">
      <w:pPr>
        <w:adjustRightInd w:val="0"/>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、本协议一式三份，甲乙双方和</w:t>
      </w:r>
      <w:r>
        <w:rPr>
          <w:rFonts w:hint="eastAsia" w:ascii="宋体" w:hAnsi="宋体" w:eastAsia="宋体" w:cs="宋体"/>
          <w:color w:val="auto"/>
          <w:sz w:val="24"/>
          <w:highlight w:val="none"/>
          <w:lang w:val="en-US" w:eastAsia="zh-CN"/>
        </w:rPr>
        <w:t>相关主管部门</w:t>
      </w:r>
      <w:r>
        <w:rPr>
          <w:rFonts w:hint="eastAsia" w:ascii="宋体" w:hAnsi="宋体" w:eastAsia="宋体" w:cs="宋体"/>
          <w:color w:val="auto"/>
          <w:sz w:val="24"/>
          <w:highlight w:val="none"/>
        </w:rPr>
        <w:t>各执一份。本协议自双方法定代表或授权代表人签字、盖章之日起生效。</w:t>
      </w:r>
    </w:p>
    <w:p w14:paraId="08F38944">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协议</w:t>
      </w:r>
      <w:r>
        <w:rPr>
          <w:rFonts w:hint="eastAsia" w:ascii="宋体" w:hAnsi="宋体" w:eastAsia="宋体" w:cs="宋体"/>
          <w:color w:val="auto"/>
          <w:sz w:val="24"/>
          <w:highlight w:val="none"/>
        </w:rPr>
        <w:t>实施或与</w:t>
      </w:r>
      <w:r>
        <w:rPr>
          <w:rFonts w:hint="eastAsia" w:ascii="宋体" w:hAnsi="宋体" w:eastAsia="宋体" w:cs="宋体"/>
          <w:color w:val="auto"/>
          <w:sz w:val="24"/>
          <w:highlight w:val="none"/>
          <w:lang w:val="en-US" w:eastAsia="zh-CN"/>
        </w:rPr>
        <w:t>协议</w:t>
      </w:r>
      <w:r>
        <w:rPr>
          <w:rFonts w:hint="eastAsia" w:ascii="宋体" w:hAnsi="宋体" w:eastAsia="宋体" w:cs="宋体"/>
          <w:color w:val="auto"/>
          <w:sz w:val="24"/>
          <w:highlight w:val="none"/>
        </w:rPr>
        <w:t>有关的一切争端，甲乙双方应通过友好协商解决，如果协商仍得不到解决，任何一方可向</w:t>
      </w:r>
      <w:r>
        <w:rPr>
          <w:rFonts w:hint="eastAsia" w:ascii="宋体" w:hAnsi="宋体" w:eastAsia="宋体" w:cs="宋体"/>
          <w:color w:val="auto"/>
          <w:sz w:val="24"/>
          <w:highlight w:val="none"/>
          <w:lang w:val="en-US" w:eastAsia="zh-CN"/>
        </w:rPr>
        <w:t>诸暨市人民法院诉讼</w:t>
      </w:r>
      <w:r>
        <w:rPr>
          <w:rFonts w:hint="eastAsia" w:ascii="宋体" w:hAnsi="宋体" w:eastAsia="宋体" w:cs="宋体"/>
          <w:color w:val="auto"/>
          <w:sz w:val="24"/>
          <w:highlight w:val="none"/>
        </w:rPr>
        <w:t>解决。</w:t>
      </w:r>
    </w:p>
    <w:p w14:paraId="398F9F5F">
      <w:pPr>
        <w:ind w:firstLine="480" w:firstLineChars="200"/>
        <w:rPr>
          <w:rFonts w:ascii="宋体" w:hAnsi="宋体" w:cs="宋体"/>
          <w:color w:val="auto"/>
          <w:sz w:val="24"/>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其他未尽事宜由甲乙双方协商解决。</w:t>
      </w:r>
    </w:p>
    <w:p w14:paraId="66909362">
      <w:pPr>
        <w:ind w:firstLine="435"/>
        <w:rPr>
          <w:rFonts w:ascii="宋体" w:hAnsi="宋体" w:cs="宋体"/>
          <w:color w:val="auto"/>
          <w:sz w:val="24"/>
        </w:rPr>
      </w:pPr>
    </w:p>
    <w:p w14:paraId="2360A345">
      <w:pPr>
        <w:rPr>
          <w:rFonts w:ascii="宋体" w:hAnsi="宋体" w:cs="宋体"/>
          <w:color w:val="auto"/>
          <w:sz w:val="24"/>
        </w:rPr>
      </w:pPr>
    </w:p>
    <w:p w14:paraId="3C7DBDE7">
      <w:pPr>
        <w:rPr>
          <w:rFonts w:ascii="宋体" w:hAnsi="宋体" w:cs="宋体"/>
          <w:color w:val="auto"/>
          <w:sz w:val="24"/>
        </w:rPr>
      </w:pPr>
      <w:r>
        <w:rPr>
          <w:rFonts w:hint="eastAsia" w:ascii="宋体" w:hAnsi="宋体" w:cs="宋体"/>
          <w:color w:val="auto"/>
          <w:sz w:val="24"/>
        </w:rPr>
        <w:t>甲方（盖章）：                               乙方（盖章）：</w:t>
      </w:r>
    </w:p>
    <w:p w14:paraId="02924AFE">
      <w:pPr>
        <w:rPr>
          <w:rFonts w:ascii="宋体" w:hAnsi="宋体" w:cs="宋体"/>
          <w:color w:val="auto"/>
          <w:sz w:val="24"/>
        </w:rPr>
      </w:pPr>
      <w:r>
        <w:rPr>
          <w:rFonts w:hint="eastAsia" w:ascii="宋体" w:hAnsi="宋体" w:cs="宋体"/>
          <w:color w:val="auto"/>
          <w:sz w:val="24"/>
        </w:rPr>
        <w:t>法定代表人或                                 法定代表人或</w:t>
      </w:r>
    </w:p>
    <w:p w14:paraId="0E5C4385">
      <w:pPr>
        <w:rPr>
          <w:rFonts w:ascii="宋体" w:hAnsi="宋体" w:cs="宋体"/>
          <w:color w:val="auto"/>
          <w:sz w:val="24"/>
        </w:rPr>
      </w:pPr>
      <w:r>
        <w:rPr>
          <w:rFonts w:hint="eastAsia" w:ascii="宋体" w:hAnsi="宋体" w:cs="宋体"/>
          <w:color w:val="auto"/>
          <w:sz w:val="24"/>
        </w:rPr>
        <w:t>授权代表（签字）：                           授权代表（签字）：</w:t>
      </w:r>
    </w:p>
    <w:p w14:paraId="10BEEA0A">
      <w:pPr>
        <w:ind w:left="6000" w:hanging="6000" w:hangingChars="2500"/>
        <w:rPr>
          <w:rFonts w:ascii="宋体" w:hAnsi="宋体" w:cs="宋体"/>
          <w:color w:val="auto"/>
          <w:sz w:val="24"/>
        </w:rPr>
      </w:pPr>
      <w:r>
        <w:rPr>
          <w:rFonts w:hint="eastAsia" w:ascii="宋体" w:hAnsi="宋体" w:cs="宋体"/>
          <w:color w:val="auto"/>
          <w:sz w:val="24"/>
        </w:rPr>
        <w:t xml:space="preserve">地址：                                       地址：                              </w:t>
      </w:r>
    </w:p>
    <w:p w14:paraId="74C17B3C">
      <w:pPr>
        <w:spacing w:beforeLines="50" w:afterLines="50"/>
        <w:rPr>
          <w:rFonts w:ascii="宋体" w:hAnsi="宋体" w:cs="宋体"/>
          <w:color w:val="auto"/>
        </w:rPr>
      </w:pPr>
      <w:r>
        <w:rPr>
          <w:rFonts w:hint="eastAsia" w:ascii="宋体" w:hAnsi="宋体" w:cs="宋体"/>
          <w:color w:val="auto"/>
          <w:sz w:val="24"/>
        </w:rPr>
        <w:t>签订日期：</w:t>
      </w:r>
      <w:r>
        <w:rPr>
          <w:rFonts w:hint="eastAsia" w:ascii="宋体" w:hAnsi="宋体" w:cs="宋体"/>
          <w:color w:val="auto"/>
          <w:sz w:val="24"/>
          <w:lang w:eastAsia="zh-CN"/>
        </w:rPr>
        <w:t>2026</w:t>
      </w:r>
      <w:r>
        <w:rPr>
          <w:rFonts w:hint="eastAsia" w:ascii="宋体" w:hAnsi="宋体" w:cs="宋体"/>
          <w:color w:val="auto"/>
          <w:sz w:val="24"/>
        </w:rPr>
        <w:t>年  月  日</w:t>
      </w:r>
    </w:p>
    <w:p w14:paraId="39D5EB54">
      <w:pPr>
        <w:spacing w:beforeLines="50" w:afterLines="50"/>
        <w:rPr>
          <w:rFonts w:ascii="宋体" w:hAnsi="宋体" w:cs="宋体"/>
          <w:color w:val="auto"/>
        </w:rPr>
      </w:pPr>
    </w:p>
    <w:sectPr>
      <w:pgSz w:w="11906" w:h="16838"/>
      <w:pgMar w:top="1134" w:right="1286" w:bottom="1134" w:left="13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F229">
    <w:pPr>
      <w:pStyle w:val="1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409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410692">
                          <w:pPr>
                            <w:pStyle w:val="15"/>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Kc+0ySvAQAA&#10;gAMAAA4AAAAAAAAAAQAgAAAAHwEAAGRycy9lMm9Eb2MueG1sUEsFBgAAAAAGAAYAWQEAAEAFAAAA&#10;AA==&#10;">
              <v:fill on="f" focussize="0,0"/>
              <v:stroke on="f"/>
              <v:imagedata o:title=""/>
              <o:lock v:ext="edit" aspectratio="f"/>
              <v:textbox inset="0mm,0mm,0mm,0mm" style="mso-fit-shape-to-text:t;">
                <w:txbxContent>
                  <w:p w14:paraId="46410692">
                    <w:pPr>
                      <w:pStyle w:val="15"/>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42D5">
    <w:pPr>
      <w:pStyle w:val="1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409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02DB57">
                          <w:pPr>
                            <w:pStyle w:val="15"/>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rect id="409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7I3PsK4BAACA&#10;AwAADgAAAAAAAAABACAAAAAfAQAAZHJzL2Uyb0RvYy54bWxQSwUGAAAAAAYABgBZAQAAPwUAAAAA&#10;">
              <v:fill on="f" focussize="0,0"/>
              <v:stroke on="f"/>
              <v:imagedata o:title=""/>
              <o:lock v:ext="edit" aspectratio="f"/>
              <v:textbox inset="0mm,0mm,0mm,0mm" style="mso-fit-shape-to-text:t;">
                <w:txbxContent>
                  <w:p w14:paraId="7002DB57">
                    <w:pPr>
                      <w:pStyle w:val="15"/>
                    </w:pPr>
                    <w:r>
                      <w:fldChar w:fldCharType="begin"/>
                    </w:r>
                    <w:r>
                      <w:instrText xml:space="preserve"> PAGE  \* MERGEFORMAT </w:instrText>
                    </w:r>
                    <w:r>
                      <w:fldChar w:fldCharType="separate"/>
                    </w:r>
                    <w:r>
                      <w:t>14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946DE">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8327">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4"/>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MzRhN2E2NDU5YzJiYmJjNDgxOTY3NGUzZjgwOTEifQ=="/>
  </w:docVars>
  <w:rsids>
    <w:rsidRoot w:val="00000000"/>
    <w:rsid w:val="02587777"/>
    <w:rsid w:val="04910D1F"/>
    <w:rsid w:val="08371093"/>
    <w:rsid w:val="08AB6853"/>
    <w:rsid w:val="0A9B6453"/>
    <w:rsid w:val="0B550CF8"/>
    <w:rsid w:val="0E195B62"/>
    <w:rsid w:val="0F8B2F3A"/>
    <w:rsid w:val="125C296C"/>
    <w:rsid w:val="172F7BB5"/>
    <w:rsid w:val="18AD3F21"/>
    <w:rsid w:val="1B397CEE"/>
    <w:rsid w:val="1D6515AA"/>
    <w:rsid w:val="1FD61810"/>
    <w:rsid w:val="24AD52A9"/>
    <w:rsid w:val="24E25E8B"/>
    <w:rsid w:val="25F72C80"/>
    <w:rsid w:val="27BA4F96"/>
    <w:rsid w:val="2865553D"/>
    <w:rsid w:val="287405B8"/>
    <w:rsid w:val="289C7B0E"/>
    <w:rsid w:val="295403E9"/>
    <w:rsid w:val="2F666780"/>
    <w:rsid w:val="377F2AD5"/>
    <w:rsid w:val="391536F1"/>
    <w:rsid w:val="3D672041"/>
    <w:rsid w:val="3F9966FE"/>
    <w:rsid w:val="40955117"/>
    <w:rsid w:val="47B02837"/>
    <w:rsid w:val="4AA54FDD"/>
    <w:rsid w:val="4BB46D99"/>
    <w:rsid w:val="4C490540"/>
    <w:rsid w:val="4CF80F08"/>
    <w:rsid w:val="4EAF2FBB"/>
    <w:rsid w:val="4EBE7F2F"/>
    <w:rsid w:val="4F3D70A6"/>
    <w:rsid w:val="509B0528"/>
    <w:rsid w:val="52756B57"/>
    <w:rsid w:val="52927709"/>
    <w:rsid w:val="535E35C9"/>
    <w:rsid w:val="53634C01"/>
    <w:rsid w:val="54501673"/>
    <w:rsid w:val="54937922"/>
    <w:rsid w:val="56A25A40"/>
    <w:rsid w:val="56E83D9B"/>
    <w:rsid w:val="571C769A"/>
    <w:rsid w:val="5870556E"/>
    <w:rsid w:val="5BAF30D9"/>
    <w:rsid w:val="5CBF10FA"/>
    <w:rsid w:val="5CF26BB9"/>
    <w:rsid w:val="6131633F"/>
    <w:rsid w:val="613B2AB6"/>
    <w:rsid w:val="61843329"/>
    <w:rsid w:val="63204F49"/>
    <w:rsid w:val="6377272F"/>
    <w:rsid w:val="67AF7FBD"/>
    <w:rsid w:val="67C1666E"/>
    <w:rsid w:val="6DA2484C"/>
    <w:rsid w:val="6DBA61DB"/>
    <w:rsid w:val="6DDF5995"/>
    <w:rsid w:val="6E056B89"/>
    <w:rsid w:val="6E386F5E"/>
    <w:rsid w:val="6F241291"/>
    <w:rsid w:val="6F2614AD"/>
    <w:rsid w:val="713E2ADE"/>
    <w:rsid w:val="72102B17"/>
    <w:rsid w:val="72D703B0"/>
    <w:rsid w:val="75B0387E"/>
    <w:rsid w:val="7A1F16EC"/>
    <w:rsid w:val="7AEC7106"/>
    <w:rsid w:val="7BA9149B"/>
    <w:rsid w:val="7BF070CA"/>
    <w:rsid w:val="7E5B2825"/>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pPr>
  </w:style>
  <w:style w:type="paragraph" w:styleId="3">
    <w:name w:val="Body Text"/>
    <w:basedOn w:val="1"/>
    <w:next w:val="1"/>
    <w:qFormat/>
    <w:uiPriority w:val="0"/>
    <w:rPr>
      <w:rFonts w:ascii="宋体"/>
      <w:kern w:val="16"/>
      <w:position w:val="6"/>
      <w:sz w:val="24"/>
      <w:szCs w:val="20"/>
    </w:rPr>
  </w:style>
  <w:style w:type="paragraph" w:styleId="4">
    <w:name w:val="toc 6"/>
    <w:basedOn w:val="1"/>
    <w:next w:val="1"/>
    <w:qFormat/>
    <w:uiPriority w:val="0"/>
    <w:pPr>
      <w:spacing w:line="360" w:lineRule="auto"/>
      <w:ind w:left="1200" w:firstLine="200" w:firstLineChars="200"/>
      <w:jc w:val="left"/>
    </w:pPr>
    <w:rPr>
      <w:rFonts w:ascii="Calibri" w:hAnsi="Calibri"/>
      <w:sz w:val="18"/>
      <w:szCs w:val="18"/>
    </w:rPr>
  </w:style>
  <w:style w:type="paragraph" w:styleId="8">
    <w:name w:val="index 5"/>
    <w:basedOn w:val="1"/>
    <w:next w:val="1"/>
    <w:qFormat/>
    <w:uiPriority w:val="0"/>
    <w:pPr>
      <w:ind w:left="800" w:leftChars="800"/>
    </w:pPr>
  </w:style>
  <w:style w:type="paragraph" w:styleId="9">
    <w:name w:val="annotation text"/>
    <w:basedOn w:val="1"/>
    <w:qFormat/>
    <w:uiPriority w:val="0"/>
    <w:pPr>
      <w:jc w:val="left"/>
    </w:pPr>
  </w:style>
  <w:style w:type="paragraph" w:styleId="10">
    <w:name w:val="Body Text Indent"/>
    <w:basedOn w:val="1"/>
    <w:next w:val="1"/>
    <w:qFormat/>
    <w:uiPriority w:val="0"/>
    <w:pPr>
      <w:ind w:firstLine="555"/>
    </w:pPr>
    <w:rPr>
      <w:rFonts w:ascii="宋体"/>
      <w:kern w:val="16"/>
      <w:position w:val="6"/>
      <w:sz w:val="24"/>
      <w:szCs w:val="20"/>
    </w:rPr>
  </w:style>
  <w:style w:type="paragraph" w:styleId="11">
    <w:name w:val="Plain Text"/>
    <w:basedOn w:val="1"/>
    <w:next w:val="1"/>
    <w:qFormat/>
    <w:uiPriority w:val="0"/>
    <w:rPr>
      <w:sz w:val="24"/>
      <w:szCs w:val="20"/>
    </w:rPr>
  </w:style>
  <w:style w:type="paragraph" w:styleId="12">
    <w:name w:val="Date"/>
    <w:basedOn w:val="1"/>
    <w:next w:val="1"/>
    <w:qFormat/>
    <w:uiPriority w:val="0"/>
    <w:pPr>
      <w:ind w:left="100" w:leftChars="2500"/>
    </w:pPr>
  </w:style>
  <w:style w:type="paragraph" w:styleId="13">
    <w:name w:val="Body Text Indent 2"/>
    <w:basedOn w:val="1"/>
    <w:qFormat/>
    <w:uiPriority w:val="0"/>
    <w:pPr>
      <w:ind w:firstLine="554" w:firstLineChars="231"/>
    </w:pPr>
    <w:rPr>
      <w:kern w:val="16"/>
      <w:position w:val="6"/>
      <w:sz w:val="24"/>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tabs>
        <w:tab w:val="left" w:pos="900"/>
        <w:tab w:val="left" w:pos="1800"/>
      </w:tabs>
      <w:ind w:left="2" w:hanging="2"/>
    </w:pPr>
    <w:rPr>
      <w:kern w:val="16"/>
      <w:sz w:val="24"/>
    </w:rPr>
  </w:style>
  <w:style w:type="paragraph" w:styleId="18">
    <w:name w:val="Body Text 2"/>
    <w:basedOn w:val="1"/>
    <w:qFormat/>
    <w:uiPriority w:val="0"/>
    <w:rPr>
      <w:sz w:val="32"/>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0"/>
    <w:next w:val="21"/>
    <w:qFormat/>
    <w:uiPriority w:val="0"/>
    <w:pPr>
      <w:spacing w:line="360" w:lineRule="auto"/>
      <w:ind w:firstLine="420" w:firstLineChars="200"/>
    </w:pPr>
    <w:rPr>
      <w:rFonts w:ascii="Calibri" w:hAnsi="Calibri"/>
      <w:kern w:val="2"/>
      <w:szCs w:val="22"/>
    </w:r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yperlink"/>
    <w:basedOn w:val="24"/>
    <w:qFormat/>
    <w:uiPriority w:val="0"/>
    <w:rPr>
      <w:color w:val="0000FF"/>
      <w:u w:val="none"/>
    </w:rPr>
  </w:style>
  <w:style w:type="paragraph" w:customStyle="1" w:styleId="29">
    <w:name w:val="Char"/>
    <w:basedOn w:val="1"/>
    <w:qFormat/>
    <w:uiPriority w:val="0"/>
    <w:rPr>
      <w:rFonts w:ascii="黑体" w:hAnsi="宋体" w:eastAsia="黑体"/>
      <w:snapToGrid w:val="0"/>
      <w:kern w:val="0"/>
      <w:sz w:val="32"/>
      <w:szCs w:val="32"/>
    </w:rPr>
  </w:style>
  <w:style w:type="character" w:customStyle="1" w:styleId="30">
    <w:name w:val="first-child"/>
    <w:basedOn w:val="24"/>
    <w:qFormat/>
    <w:uiPriority w:val="0"/>
  </w:style>
  <w:style w:type="character" w:customStyle="1" w:styleId="31">
    <w:name w:val="layui-layer-tabnow"/>
    <w:basedOn w:val="24"/>
    <w:qFormat/>
    <w:uiPriority w:val="0"/>
    <w:rPr>
      <w:bdr w:val="single" w:color="CCCCCC" w:sz="6" w:space="0"/>
      <w:shd w:val="clear" w:color="auto" w:fill="FFFFFF"/>
    </w:rPr>
  </w:style>
  <w:style w:type="paragraph" w:customStyle="1" w:styleId="32">
    <w:name w:val="xl26"/>
    <w:basedOn w:val="1"/>
    <w:qFormat/>
    <w:uiPriority w:val="0"/>
    <w:pPr>
      <w:widowControl/>
      <w:spacing w:before="100" w:beforeAutospacing="1" w:after="100" w:afterAutospacing="1"/>
      <w:jc w:val="right"/>
      <w:textAlignment w:val="center"/>
    </w:pPr>
    <w:rPr>
      <w:rFonts w:hint="eastAsia" w:ascii="黑体" w:hAnsi="宋体" w:eastAsia="黑体"/>
      <w:kern w:val="0"/>
      <w:sz w:val="28"/>
      <w:szCs w:val="28"/>
    </w:rPr>
  </w:style>
  <w:style w:type="paragraph" w:customStyle="1" w:styleId="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4">
    <w:name w:val="font6"/>
    <w:basedOn w:val="1"/>
    <w:qFormat/>
    <w:uiPriority w:val="0"/>
    <w:pPr>
      <w:widowControl/>
      <w:spacing w:before="100" w:beforeAutospacing="1" w:after="100" w:afterAutospacing="1"/>
      <w:jc w:val="left"/>
    </w:pPr>
    <w:rPr>
      <w:kern w:val="0"/>
      <w:sz w:val="28"/>
      <w:szCs w:val="28"/>
    </w:rPr>
  </w:style>
  <w:style w:type="paragraph" w:customStyle="1" w:styleId="3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xl27"/>
    <w:basedOn w:val="1"/>
    <w:qFormat/>
    <w:uiPriority w:val="0"/>
    <w:pPr>
      <w:widowControl/>
      <w:spacing w:before="100" w:beforeAutospacing="1" w:after="100" w:afterAutospacing="1"/>
      <w:jc w:val="left"/>
    </w:pPr>
    <w:rPr>
      <w:rFonts w:hint="eastAsia" w:ascii="黑体" w:hAnsi="宋体" w:eastAsia="黑体"/>
      <w:kern w:val="0"/>
      <w:sz w:val="32"/>
      <w:szCs w:val="32"/>
    </w:rPr>
  </w:style>
  <w:style w:type="paragraph" w:customStyle="1" w:styleId="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8"/>
      <w:szCs w:val="28"/>
    </w:rPr>
  </w:style>
  <w:style w:type="paragraph" w:customStyle="1" w:styleId="39">
    <w:name w:val="xl28"/>
    <w:basedOn w:val="1"/>
    <w:qFormat/>
    <w:uiPriority w:val="0"/>
    <w:pPr>
      <w:widowControl/>
      <w:spacing w:before="100" w:beforeAutospacing="1" w:after="100" w:afterAutospacing="1"/>
      <w:jc w:val="right"/>
    </w:pPr>
    <w:rPr>
      <w:rFonts w:hint="eastAsia" w:ascii="黑体" w:hAnsi="宋体" w:eastAsia="黑体"/>
      <w:kern w:val="0"/>
      <w:sz w:val="32"/>
      <w:szCs w:val="32"/>
    </w:rPr>
  </w:style>
  <w:style w:type="paragraph" w:customStyle="1" w:styleId="40">
    <w:name w:val="xl31"/>
    <w:basedOn w:val="1"/>
    <w:qFormat/>
    <w:uiPriority w:val="0"/>
    <w:pPr>
      <w:widowControl/>
      <w:pBdr>
        <w:bottom w:val="single" w:color="auto" w:sz="4" w:space="0"/>
      </w:pBdr>
      <w:spacing w:before="100" w:beforeAutospacing="1" w:after="100" w:afterAutospacing="1"/>
      <w:jc w:val="center"/>
    </w:pPr>
    <w:rPr>
      <w:rFonts w:hint="eastAsia" w:ascii="黑体" w:hAnsi="宋体" w:eastAsia="黑体"/>
      <w:kern w:val="0"/>
      <w:sz w:val="24"/>
    </w:rPr>
  </w:style>
  <w:style w:type="paragraph" w:customStyle="1" w:styleId="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42">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6">
    <w:name w:val="正文段"/>
    <w:basedOn w:val="1"/>
    <w:next w:val="8"/>
    <w:qFormat/>
    <w:uiPriority w:val="0"/>
    <w:pPr>
      <w:widowControl/>
      <w:autoSpaceDE/>
      <w:autoSpaceDN/>
      <w:adjustRightInd/>
      <w:snapToGrid w:val="0"/>
      <w:spacing w:after="156" w:afterLines="50"/>
      <w:ind w:firstLine="200" w:firstLineChars="200"/>
    </w:pPr>
    <w:rPr>
      <w:color w:val="auto"/>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9607</Words>
  <Characters>10104</Characters>
  <Paragraphs>685</Paragraphs>
  <TotalTime>71</TotalTime>
  <ScaleCrop>false</ScaleCrop>
  <LinksUpToDate>false</LinksUpToDate>
  <CharactersWithSpaces>11200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2023-05-17T07:10:00Z</dcterms:created>
  <dc:creator>周晗</dc:creator>
  <cp:lastModifiedBy>百合上的雨滴</cp:lastModifiedBy>
  <cp:lastPrinted>2026-03-10T03:13:07Z</cp:lastPrinted>
  <dcterms:modified xsi:type="dcterms:W3CDTF">2026-03-10T03:19:47Z</dcterms:modified>
  <dc:title>建设工程招标文件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905D5D8942AD4F759CC27F91A8C8B0F9_13</vt:lpwstr>
  </property>
  <property fmtid="{D5CDD505-2E9C-101B-9397-08002B2CF9AE}" pid="4" name="KSOTemplateDocerSaveRecord">
    <vt:lpwstr>eyJoZGlkIjoiMGViMzA2ODg2M2M1MzA4YmYzMDE1NmI4NWFiNGU5YWUiLCJ1c2VySWQiOiIzMDkyMzk0MDAifQ==</vt:lpwstr>
  </property>
</Properties>
</file>