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18"/>
          <w:sz w:val="52"/>
          <w:szCs w:val="52"/>
          <w:highlight w:val="none"/>
          <w:lang w:eastAsia="zh-CN"/>
        </w:rPr>
        <w:t>璜山镇2025-2026年度400万以下镇(村)级工程标底审计机构发包</w:t>
      </w: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jc w:val="center"/>
        <w:rPr>
          <w:rFonts w:hint="eastAsia" w:ascii="仿宋_GB2312" w:hAnsi="仿宋_GB2312" w:eastAsia="仿宋_GB2312" w:cs="仿宋_GB2312"/>
          <w:sz w:val="8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84"/>
          <w:highlight w:val="none"/>
          <w:lang w:val="en-US" w:eastAsia="zh-CN"/>
        </w:rPr>
        <w:t>发</w:t>
      </w:r>
    </w:p>
    <w:p>
      <w:pPr>
        <w:jc w:val="center"/>
        <w:rPr>
          <w:rFonts w:hint="eastAsia" w:ascii="仿宋_GB2312" w:hAnsi="仿宋_GB2312" w:eastAsia="仿宋_GB2312" w:cs="仿宋_GB2312"/>
          <w:sz w:val="84"/>
          <w:highlight w:val="none"/>
        </w:rPr>
      </w:pPr>
      <w:r>
        <w:rPr>
          <w:rFonts w:hint="eastAsia" w:ascii="仿宋_GB2312" w:hAnsi="仿宋_GB2312" w:eastAsia="仿宋_GB2312" w:cs="仿宋_GB2312"/>
          <w:sz w:val="84"/>
          <w:highlight w:val="none"/>
          <w:lang w:val="en-US" w:eastAsia="zh-CN"/>
        </w:rPr>
        <w:t>包</w:t>
      </w:r>
      <w:r>
        <w:rPr>
          <w:rFonts w:hint="eastAsia" w:ascii="仿宋_GB2312" w:hAnsi="仿宋_GB2312" w:eastAsia="仿宋_GB2312" w:cs="仿宋_GB2312"/>
          <w:sz w:val="84"/>
          <w:highlight w:val="none"/>
        </w:rPr>
        <w:t>　　</w:t>
      </w:r>
    </w:p>
    <w:p>
      <w:pPr>
        <w:jc w:val="center"/>
        <w:rPr>
          <w:rFonts w:hint="eastAsia" w:ascii="仿宋_GB2312" w:hAnsi="仿宋_GB2312" w:eastAsia="仿宋_GB2312" w:cs="仿宋_GB2312"/>
          <w:sz w:val="84"/>
          <w:highlight w:val="none"/>
        </w:rPr>
      </w:pPr>
      <w:r>
        <w:rPr>
          <w:rFonts w:hint="eastAsia" w:ascii="仿宋_GB2312" w:hAnsi="仿宋_GB2312" w:eastAsia="仿宋_GB2312" w:cs="仿宋_GB2312"/>
          <w:sz w:val="84"/>
          <w:highlight w:val="none"/>
        </w:rPr>
        <w:t>文　</w:t>
      </w:r>
    </w:p>
    <w:p>
      <w:pPr>
        <w:jc w:val="center"/>
        <w:rPr>
          <w:rFonts w:hint="eastAsia" w:ascii="仿宋_GB2312" w:hAnsi="仿宋_GB2312" w:eastAsia="仿宋_GB2312" w:cs="仿宋_GB2312"/>
          <w:sz w:val="84"/>
          <w:highlight w:val="none"/>
        </w:rPr>
      </w:pPr>
      <w:r>
        <w:rPr>
          <w:rFonts w:hint="eastAsia" w:ascii="仿宋_GB2312" w:hAnsi="仿宋_GB2312" w:eastAsia="仿宋_GB2312" w:cs="仿宋_GB2312"/>
          <w:sz w:val="84"/>
          <w:highlight w:val="none"/>
        </w:rPr>
        <w:t>件</w:t>
      </w:r>
    </w:p>
    <w:p>
      <w:pPr>
        <w:spacing w:line="500" w:lineRule="exact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highlight w:val="none"/>
        </w:rPr>
      </w:pPr>
    </w:p>
    <w:p>
      <w:pPr>
        <w:spacing w:line="660" w:lineRule="exact"/>
        <w:jc w:val="left"/>
        <w:rPr>
          <w:rFonts w:hint="eastAsia" w:ascii="仿宋_GB2312" w:hAnsi="仿宋_GB2312" w:eastAsia="仿宋_GB2312" w:cs="仿宋_GB2312"/>
          <w:b/>
          <w:bCs/>
          <w:spacing w:val="20"/>
          <w:sz w:val="32"/>
          <w:szCs w:val="32"/>
          <w:highlight w:val="none"/>
          <w:u w:val="none"/>
        </w:rPr>
      </w:pPr>
      <w:bookmarkStart w:id="0" w:name="OLE_LINK2"/>
      <w:bookmarkStart w:id="1" w:name="OLE_LINK1"/>
      <w:bookmarkStart w:id="2" w:name="OLE_LINK5"/>
      <w:bookmarkStart w:id="3" w:name="OLE_LINK4"/>
      <w:bookmarkStart w:id="4" w:name="OLE_LINK3"/>
      <w:r>
        <w:rPr>
          <w:rFonts w:hint="eastAsia" w:ascii="仿宋_GB2312" w:hAnsi="仿宋_GB2312" w:eastAsia="仿宋_GB2312" w:cs="仿宋_GB2312"/>
          <w:b/>
          <w:bCs/>
          <w:spacing w:val="20"/>
          <w:sz w:val="32"/>
          <w:szCs w:val="32"/>
          <w:highlight w:val="none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51"/>
          <w:w w:val="90"/>
          <w:sz w:val="32"/>
          <w:szCs w:val="32"/>
          <w:highlight w:val="none"/>
          <w:u w:val="none"/>
          <w:lang w:val="en-US" w:eastAsia="zh-CN"/>
        </w:rPr>
        <w:t>发  包</w:t>
      </w:r>
      <w:r>
        <w:rPr>
          <w:rFonts w:hint="eastAsia" w:ascii="仿宋_GB2312" w:hAnsi="仿宋_GB2312" w:eastAsia="仿宋_GB2312" w:cs="仿宋_GB2312"/>
          <w:b/>
          <w:bCs/>
          <w:spacing w:val="51"/>
          <w:w w:val="90"/>
          <w:sz w:val="32"/>
          <w:szCs w:val="32"/>
          <w:highlight w:val="none"/>
          <w:u w:val="none"/>
        </w:rPr>
        <w:t xml:space="preserve">  人</w:t>
      </w:r>
      <w:r>
        <w:rPr>
          <w:rFonts w:hint="eastAsia" w:ascii="仿宋_GB2312" w:hAnsi="仿宋_GB2312" w:eastAsia="仿宋_GB2312" w:cs="仿宋_GB2312"/>
          <w:b/>
          <w:bCs/>
          <w:spacing w:val="51"/>
          <w:w w:val="9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none"/>
        </w:rPr>
        <w:t xml:space="preserve">诸暨市璜山镇人民政府   </w:t>
      </w:r>
    </w:p>
    <w:p>
      <w:pPr>
        <w:spacing w:line="660" w:lineRule="exact"/>
        <w:rPr>
          <w:rFonts w:hint="eastAsia" w:ascii="宋体" w:hAnsi="宋体" w:eastAsia="宋体" w:cs="Times New Roman"/>
          <w:b/>
          <w:bCs/>
          <w:spacing w:val="2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pacing w:val="20"/>
          <w:sz w:val="32"/>
          <w:szCs w:val="32"/>
          <w:highlight w:val="none"/>
          <w:u w:val="none"/>
        </w:rPr>
        <w:t xml:space="preserve">    日       期：</w:t>
      </w:r>
      <w:r>
        <w:rPr>
          <w:rFonts w:hint="eastAsia" w:ascii="仿宋_GB2312" w:hAnsi="仿宋_GB2312" w:eastAsia="仿宋_GB2312" w:cs="仿宋_GB2312"/>
          <w:b/>
          <w:bCs/>
          <w:spacing w:val="2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22"/>
          <w:highlight w:val="none"/>
          <w:u w:val="none"/>
        </w:rPr>
        <w:t>二○二</w:t>
      </w: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22"/>
          <w:highlight w:val="none"/>
          <w:u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2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22"/>
          <w:highlight w:val="none"/>
          <w:u w:val="none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22"/>
          <w:highlight w:val="none"/>
          <w:u w:val="none"/>
        </w:rPr>
        <w:t xml:space="preserve">月   </w:t>
      </w:r>
      <w:r>
        <w:rPr>
          <w:rFonts w:hint="eastAsia" w:ascii="宋体" w:hAnsi="宋体" w:eastAsia="宋体" w:cs="Times New Roman"/>
          <w:b/>
          <w:bCs/>
          <w:spacing w:val="26"/>
          <w:sz w:val="32"/>
          <w:szCs w:val="22"/>
          <w:highlight w:val="none"/>
          <w:u w:val="none"/>
        </w:rPr>
        <w:t xml:space="preserve">   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44"/>
          <w:highlight w:val="none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sz w:val="44"/>
          <w:highlight w:val="none"/>
        </w:rPr>
        <w:sectPr>
          <w:headerReference r:id="rId3" w:type="default"/>
          <w:headerReference r:id="rId4" w:type="even"/>
          <w:footerReference r:id="rId5" w:type="even"/>
          <w:pgSz w:w="11906" w:h="16838"/>
          <w:pgMar w:top="1440" w:right="1266" w:bottom="1402" w:left="1600" w:header="851" w:footer="992" w:gutter="0"/>
          <w:pgNumType w:start="0"/>
          <w:cols w:space="720" w:num="1"/>
          <w:titlePg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eastAsia="zh-CN"/>
        </w:rPr>
        <w:t>璜山镇2025-2026年度400万以下镇(村)级工程标底审计机构发包发包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文件</w:t>
      </w:r>
    </w:p>
    <w:p>
      <w:pPr>
        <w:pStyle w:val="2"/>
        <w:rPr>
          <w:rFonts w:hint="eastAsia"/>
          <w:highlight w:val="none"/>
        </w:rPr>
      </w:pP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  <w:lang w:eastAsia="zh-CN"/>
        </w:rPr>
        <w:t>发包</w:t>
      </w:r>
      <w:r>
        <w:rPr>
          <w:rFonts w:hint="eastAsia" w:ascii="仿宋_GB2312" w:eastAsia="仿宋_GB2312"/>
          <w:sz w:val="28"/>
          <w:szCs w:val="28"/>
          <w:highlight w:val="none"/>
        </w:rPr>
        <w:t>人：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eastAsia="zh-CN"/>
        </w:rPr>
        <w:t>诸暨市璜山镇人民政府</w:t>
      </w:r>
      <w:r>
        <w:rPr>
          <w:rFonts w:hint="eastAsia" w:ascii="仿宋_GB2312" w:eastAsia="仿宋_GB2312"/>
          <w:sz w:val="28"/>
          <w:szCs w:val="28"/>
          <w:highlight w:val="none"/>
        </w:rPr>
        <w:t>（盖章）</w:t>
      </w: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法定代表人或委托代理人：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　        </w:t>
      </w:r>
      <w:r>
        <w:rPr>
          <w:rFonts w:hint="eastAsia" w:ascii="仿宋_GB2312" w:eastAsia="仿宋_GB2312"/>
          <w:sz w:val="28"/>
          <w:szCs w:val="28"/>
          <w:highlight w:val="none"/>
        </w:rPr>
        <w:t>（签字或盖章）</w:t>
      </w:r>
    </w:p>
    <w:p>
      <w:pPr>
        <w:spacing w:line="600" w:lineRule="exact"/>
        <w:ind w:firstLine="840" w:firstLineChars="300"/>
        <w:rPr>
          <w:rFonts w:hint="default" w:ascii="仿宋_GB2312" w:eastAsia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地址：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eastAsia="zh-CN"/>
        </w:rPr>
        <w:t>诸暨市璜山镇</w:t>
      </w: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邮政编码：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>31180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val="en-US" w:eastAsia="zh-CN"/>
        </w:rPr>
        <w:t>9</w:t>
      </w:r>
    </w:p>
    <w:p>
      <w:pPr>
        <w:spacing w:line="600" w:lineRule="exact"/>
        <w:rPr>
          <w:rFonts w:hint="eastAsia" w:ascii="仿宋_GB2312" w:eastAsia="仿宋_GB2312"/>
          <w:sz w:val="28"/>
          <w:szCs w:val="28"/>
          <w:highlight w:val="none"/>
          <w:u w:val="singl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 xml:space="preserve">      联系人：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eastAsia="zh-CN"/>
        </w:rPr>
        <w:t xml:space="preserve">周庆彪 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 </w:t>
      </w:r>
    </w:p>
    <w:p>
      <w:pPr>
        <w:spacing w:line="600" w:lineRule="exact"/>
        <w:rPr>
          <w:rFonts w:hint="default" w:ascii="仿宋_GB2312" w:eastAsia="仿宋_GB2312" w:cs="宋体"/>
          <w:color w:val="000000"/>
          <w:kern w:val="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cs="宋体"/>
          <w:color w:val="000000"/>
          <w:kern w:val="0"/>
          <w:sz w:val="28"/>
          <w:szCs w:val="28"/>
          <w:highlight w:val="none"/>
        </w:rPr>
        <w:t xml:space="preserve">    </w:t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 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工作</w:t>
      </w:r>
      <w:r>
        <w:rPr>
          <w:rFonts w:hint="eastAsia" w:ascii="仿宋_GB2312" w:eastAsia="仿宋_GB2312"/>
          <w:sz w:val="28"/>
          <w:szCs w:val="28"/>
          <w:highlight w:val="none"/>
        </w:rPr>
        <w:t>电话：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val="en-US" w:eastAsia="zh-CN"/>
        </w:rPr>
        <w:t>13758576673</w:t>
      </w:r>
    </w:p>
    <w:p>
      <w:pPr>
        <w:spacing w:line="600" w:lineRule="exact"/>
        <w:ind w:firstLine="840" w:firstLineChars="300"/>
        <w:rPr>
          <w:rFonts w:hint="default" w:ascii="仿宋_GB2312" w:eastAsia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传  真：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u w:val="single"/>
          <w:lang w:val="en-US" w:eastAsia="zh-CN"/>
        </w:rPr>
        <w:t xml:space="preserve">    /     </w:t>
      </w:r>
    </w:p>
    <w:p>
      <w:pPr>
        <w:spacing w:line="600" w:lineRule="exact"/>
        <w:ind w:firstLine="840" w:firstLineChars="3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  <w:lang w:eastAsia="zh-CN"/>
        </w:rPr>
        <w:t>诸暨市璜山镇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val="en-US" w:eastAsia="zh-CN"/>
        </w:rPr>
        <w:t>项目交易办公室</w:t>
      </w:r>
      <w:r>
        <w:rPr>
          <w:rFonts w:hint="eastAsia" w:ascii="仿宋_GB2312" w:eastAsia="仿宋_GB2312"/>
          <w:sz w:val="28"/>
          <w:szCs w:val="28"/>
          <w:highlight w:val="none"/>
        </w:rPr>
        <w:t>备案审查意见：</w:t>
      </w: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                                           </w:t>
      </w:r>
      <w:r>
        <w:rPr>
          <w:rFonts w:hint="eastAsia" w:ascii="仿宋_GB2312" w:eastAsia="仿宋_GB2312"/>
          <w:sz w:val="28"/>
          <w:szCs w:val="28"/>
          <w:highlight w:val="none"/>
        </w:rPr>
        <w:t>（盖章）</w:t>
      </w:r>
    </w:p>
    <w:p>
      <w:pPr>
        <w:spacing w:line="600" w:lineRule="exact"/>
        <w:ind w:firstLine="840" w:firstLineChars="300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经办人：</w:t>
      </w:r>
      <w:r>
        <w:rPr>
          <w:rFonts w:hint="eastAsia" w:ascii="仿宋_GB2312" w:eastAsia="仿宋_GB2312"/>
          <w:sz w:val="28"/>
          <w:szCs w:val="28"/>
          <w:highlight w:val="none"/>
          <w:u w:val="single"/>
        </w:rPr>
        <w:t xml:space="preserve">                             </w:t>
      </w:r>
      <w:r>
        <w:rPr>
          <w:rFonts w:hint="eastAsia" w:ascii="仿宋_GB2312" w:eastAsia="仿宋_GB2312"/>
          <w:sz w:val="28"/>
          <w:szCs w:val="28"/>
          <w:highlight w:val="none"/>
        </w:rPr>
        <w:t>（签字或盖章）</w:t>
      </w:r>
    </w:p>
    <w:p>
      <w:pPr>
        <w:spacing w:line="600" w:lineRule="exact"/>
        <w:ind w:firstLine="840" w:firstLineChars="300"/>
        <w:rPr>
          <w:rFonts w:hint="eastAsia" w:ascii="仿宋_GB2312" w:eastAsia="仿宋_GB2312"/>
          <w:color w:val="auto"/>
          <w:sz w:val="24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  期：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2025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</w:rPr>
        <w:t xml:space="preserve">第一章  </w:t>
      </w:r>
      <w:bookmarkStart w:id="5" w:name="OLE_LINK7"/>
      <w:bookmarkStart w:id="6" w:name="OLE_LINK10"/>
      <w:bookmarkStart w:id="11" w:name="_GoBack"/>
      <w:r>
        <w:rPr>
          <w:rFonts w:hint="eastAsia" w:ascii="仿宋" w:hAnsi="仿宋" w:eastAsia="仿宋" w:cs="仿宋"/>
          <w:sz w:val="4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44"/>
          <w:highlight w:val="none"/>
        </w:rPr>
        <w:t>公告</w:t>
      </w:r>
    </w:p>
    <w:p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本次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根据有关规定，公开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符合条件的审计机构，为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璜山镇202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-202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年度400万以下镇（村）级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建设工程标底提供审计服务，现将具体事项公告如下：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诸暨市璜山镇人民政府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2、项目名称：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璜山镇2025-2026年度400万以下镇(村)级工程标底审计机构发包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范围：</w:t>
      </w:r>
      <w:bookmarkStart w:id="7" w:name="OLE_LINK6"/>
      <w:bookmarkStart w:id="8" w:name="OLE_LINK8"/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eastAsia="zh-CN"/>
        </w:rPr>
        <w:t>-202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度璜山镇、村工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程预算造价</w:t>
      </w:r>
      <w:bookmarkEnd w:id="7"/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400万元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不含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以内建设工程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标底审计服务</w:t>
      </w:r>
      <w:bookmarkEnd w:id="8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4、代理期限：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合同生效之日起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满一年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5、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方式：公开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6、信息发布时间：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要求：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①所持有的有效营业执照须包含工程造价咨询经营范围</w:t>
      </w:r>
      <w:r>
        <w:rPr>
          <w:rFonts w:hint="eastAsia" w:ascii="仿宋" w:hAnsi="仿宋" w:eastAsia="仿宋" w:cs="仿宋"/>
          <w:color w:val="FF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highlight w:val="none"/>
          <w:lang w:val="en-US" w:eastAsia="zh-CN"/>
        </w:rPr>
        <w:t>璜山镇年度合同服务期限范围内的发包代理单位不得参加本次发包</w:t>
      </w:r>
      <w:r>
        <w:rPr>
          <w:rFonts w:hint="eastAsia" w:ascii="仿宋" w:hAnsi="仿宋" w:eastAsia="仿宋" w:cs="仿宋"/>
          <w:color w:val="FF0000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人应在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时确定本单位拟派参与本项目的人员，拟派负责人须具备注册一级造价工程师执业资格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其中建筑、安装、交通运输、水利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专业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资质注册造价工程师至少各一名（同一人拥有几个专业的仅按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个专业计算）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8、参加人员：法定代表人或其委托代理人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9、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携带资料：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竞包函原件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、授权委托书原件、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人代表身份证原件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及复印件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，造价咨询机构营业执照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复印件、</w:t>
      </w:r>
      <w:r>
        <w:rPr>
          <w:rFonts w:hint="eastAsia" w:ascii="仿宋_GB2312" w:hAnsi="Times New Roman" w:eastAsia="仿宋_GB2312" w:cs="Times New Roman"/>
          <w:color w:val="auto"/>
          <w:sz w:val="24"/>
          <w:highlight w:val="none"/>
          <w:lang w:val="en-US" w:eastAsia="zh-CN"/>
        </w:rPr>
        <w:t>相应专业</w:t>
      </w:r>
      <w:r>
        <w:rPr>
          <w:rFonts w:hint="eastAsia" w:ascii="仿宋_GB2312" w:hAnsi="Times New Roman" w:eastAsia="仿宋_GB2312" w:cs="Times New Roman"/>
          <w:color w:val="auto"/>
          <w:sz w:val="24"/>
          <w:highlight w:val="none"/>
        </w:rPr>
        <w:t>注册造价工程师证书</w:t>
      </w:r>
      <w:r>
        <w:rPr>
          <w:rFonts w:hint="eastAsia" w:ascii="仿宋_GB2312" w:hAnsi="Times New Roman" w:eastAsia="仿宋_GB2312" w:cs="Times New Roman"/>
          <w:color w:val="auto"/>
          <w:sz w:val="24"/>
          <w:highlight w:val="none"/>
          <w:lang w:val="en-US" w:eastAsia="zh-CN"/>
        </w:rPr>
        <w:t>复印件及其在本企业最近三个月以上社保证明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4"/>
          <w:highlight w:val="none"/>
          <w:lang w:val="en-US" w:eastAsia="zh-CN"/>
        </w:rPr>
        <w:t>（全部人员社保必须全部归属于总公司或者总公司和某一个分公司，提供总公司和多个分公司的社保不予认可</w:t>
      </w:r>
      <w:r>
        <w:rPr>
          <w:rFonts w:hint="eastAsia" w:ascii="仿宋_GB2312" w:hAnsi="Times New Roman" w:eastAsia="仿宋_GB2312" w:cs="Times New Roman"/>
          <w:color w:val="FF0000"/>
          <w:sz w:val="24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上述资料提供复印件的需加盖竞包人印章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10、领取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文件方式：网上自行下载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11、资格审查方式：资格后审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12、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发包家数：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家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13、评标办法：简易程序中包法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eastAsia="zh-CN"/>
        </w:rPr>
        <w:t>（下浮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val="en-US" w:eastAsia="zh-CN"/>
        </w:rPr>
        <w:t>率40.00%－50.00%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eastAsia="zh-CN"/>
        </w:rPr>
        <w:t>)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14、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14:30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时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960" w:firstLineChars="4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竞包地点：诸暨市市场监督管理局璜山所四楼大会议室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kern w:val="16"/>
          <w:position w:val="6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15、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联系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人：</w:t>
      </w:r>
      <w:bookmarkEnd w:id="0"/>
      <w:bookmarkEnd w:id="1"/>
      <w:bookmarkEnd w:id="2"/>
      <w:bookmarkEnd w:id="3"/>
      <w:bookmarkEnd w:id="4"/>
      <w:bookmarkEnd w:id="5"/>
      <w:bookmarkStart w:id="9" w:name="_第二章__投标人须知"/>
      <w:bookmarkEnd w:id="9"/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冯佳佳   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工作电话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15215925522  </w:t>
      </w:r>
      <w:r>
        <w:rPr>
          <w:rFonts w:hint="eastAsia" w:ascii="仿宋" w:hAnsi="仿宋" w:eastAsia="仿宋" w:cs="仿宋"/>
          <w:kern w:val="16"/>
          <w:position w:val="6"/>
          <w:sz w:val="24"/>
          <w:szCs w:val="24"/>
          <w:highlight w:val="none"/>
          <w:lang w:val="en-US" w:eastAsia="zh-CN" w:bidi="ar-SA"/>
        </w:rPr>
        <w:t xml:space="preserve">      </w:t>
      </w:r>
    </w:p>
    <w:p>
      <w:pPr>
        <w:numPr>
          <w:ilvl w:val="0"/>
          <w:numId w:val="0"/>
        </w:numPr>
        <w:spacing w:line="240" w:lineRule="auto"/>
        <w:jc w:val="right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</w:p>
    <w:p>
      <w:pPr>
        <w:numPr>
          <w:ilvl w:val="0"/>
          <w:numId w:val="0"/>
        </w:numPr>
        <w:spacing w:line="240" w:lineRule="auto"/>
        <w:jc w:val="right"/>
        <w:rPr>
          <w:rFonts w:hint="eastAsia" w:ascii="仿宋" w:hAnsi="仿宋" w:eastAsia="仿宋" w:cs="仿宋"/>
          <w:color w:val="auto"/>
          <w:kern w:val="16"/>
          <w:position w:val="6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16"/>
          <w:position w:val="6"/>
          <w:sz w:val="24"/>
          <w:szCs w:val="24"/>
          <w:highlight w:val="none"/>
          <w:lang w:val="en-US" w:eastAsia="zh-CN" w:bidi="ar-SA"/>
        </w:rPr>
        <w:t>诸</w:t>
      </w:r>
      <w:r>
        <w:rPr>
          <w:rFonts w:hint="eastAsia" w:ascii="仿宋" w:hAnsi="仿宋" w:eastAsia="仿宋" w:cs="仿宋"/>
          <w:color w:val="auto"/>
          <w:kern w:val="16"/>
          <w:position w:val="6"/>
          <w:sz w:val="24"/>
          <w:szCs w:val="24"/>
          <w:highlight w:val="none"/>
          <w:lang w:val="en-US" w:eastAsia="zh-CN" w:bidi="ar-SA"/>
        </w:rPr>
        <w:t>暨市璜山镇人民政府</w:t>
      </w:r>
    </w:p>
    <w:p>
      <w:pPr>
        <w:numPr>
          <w:ilvl w:val="0"/>
          <w:numId w:val="0"/>
        </w:numPr>
        <w:spacing w:line="240" w:lineRule="auto"/>
        <w:jc w:val="right"/>
        <w:rPr>
          <w:rFonts w:hint="eastAsia" w:ascii="仿宋_GB2312" w:eastAsia="仿宋_GB2312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16"/>
          <w:position w:val="6"/>
          <w:sz w:val="24"/>
          <w:szCs w:val="24"/>
          <w:highlight w:val="none"/>
          <w:lang w:val="en-US" w:eastAsia="zh-CN" w:bidi="ar-SA"/>
        </w:rPr>
        <w:t>2025年10月11日</w:t>
      </w:r>
      <w:r>
        <w:rPr>
          <w:rFonts w:hint="eastAsia" w:ascii="仿宋" w:hAnsi="仿宋" w:eastAsia="仿宋" w:cs="仿宋"/>
          <w:color w:val="auto"/>
          <w:kern w:val="16"/>
          <w:position w:val="6"/>
          <w:sz w:val="24"/>
          <w:szCs w:val="20"/>
          <w:highlight w:val="none"/>
          <w:lang w:val="en-US" w:eastAsia="zh-CN" w:bidi="ar-SA"/>
        </w:rPr>
        <w:t xml:space="preserve"> </w:t>
      </w:r>
      <w:bookmarkEnd w:id="11"/>
      <w:bookmarkEnd w:id="6"/>
      <w:r>
        <w:rPr>
          <w:rFonts w:hint="eastAsia" w:ascii="仿宋_GB2312" w:eastAsia="仿宋_GB2312"/>
          <w:color w:val="auto"/>
          <w:sz w:val="24"/>
          <w:highlight w:val="none"/>
        </w:rPr>
        <w:t xml:space="preserve"> </w:t>
      </w:r>
      <w:r>
        <w:rPr>
          <w:rFonts w:hint="eastAsia" w:ascii="仿宋_GB2312" w:eastAsia="仿宋_GB2312"/>
          <w:sz w:val="24"/>
          <w:highlight w:val="none"/>
        </w:rPr>
        <w:t xml:space="preserve">                           </w:t>
      </w:r>
    </w:p>
    <w:p>
      <w:pPr>
        <w:spacing w:line="500" w:lineRule="exact"/>
        <w:jc w:val="center"/>
        <w:rPr>
          <w:rFonts w:hint="eastAsia" w:ascii="仿宋_GB2312" w:eastAsia="仿宋_GB2312"/>
          <w:sz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right"/>
        <w:textAlignment w:val="auto"/>
        <w:rPr>
          <w:rFonts w:hint="eastAsia" w:ascii="仿宋" w:hAnsi="仿宋" w:eastAsia="仿宋" w:cs="仿宋"/>
          <w:sz w:val="2"/>
          <w:szCs w:val="2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</w:rPr>
        <w:br w:type="page"/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44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</w:rPr>
        <w:t>第二章　前附表及日程安排表</w:t>
      </w:r>
    </w:p>
    <w:p>
      <w:pPr>
        <w:jc w:val="center"/>
        <w:rPr>
          <w:rFonts w:hint="eastAsia" w:ascii="仿宋" w:hAnsi="仿宋" w:eastAsia="仿宋" w:cs="仿宋"/>
          <w:sz w:val="36"/>
          <w:highlight w:val="none"/>
        </w:rPr>
      </w:pPr>
      <w:r>
        <w:rPr>
          <w:rFonts w:hint="eastAsia" w:ascii="仿宋" w:hAnsi="仿宋" w:eastAsia="仿宋" w:cs="仿宋"/>
          <w:sz w:val="36"/>
          <w:highlight w:val="none"/>
        </w:rPr>
        <w:t>一、前附表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769"/>
        <w:gridCol w:w="7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highlight w:val="none"/>
              </w:rPr>
              <w:t>序号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highlight w:val="none"/>
              </w:rPr>
              <w:t>内 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</w:t>
            </w:r>
          </w:p>
        </w:tc>
        <w:tc>
          <w:tcPr>
            <w:tcW w:w="76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项目基本情况</w:t>
            </w:r>
          </w:p>
        </w:tc>
        <w:tc>
          <w:tcPr>
            <w:tcW w:w="7331" w:type="dxa"/>
            <w:noWrap w:val="0"/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名称：璜山镇2025-2026年度400万以下镇(村)级工程标底审计机构发包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发 包 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诸暨市璜山镇人民政府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发包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范围：202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-202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年度镇、村工程预算造价400万元（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不含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）以内建设工程标底审计服务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。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 xml:space="preserve">发包方式：公开发包 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发包家数：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家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评标办法：简易程序中包法</w:t>
            </w:r>
          </w:p>
          <w:p>
            <w:pPr>
              <w:spacing w:line="240" w:lineRule="auto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审计服务费：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val="en-US" w:eastAsia="zh-CN"/>
              </w:rPr>
              <w:t>参照《浙江省建设工程造价咨询服务基准收费标准》（浙价服〔2009〕84号）下浮计算审计费【如与后续收费标准的新政策不一致，按相关最新政策文件执行】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，每件咨询服务不足2000元的，按照2000元的标准再下浮计算。</w:t>
            </w:r>
            <w:bookmarkStart w:id="10" w:name="OLE_LINK9"/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预算10万元以下工程的每件咨询费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元（不下浮）</w:t>
            </w:r>
            <w:bookmarkEnd w:id="10"/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，下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eastAsia="zh-CN"/>
              </w:rPr>
              <w:t>浮率40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val="en-US" w:eastAsia="zh-CN"/>
              </w:rPr>
              <w:t>.00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eastAsia="zh-CN"/>
              </w:rPr>
              <w:t>%－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val="en-US" w:eastAsia="zh-CN"/>
              </w:rPr>
              <w:t>50.00</w:t>
            </w:r>
            <w:r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eastAsia="zh-CN"/>
              </w:rPr>
              <w:t>%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政府性投资项目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年度服务费不超过12万元。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竞包人资格等级要求：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①所持有的有效营业执照须包含工程造价咨询经营范围（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璜山镇年度合同服务期限范围内的发包代理单位不得参加本次发包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）；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②竞包人应在竞包时确定本单位拟派参与本项目的人员，拟派负责人须具备注册一级造价工程师执业资格，其中建筑、安装、交通运输、水利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资质注册造价工程师至少各一名（同一人拥有几个专业的仅按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个专业计算）。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3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参加人员：法定代表人或其委托代理人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竞包携带资料：竞包函原件、授权委托书原件、竞包人代表身份证原件及复印件，造价咨询机构营业执照复印件、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相应专业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highlight w:val="none"/>
              </w:rPr>
              <w:t>注册造价工程师证书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复印件及其在本企业最近三个月以上社保证明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FF0000"/>
                <w:sz w:val="24"/>
                <w:highlight w:val="none"/>
                <w:lang w:val="en-US" w:eastAsia="zh-CN"/>
              </w:rPr>
              <w:t>（全部人员社保必须全部归属于总公司或者总公司和某一个分公司，提供总公司和多个分公司的社保不予认可</w:t>
            </w:r>
            <w:r>
              <w:rPr>
                <w:rFonts w:hint="eastAsia" w:ascii="仿宋_GB2312" w:hAnsi="Times New Roman" w:eastAsia="仿宋_GB2312" w:cs="Times New Roman"/>
                <w:color w:val="FF0000"/>
                <w:sz w:val="24"/>
                <w:highlight w:val="none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。上述资料提供复印件的需加盖竞包人印章。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4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竞包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有效期：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9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天（日历天数），从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竞包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截止之日起计算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5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竞包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保证金：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6</w:t>
            </w:r>
          </w:p>
        </w:tc>
        <w:tc>
          <w:tcPr>
            <w:tcW w:w="810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合同履约保证金：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人民币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壹万元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整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 xml:space="preserve">  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收款单位：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eastAsia="zh-CN"/>
              </w:rPr>
              <w:t>诸暨市璜山镇人民政府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开户银行：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农商银行璜山支行 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银行帐号：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201000032608168 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36"/>
          <w:highlight w:val="none"/>
          <w:lang w:val="en-US" w:eastAsia="zh-CN"/>
        </w:rPr>
        <w:br w:type="page"/>
      </w:r>
      <w:r>
        <w:rPr>
          <w:rFonts w:hint="eastAsia" w:ascii="仿宋" w:hAnsi="仿宋" w:eastAsia="仿宋" w:cs="仿宋"/>
          <w:sz w:val="36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36"/>
          <w:highlight w:val="none"/>
        </w:rPr>
        <w:t>、日程安排表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3472"/>
        <w:gridCol w:w="2145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 xml:space="preserve">        安排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程序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信息发布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诸暨市公共资源交易网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发包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文件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诸暨市公共资源交易网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自行下载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发包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文件澄清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截止时间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时止 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如有疑问请以书面形式并加盖单位公章，递交到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璜山镇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项目交易办公室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竞包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文件递交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竞包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截止时间）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14:30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止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诸暨市市场监督管理局璜山所四楼大会议室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4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现场递交，逾时视为弃权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竞包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14:30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诸暨市市场监督管理局璜山所四楼大会议室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注：本表日程如有变动，以补充通知或修改文件通知时间为准。</w:t>
      </w:r>
    </w:p>
    <w:p>
      <w:pPr>
        <w:snapToGrid w:val="0"/>
        <w:spacing w:after="120" w:afterLines="50"/>
        <w:jc w:val="center"/>
        <w:rPr>
          <w:rFonts w:hint="eastAsia" w:ascii="仿宋" w:hAnsi="仿宋" w:eastAsia="仿宋" w:cs="仿宋"/>
          <w:sz w:val="44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</w:rPr>
        <w:br w:type="page"/>
      </w:r>
      <w:r>
        <w:rPr>
          <w:rFonts w:hint="eastAsia" w:ascii="仿宋" w:hAnsi="仿宋" w:eastAsia="仿宋" w:cs="仿宋"/>
          <w:sz w:val="44"/>
          <w:highlight w:val="none"/>
        </w:rPr>
        <w:t>第</w:t>
      </w:r>
      <w:r>
        <w:rPr>
          <w:rFonts w:hint="eastAsia" w:ascii="仿宋" w:hAnsi="仿宋" w:eastAsia="仿宋" w:cs="仿宋"/>
          <w:sz w:val="44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44"/>
          <w:highlight w:val="none"/>
        </w:rPr>
        <w:t>章　</w:t>
      </w:r>
      <w:r>
        <w:rPr>
          <w:rFonts w:hint="eastAsia" w:ascii="仿宋" w:hAnsi="仿宋" w:eastAsia="仿宋" w:cs="仿宋"/>
          <w:sz w:val="4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44"/>
          <w:highlight w:val="none"/>
        </w:rPr>
        <w:t>人须知</w:t>
      </w:r>
    </w:p>
    <w:p>
      <w:pPr>
        <w:snapToGrid w:val="0"/>
        <w:spacing w:line="400" w:lineRule="exact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一、总则</w:t>
      </w:r>
    </w:p>
    <w:p>
      <w:pPr>
        <w:snapToGrid w:val="0"/>
        <w:spacing w:line="380" w:lineRule="exact"/>
        <w:ind w:firstLine="472" w:firstLineChars="196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(一)项目说明</w:t>
      </w:r>
    </w:p>
    <w:p>
      <w:pPr>
        <w:snapToGrid w:val="0"/>
        <w:spacing w:line="38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详见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公告和前附表。</w:t>
      </w:r>
    </w:p>
    <w:p>
      <w:pPr>
        <w:snapToGrid w:val="0"/>
        <w:spacing w:line="38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(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)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方式</w:t>
      </w:r>
    </w:p>
    <w:p>
      <w:pPr>
        <w:snapToGrid w:val="0"/>
        <w:spacing w:line="38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本项目采用公开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的方式，择优选定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标底审计机构</w:t>
      </w:r>
      <w:r>
        <w:rPr>
          <w:rFonts w:hint="eastAsia" w:ascii="仿宋" w:hAnsi="仿宋" w:eastAsia="仿宋" w:cs="仿宋"/>
          <w:sz w:val="24"/>
          <w:highlight w:val="none"/>
        </w:rPr>
        <w:t>。</w:t>
      </w:r>
    </w:p>
    <w:p>
      <w:pPr>
        <w:snapToGrid w:val="0"/>
        <w:spacing w:line="38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(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)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费用</w:t>
      </w:r>
    </w:p>
    <w:p>
      <w:pPr>
        <w:snapToGrid w:val="0"/>
        <w:spacing w:line="38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标底审计机构</w:t>
      </w:r>
      <w:r>
        <w:rPr>
          <w:rFonts w:hint="eastAsia" w:ascii="仿宋" w:hAnsi="仿宋" w:eastAsia="仿宋" w:cs="仿宋"/>
          <w:sz w:val="24"/>
          <w:highlight w:val="none"/>
        </w:rPr>
        <w:t>在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过程中的一切费用，不论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与否，均自行承担。</w:t>
      </w:r>
    </w:p>
    <w:p>
      <w:pPr>
        <w:snapToGrid w:val="0"/>
        <w:spacing w:line="380" w:lineRule="exact"/>
        <w:rPr>
          <w:rFonts w:hint="eastAsia" w:ascii="仿宋" w:hAnsi="仿宋" w:eastAsia="仿宋" w:cs="仿宋"/>
          <w:sz w:val="32"/>
          <w:highlight w:val="none"/>
        </w:rPr>
      </w:pPr>
    </w:p>
    <w:p>
      <w:pPr>
        <w:snapToGrid w:val="0"/>
        <w:spacing w:line="380" w:lineRule="exact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二、</w:t>
      </w:r>
      <w:r>
        <w:rPr>
          <w:rFonts w:hint="eastAsia" w:ascii="仿宋" w:hAnsi="仿宋" w:eastAsia="仿宋" w:cs="仿宋"/>
          <w:sz w:val="32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32"/>
          <w:highlight w:val="none"/>
        </w:rPr>
        <w:t>文件</w:t>
      </w:r>
    </w:p>
    <w:p>
      <w:pPr>
        <w:snapToGrid w:val="0"/>
        <w:spacing w:line="38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文件由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公告、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日程安排表、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人须知、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函（格式）和委托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审计</w:t>
      </w:r>
      <w:r>
        <w:rPr>
          <w:rFonts w:hint="eastAsia" w:ascii="仿宋" w:hAnsi="仿宋" w:eastAsia="仿宋" w:cs="仿宋"/>
          <w:sz w:val="24"/>
          <w:highlight w:val="none"/>
        </w:rPr>
        <w:t>协议（格式）等组成。</w:t>
      </w:r>
    </w:p>
    <w:p>
      <w:pPr>
        <w:snapToGrid w:val="0"/>
        <w:spacing w:line="38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人应认真阅读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文件中的所有内容。如果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文件实质上不响应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文件要求，其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文件将被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人拒绝。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三、</w:t>
      </w:r>
      <w:r>
        <w:rPr>
          <w:rFonts w:hint="eastAsia" w:ascii="仿宋" w:hAnsi="仿宋" w:eastAsia="仿宋" w:cs="仿宋"/>
          <w:sz w:val="32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32"/>
          <w:highlight w:val="none"/>
        </w:rPr>
        <w:t>函</w:t>
      </w:r>
    </w:p>
    <w:p>
      <w:pPr>
        <w:snapToGrid w:val="0"/>
        <w:spacing w:line="380" w:lineRule="exact"/>
        <w:ind w:firstLine="472" w:firstLineChars="196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 xml:space="preserve">(一) 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函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竞包函应按发包文件规定的格式，在竞包时间截止前提交。</w:t>
      </w:r>
    </w:p>
    <w:p>
      <w:pPr>
        <w:snapToGrid w:val="0"/>
        <w:spacing w:line="38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）竞包保证金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本项目无需缴纳竞包保证金</w:t>
      </w:r>
    </w:p>
    <w:p>
      <w:pPr>
        <w:spacing w:line="420" w:lineRule="exact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(三)合同履约保证金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FF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人必须在合同签订前按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人须知规定的标准，向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人提交合同履约保证金（不计息）。未按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文件规定提交合同履约保证金的，视为放弃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spacing w:before="120" w:beforeLines="50" w:after="120" w:afterLines="50" w:line="360" w:lineRule="auto"/>
        <w:ind w:firstLine="284"/>
        <w:jc w:val="center"/>
        <w:rPr>
          <w:rFonts w:hint="eastAsia" w:ascii="仿宋" w:hAnsi="仿宋" w:eastAsia="仿宋" w:cs="仿宋"/>
          <w:sz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highlight w:val="none"/>
        </w:rPr>
        <w:t>四、</w:t>
      </w:r>
      <w:r>
        <w:rPr>
          <w:rFonts w:hint="eastAsia" w:ascii="仿宋" w:hAnsi="仿宋" w:eastAsia="仿宋" w:cs="仿宋"/>
          <w:sz w:val="32"/>
          <w:highlight w:val="none"/>
          <w:lang w:eastAsia="zh-CN"/>
        </w:rPr>
        <w:t>竞包</w:t>
      </w:r>
    </w:p>
    <w:p>
      <w:pPr>
        <w:snapToGrid w:val="0"/>
        <w:spacing w:line="380" w:lineRule="exact"/>
        <w:ind w:firstLine="472" w:firstLineChars="196"/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 xml:space="preserve">(一) 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竞 包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1、本项目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人按日程安排表所规定的时间和地点公开举行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会议，请所有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人代表参加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会议，并接受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镇监管办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的监督和指导。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函应在规定时间内提交，逾期提交视为自动弃权，提交后不得撤回，否则其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保证金不予退还。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 xml:space="preserve">(二) 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函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的鉴定和公布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会现场当众宣读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人的单位名称及序号及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人认为适当的其他内容。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(三) 唱包和记录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唱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内容应做好记录，并由各有关单位人员签字确认。</w:t>
      </w:r>
    </w:p>
    <w:p>
      <w:pPr>
        <w:spacing w:before="120" w:beforeLines="50" w:after="120" w:afterLines="50" w:line="420" w:lineRule="exact"/>
        <w:ind w:firstLine="284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五、评标办法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本项目实行“简易程序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法”</w:t>
      </w:r>
    </w:p>
    <w:p>
      <w:pPr>
        <w:spacing w:before="120" w:beforeLines="50" w:after="120" w:afterLines="50" w:line="420" w:lineRule="exact"/>
        <w:jc w:val="center"/>
        <w:rPr>
          <w:rFonts w:hint="eastAsia" w:ascii="仿宋" w:hAnsi="仿宋" w:eastAsia="仿宋" w:cs="仿宋"/>
          <w:b/>
          <w:bCs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六、定标方式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1、评标委员会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由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eastAsia="zh-CN"/>
        </w:rPr>
        <w:t>发包人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代表在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eastAsia="zh-CN"/>
        </w:rPr>
        <w:t>竞包人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中随机抽取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家作为预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eastAsia="zh-CN"/>
        </w:rPr>
        <w:t>中包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人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eastAsia="zh-CN"/>
        </w:rPr>
        <w:t>，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val="en-US" w:eastAsia="zh-CN"/>
        </w:rPr>
        <w:t>竞包资格、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eastAsia="zh-CN"/>
        </w:rPr>
        <w:t>竞包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文件审查通过的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val="en-US" w:eastAsia="zh-CN"/>
        </w:rPr>
        <w:t>为中包人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  <w:t>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2、（预）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人确定后，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人应当在诸暨市公共资源交易中心网站上予以公示，接受社会监督，公示期限为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不少于三日</w:t>
      </w:r>
      <w:r>
        <w:rPr>
          <w:rFonts w:hint="eastAsia" w:ascii="仿宋" w:hAnsi="仿宋" w:eastAsia="仿宋" w:cs="仿宋"/>
          <w:sz w:val="24"/>
          <w:highlight w:val="none"/>
        </w:rPr>
        <w:t>，公示期满后，无异议的准予核发《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通知书》。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4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3、（预）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人放弃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资格的，上报市公共资源交易监管办，市公共资源交易监管办将按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>《中华人民共和国</w:t>
      </w:r>
      <w:r>
        <w:rPr>
          <w:rFonts w:hint="eastAsia" w:ascii="仿宋_GB2312" w:hAnsi="宋体" w:eastAsia="仿宋_GB2312"/>
          <w:color w:val="auto"/>
          <w:sz w:val="24"/>
          <w:highlight w:val="none"/>
          <w:lang w:val="en-US" w:eastAsia="zh-CN"/>
        </w:rPr>
        <w:t>招投标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>法》和《诸暨市</w:t>
      </w:r>
      <w:r>
        <w:rPr>
          <w:rFonts w:hint="eastAsia" w:ascii="仿宋_GB2312" w:hAnsi="宋体" w:eastAsia="仿宋_GB2312"/>
          <w:color w:val="auto"/>
          <w:sz w:val="24"/>
          <w:highlight w:val="none"/>
          <w:lang w:eastAsia="zh-CN"/>
        </w:rPr>
        <w:t>项目交易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>市场不良行为记录暂行规定》</w:t>
      </w:r>
      <w:r>
        <w:rPr>
          <w:rFonts w:hint="eastAsia" w:ascii="仿宋" w:hAnsi="仿宋" w:eastAsia="仿宋" w:cs="仿宋"/>
          <w:sz w:val="24"/>
          <w:highlight w:val="none"/>
        </w:rPr>
        <w:t>等有关法律、法规、制度予以处理。</w:t>
      </w:r>
    </w:p>
    <w:p>
      <w:pPr>
        <w:spacing w:before="120" w:beforeLines="50" w:after="120" w:afterLines="50" w:line="420" w:lineRule="exact"/>
        <w:ind w:firstLine="284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32"/>
          <w:highlight w:val="none"/>
        </w:rPr>
        <w:t>七、授予合同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 xml:space="preserve">(—) </w:t>
      </w:r>
      <w:r>
        <w:rPr>
          <w:rFonts w:hint="eastAsia" w:ascii="仿宋" w:hAnsi="仿宋" w:eastAsia="仿宋" w:cs="仿宋"/>
          <w:b/>
          <w:bCs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通知书</w:t>
      </w:r>
    </w:p>
    <w:p>
      <w:pPr>
        <w:pStyle w:val="13"/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人根据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镇交易</w:t>
      </w:r>
      <w:r>
        <w:rPr>
          <w:rFonts w:hint="eastAsia" w:ascii="仿宋" w:hAnsi="仿宋" w:eastAsia="仿宋" w:cs="仿宋"/>
          <w:sz w:val="24"/>
          <w:highlight w:val="none"/>
        </w:rPr>
        <w:t>办核准的《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通知书》通知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人，《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通知书》将成为合同的主要附件。</w:t>
      </w:r>
    </w:p>
    <w:p>
      <w:pPr>
        <w:pStyle w:val="13"/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highlight w:val="none"/>
        </w:rPr>
        <w:t xml:space="preserve">(二) </w:t>
      </w:r>
      <w:r>
        <w:rPr>
          <w:rFonts w:hint="eastAsia" w:ascii="仿宋" w:hAnsi="仿宋" w:eastAsia="仿宋" w:cs="仿宋"/>
          <w:b/>
          <w:bCs/>
          <w:highlight w:val="none"/>
          <w:lang w:eastAsia="zh-CN"/>
        </w:rPr>
        <w:t>授包</w:t>
      </w:r>
      <w:r>
        <w:rPr>
          <w:rFonts w:hint="eastAsia" w:ascii="仿宋" w:hAnsi="仿宋" w:eastAsia="仿宋" w:cs="仿宋"/>
          <w:b/>
          <w:bCs/>
          <w:highlight w:val="none"/>
        </w:rPr>
        <w:t>及废除</w:t>
      </w:r>
      <w:r>
        <w:rPr>
          <w:rFonts w:hint="eastAsia" w:ascii="仿宋" w:hAnsi="仿宋" w:eastAsia="仿宋" w:cs="仿宋"/>
          <w:b/>
          <w:bCs/>
          <w:highlight w:val="none"/>
          <w:lang w:eastAsia="zh-CN"/>
        </w:rPr>
        <w:t>授包</w:t>
      </w:r>
    </w:p>
    <w:p>
      <w:pPr>
        <w:pStyle w:val="13"/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人应把合同授予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人。《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通知书》发出之后，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人若证实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人存在下列行为之一，仍然可以废除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授包</w:t>
      </w:r>
      <w:r>
        <w:rPr>
          <w:rFonts w:hint="eastAsia" w:ascii="仿宋" w:hAnsi="仿宋" w:eastAsia="仿宋" w:cs="仿宋"/>
          <w:sz w:val="24"/>
          <w:highlight w:val="none"/>
        </w:rPr>
        <w:t>：</w:t>
      </w:r>
    </w:p>
    <w:p>
      <w:pPr>
        <w:pStyle w:val="13"/>
        <w:numPr>
          <w:ilvl w:val="0"/>
          <w:numId w:val="2"/>
        </w:numPr>
        <w:tabs>
          <w:tab w:val="clear" w:pos="900"/>
          <w:tab w:val="clear" w:pos="1800"/>
        </w:tabs>
        <w:spacing w:line="42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弄虚作假或与其他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人串通骗取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的；</w:t>
      </w:r>
    </w:p>
    <w:p>
      <w:pPr>
        <w:pStyle w:val="13"/>
        <w:numPr>
          <w:ilvl w:val="0"/>
          <w:numId w:val="2"/>
        </w:numPr>
        <w:tabs>
          <w:tab w:val="clear" w:pos="900"/>
          <w:tab w:val="clear" w:pos="1800"/>
        </w:tabs>
        <w:spacing w:line="42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于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有效期终止之前撤回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文件的；</w:t>
      </w:r>
    </w:p>
    <w:p>
      <w:pPr>
        <w:pStyle w:val="13"/>
        <w:numPr>
          <w:ilvl w:val="0"/>
          <w:numId w:val="2"/>
        </w:numPr>
        <w:tabs>
          <w:tab w:val="clear" w:pos="900"/>
          <w:tab w:val="clear" w:pos="1800"/>
        </w:tabs>
        <w:spacing w:line="42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因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人过错而未能按照规定与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人签订合同的；</w:t>
      </w:r>
    </w:p>
    <w:p>
      <w:pPr>
        <w:pStyle w:val="13"/>
        <w:numPr>
          <w:ilvl w:val="0"/>
          <w:numId w:val="2"/>
        </w:numPr>
        <w:tabs>
          <w:tab w:val="clear" w:pos="900"/>
          <w:tab w:val="clear" w:pos="1800"/>
        </w:tabs>
        <w:spacing w:line="42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因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人过错而未能按照规定向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人提交履约保证金的；</w:t>
      </w:r>
    </w:p>
    <w:p>
      <w:pPr>
        <w:pStyle w:val="13"/>
        <w:numPr>
          <w:ilvl w:val="0"/>
          <w:numId w:val="2"/>
        </w:numPr>
        <w:tabs>
          <w:tab w:val="clear" w:pos="900"/>
          <w:tab w:val="clear" w:pos="1800"/>
        </w:tabs>
        <w:spacing w:line="42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存在法律、法规规定的其它损害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人利益和社会公共利益的情形的。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(三) 签订合同</w:t>
      </w: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人应当自收到《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通知书》之日起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5  </w:t>
      </w:r>
      <w:r>
        <w:rPr>
          <w:rFonts w:hint="eastAsia" w:ascii="仿宋" w:hAnsi="仿宋" w:eastAsia="仿宋" w:cs="仿宋"/>
          <w:sz w:val="24"/>
          <w:highlight w:val="none"/>
        </w:rPr>
        <w:t>日内和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人根据《中华人民共和国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民法典</w:t>
      </w:r>
      <w:r>
        <w:rPr>
          <w:rFonts w:hint="eastAsia" w:ascii="仿宋" w:hAnsi="仿宋" w:eastAsia="仿宋" w:cs="仿宋"/>
          <w:sz w:val="24"/>
          <w:highlight w:val="none"/>
        </w:rPr>
        <w:t>》等有关规定，依据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文件、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4"/>
          <w:highlight w:val="none"/>
        </w:rPr>
        <w:t>文件签订委托合同，同时将合同报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镇监管</w:t>
      </w:r>
      <w:r>
        <w:rPr>
          <w:rFonts w:hint="eastAsia" w:ascii="仿宋" w:hAnsi="仿宋" w:eastAsia="仿宋" w:cs="仿宋"/>
          <w:sz w:val="24"/>
          <w:highlight w:val="none"/>
        </w:rPr>
        <w:t>办备案。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人和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人不得再另外订立背离合同实质性内容的其它协议。</w:t>
      </w: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pStyle w:val="13"/>
        <w:numPr>
          <w:ilvl w:val="0"/>
          <w:numId w:val="0"/>
        </w:num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>
      <w:pPr>
        <w:snapToGrid w:val="0"/>
        <w:spacing w:after="120" w:afterLines="50"/>
        <w:jc w:val="center"/>
        <w:rPr>
          <w:rFonts w:hint="eastAsia" w:ascii="仿宋" w:hAnsi="仿宋" w:eastAsia="仿宋" w:cs="仿宋"/>
          <w:sz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highlight w:val="none"/>
          <w:lang w:val="en-US" w:eastAsia="zh-CN"/>
        </w:rPr>
        <w:t xml:space="preserve">第四章 </w:t>
      </w:r>
      <w:r>
        <w:rPr>
          <w:rFonts w:hint="eastAsia" w:ascii="仿宋" w:hAnsi="仿宋" w:eastAsia="仿宋" w:cs="仿宋"/>
          <w:sz w:val="4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44"/>
          <w:highlight w:val="none"/>
        </w:rPr>
        <w:t>函</w:t>
      </w:r>
      <w:r>
        <w:rPr>
          <w:rFonts w:hint="eastAsia" w:ascii="仿宋" w:hAnsi="仿宋" w:eastAsia="仿宋" w:cs="仿宋"/>
          <w:sz w:val="44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sz w:val="44"/>
          <w:highlight w:val="none"/>
        </w:rPr>
        <w:t>法定代表人授权书</w:t>
      </w:r>
    </w:p>
    <w:p>
      <w:pPr>
        <w:snapToGrid w:val="0"/>
        <w:spacing w:after="120" w:afterLines="50"/>
        <w:jc w:val="center"/>
        <w:rPr>
          <w:rFonts w:hint="eastAsia" w:ascii="仿宋" w:hAnsi="仿宋" w:eastAsia="仿宋" w:cs="仿宋"/>
          <w:sz w:val="44"/>
          <w:highlight w:val="none"/>
          <w:lang w:eastAsia="zh-CN"/>
        </w:rPr>
      </w:pPr>
      <w:r>
        <w:rPr>
          <w:rFonts w:hint="eastAsia" w:ascii="仿宋" w:hAnsi="仿宋" w:eastAsia="仿宋" w:cs="仿宋"/>
          <w:sz w:val="44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44"/>
          <w:highlight w:val="none"/>
        </w:rPr>
        <w:t>函</w:t>
      </w:r>
      <w:r>
        <w:rPr>
          <w:rFonts w:hint="eastAsia" w:ascii="仿宋" w:hAnsi="仿宋" w:eastAsia="仿宋" w:cs="仿宋"/>
          <w:sz w:val="4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44"/>
          <w:highlight w:val="none"/>
          <w:lang w:val="en-US" w:eastAsia="zh-CN"/>
        </w:rPr>
        <w:t>格式</w:t>
      </w:r>
      <w:r>
        <w:rPr>
          <w:rFonts w:hint="eastAsia" w:ascii="仿宋" w:hAnsi="仿宋" w:eastAsia="仿宋" w:cs="仿宋"/>
          <w:sz w:val="44"/>
          <w:highlight w:val="none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人名称）: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我方已全面阅读和研究了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工程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标底审计机构发包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补充文件，已充分理解并掌握了本工程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审计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机构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的全部有关情况。同意接受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文件的全部内容和条件，并按此确定本工程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审计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机构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的要约内容，以本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函进行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2、我方承诺在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有效期内不修改、撤销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函。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3、一旦我方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，我方保证在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文件规定的时间内与你方签订合同，并按期完成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文件中规定的所有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审计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内容。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4、我公司如违反上述条款，愿无条件接受你方解除合同的处理，并赔偿由此造成的一切损失，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同时接受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项目交易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市场监管部门的处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人（全称）：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　           　（盖章）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竞包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人地址：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　　　　　            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法定代表人或委托代理人：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（签字）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法定代表人或委托代理人联系电话：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　　　　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邮政编码：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电    话：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传    真：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</w:t>
      </w:r>
    </w:p>
    <w:p>
      <w:pPr>
        <w:adjustRightInd w:val="0"/>
        <w:snapToGrid w:val="0"/>
        <w:spacing w:line="360" w:lineRule="auto"/>
        <w:ind w:left="718" w:leftChars="342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    期：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p>
      <w:pPr>
        <w:spacing w:line="500" w:lineRule="exact"/>
        <w:jc w:val="center"/>
        <w:rPr>
          <w:rFonts w:hint="eastAsia" w:ascii="仿宋" w:hAnsi="仿宋" w:eastAsia="仿宋" w:cs="仿宋"/>
          <w:sz w:val="32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</w:rPr>
        <w:br w:type="page"/>
      </w:r>
      <w:r>
        <w:rPr>
          <w:rFonts w:hint="eastAsia" w:ascii="仿宋" w:hAnsi="仿宋" w:eastAsia="仿宋" w:cs="仿宋"/>
          <w:sz w:val="44"/>
          <w:highlight w:val="none"/>
        </w:rPr>
        <w:t>法定代表人授权书（格式）</w:t>
      </w:r>
    </w:p>
    <w:p>
      <w:pPr>
        <w:spacing w:line="500" w:lineRule="exact"/>
        <w:ind w:firstLine="566" w:firstLineChars="235"/>
        <w:jc w:val="center"/>
        <w:rPr>
          <w:rFonts w:hint="eastAsia" w:ascii="仿宋" w:hAnsi="仿宋" w:eastAsia="仿宋" w:cs="仿宋"/>
          <w:b/>
          <w:bCs/>
          <w:sz w:val="24"/>
          <w:highlight w:val="none"/>
        </w:rPr>
      </w:pPr>
    </w:p>
    <w:p>
      <w:pPr>
        <w:spacing w:line="500" w:lineRule="exact"/>
        <w:ind w:firstLine="566" w:firstLineChars="235"/>
        <w:jc w:val="center"/>
        <w:rPr>
          <w:rFonts w:hint="eastAsia" w:ascii="仿宋" w:hAnsi="仿宋" w:eastAsia="仿宋" w:cs="仿宋"/>
          <w:b/>
          <w:bCs/>
          <w:sz w:val="24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>本授权委托书声明：我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highlight w:val="none"/>
        </w:rPr>
        <w:t>（姓名）系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highlight w:val="none"/>
        </w:rPr>
        <w:t>（</w:t>
      </w:r>
      <w:r>
        <w:rPr>
          <w:rFonts w:hint="eastAsia" w:ascii="仿宋" w:hAnsi="仿宋" w:eastAsia="仿宋" w:cs="仿宋"/>
          <w:sz w:val="30"/>
          <w:highlight w:val="none"/>
          <w:lang w:eastAsia="zh-CN"/>
        </w:rPr>
        <w:t>标底审计机构</w:t>
      </w:r>
      <w:r>
        <w:rPr>
          <w:rFonts w:hint="eastAsia" w:ascii="仿宋" w:hAnsi="仿宋" w:eastAsia="仿宋" w:cs="仿宋"/>
          <w:sz w:val="30"/>
          <w:highlight w:val="none"/>
        </w:rPr>
        <w:t>）的法定代表人，现授权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highlight w:val="none"/>
        </w:rPr>
        <w:t>（姓名）为我公司委托代理人，以本公司的名义参加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highlight w:val="none"/>
        </w:rPr>
        <w:t>（</w:t>
      </w:r>
      <w:r>
        <w:rPr>
          <w:rFonts w:hint="eastAsia" w:ascii="仿宋" w:hAnsi="仿宋" w:eastAsia="仿宋" w:cs="仿宋"/>
          <w:sz w:val="30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30"/>
          <w:highlight w:val="none"/>
        </w:rPr>
        <w:t>人）的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0"/>
          <w:highlight w:val="none"/>
        </w:rPr>
        <w:t>（项目名称）的</w:t>
      </w:r>
      <w:r>
        <w:rPr>
          <w:rFonts w:hint="eastAsia" w:ascii="仿宋" w:hAnsi="仿宋" w:eastAsia="仿宋" w:cs="仿宋"/>
          <w:sz w:val="30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30"/>
          <w:highlight w:val="none"/>
        </w:rPr>
        <w:t>活动。委托代理人在</w:t>
      </w:r>
      <w:r>
        <w:rPr>
          <w:rFonts w:hint="eastAsia" w:ascii="仿宋" w:hAnsi="仿宋" w:eastAsia="仿宋" w:cs="仿宋"/>
          <w:sz w:val="30"/>
          <w:highlight w:val="none"/>
          <w:lang w:eastAsia="zh-CN"/>
        </w:rPr>
        <w:t>标底审计机构发包</w:t>
      </w:r>
      <w:r>
        <w:rPr>
          <w:rFonts w:hint="eastAsia" w:ascii="仿宋" w:hAnsi="仿宋" w:eastAsia="仿宋" w:cs="仿宋"/>
          <w:sz w:val="30"/>
          <w:highlight w:val="none"/>
        </w:rPr>
        <w:t>活动和委托</w:t>
      </w:r>
      <w:r>
        <w:rPr>
          <w:rFonts w:hint="eastAsia" w:ascii="仿宋" w:hAnsi="仿宋" w:eastAsia="仿宋" w:cs="仿宋"/>
          <w:sz w:val="30"/>
          <w:highlight w:val="none"/>
          <w:lang w:val="en-US" w:eastAsia="zh-CN"/>
        </w:rPr>
        <w:t>审计</w:t>
      </w:r>
      <w:r>
        <w:rPr>
          <w:rFonts w:hint="eastAsia" w:ascii="仿宋" w:hAnsi="仿宋" w:eastAsia="仿宋" w:cs="仿宋"/>
          <w:sz w:val="30"/>
          <w:highlight w:val="none"/>
        </w:rPr>
        <w:t>合同谈判过程中所签署的一切文件和处理与之有关的一切事务，我及我公司均予以承认并全部承担其产生的所有权利和义务。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>委托代理人无转委权。特此委托。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  <w:u w:val="single"/>
        </w:rPr>
      </w:pPr>
      <w:r>
        <w:rPr>
          <w:rFonts w:hint="eastAsia" w:ascii="仿宋" w:hAnsi="仿宋" w:eastAsia="仿宋" w:cs="仿宋"/>
          <w:sz w:val="30"/>
          <w:highlight w:val="none"/>
        </w:rPr>
        <w:t>委托代理人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highlight w:val="none"/>
        </w:rPr>
        <w:t>（签字）性别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highlight w:val="none"/>
        </w:rPr>
        <w:t>年龄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>委托代理人部门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0"/>
          <w:highlight w:val="none"/>
        </w:rPr>
        <w:t>职务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  <w:u w:val="single"/>
        </w:rPr>
      </w:pPr>
      <w:r>
        <w:rPr>
          <w:rFonts w:hint="eastAsia" w:ascii="仿宋" w:hAnsi="仿宋" w:eastAsia="仿宋" w:cs="仿宋"/>
          <w:sz w:val="30"/>
          <w:highlight w:val="none"/>
        </w:rPr>
        <w:t>委托代理人(电话)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highlight w:val="none"/>
        </w:rPr>
        <w:t>（手机）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3000" w:firstLineChars="1000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>授权人(法定代表人)</w:t>
      </w:r>
      <w:r>
        <w:rPr>
          <w:rFonts w:hint="eastAsia" w:ascii="仿宋" w:hAnsi="仿宋" w:eastAsia="仿宋" w:cs="仿宋"/>
          <w:sz w:val="30"/>
          <w:highlight w:val="none"/>
          <w:u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     </w:t>
      </w:r>
    </w:p>
    <w:p>
      <w:pPr>
        <w:spacing w:line="500" w:lineRule="exact"/>
        <w:ind w:firstLine="705" w:firstLineChars="235"/>
        <w:rPr>
          <w:rFonts w:hint="eastAsia" w:ascii="仿宋" w:hAnsi="仿宋" w:eastAsia="仿宋" w:cs="仿宋"/>
          <w:sz w:val="30"/>
          <w:highlight w:val="none"/>
          <w:u w:val="single"/>
        </w:rPr>
      </w:pPr>
      <w:r>
        <w:rPr>
          <w:rFonts w:hint="eastAsia" w:ascii="仿宋" w:hAnsi="仿宋" w:eastAsia="仿宋" w:cs="仿宋"/>
          <w:sz w:val="30"/>
          <w:highlight w:val="none"/>
        </w:rPr>
        <w:t xml:space="preserve">     　　　</w:t>
      </w:r>
      <w:r>
        <w:rPr>
          <w:rFonts w:hint="eastAsia" w:ascii="仿宋" w:hAnsi="仿宋" w:eastAsia="仿宋" w:cs="仿宋"/>
          <w:sz w:val="30"/>
          <w:highlight w:val="none"/>
          <w:lang w:eastAsia="zh-CN"/>
        </w:rPr>
        <w:t>标底审计机构</w:t>
      </w:r>
      <w:r>
        <w:rPr>
          <w:rFonts w:hint="eastAsia" w:ascii="仿宋" w:hAnsi="仿宋" w:eastAsia="仿宋" w:cs="仿宋"/>
          <w:sz w:val="30"/>
          <w:highlight w:val="none"/>
        </w:rPr>
        <w:t>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highlight w:val="none"/>
        </w:rPr>
        <w:t>（全称并加盖公章）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0"/>
          <w:highlight w:val="none"/>
        </w:rPr>
      </w:pPr>
      <w:r>
        <w:rPr>
          <w:rFonts w:hint="eastAsia" w:ascii="仿宋" w:hAnsi="仿宋" w:eastAsia="仿宋" w:cs="仿宋"/>
          <w:sz w:val="30"/>
          <w:highlight w:val="none"/>
        </w:rPr>
        <w:t xml:space="preserve">                        日 期：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highlight w:val="none"/>
        </w:rPr>
        <w:t>日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highlight w:val="none"/>
        </w:rPr>
      </w:pPr>
    </w:p>
    <w:p>
      <w:pPr>
        <w:snapToGrid w:val="0"/>
        <w:spacing w:after="120" w:afterLines="50"/>
        <w:jc w:val="center"/>
        <w:rPr>
          <w:rFonts w:hint="eastAsia" w:ascii="仿宋" w:hAnsi="仿宋" w:eastAsia="仿宋" w:cs="仿宋"/>
          <w:sz w:val="44"/>
          <w:highlight w:val="none"/>
        </w:rPr>
      </w:pPr>
      <w:r>
        <w:rPr>
          <w:rFonts w:hint="eastAsia" w:ascii="仿宋" w:hAnsi="仿宋" w:eastAsia="仿宋" w:cs="仿宋"/>
          <w:sz w:val="44"/>
          <w:highlight w:val="none"/>
          <w:lang w:val="en-US" w:eastAsia="zh-CN"/>
        </w:rPr>
        <w:t>第五章 委托审计协议(格式)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before="100" w:beforeAutospacing="1" w:after="100" w:afterAutospacing="1" w:line="440" w:lineRule="exact"/>
        <w:ind w:firstLine="456"/>
        <w:jc w:val="left"/>
        <w:textAlignment w:val="auto"/>
        <w:rPr>
          <w:rFonts w:hint="eastAsia" w:ascii="仿宋" w:hAnsi="仿宋" w:eastAsia="仿宋" w:cs="宋体"/>
          <w:kern w:val="0"/>
          <w:sz w:val="24"/>
          <w:highlight w:val="none"/>
        </w:rPr>
      </w:pPr>
      <w:r>
        <w:rPr>
          <w:rFonts w:hint="eastAsia" w:ascii="仿宋" w:hAnsi="仿宋" w:eastAsia="仿宋" w:cs="宋体"/>
          <w:kern w:val="0"/>
          <w:sz w:val="24"/>
          <w:highlight w:val="none"/>
        </w:rPr>
        <w:t>甲方：</w:t>
      </w:r>
      <w:r>
        <w:rPr>
          <w:rFonts w:hint="eastAsia" w:ascii="仿宋" w:hAnsi="仿宋" w:eastAsia="仿宋" w:cs="宋体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宋体"/>
          <w:kern w:val="0"/>
          <w:sz w:val="24"/>
          <w:highlight w:val="none"/>
        </w:rPr>
        <w:t>（以下简称甲方）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before="100" w:beforeAutospacing="1" w:after="100" w:afterAutospacing="1" w:line="440" w:lineRule="exact"/>
        <w:ind w:firstLine="456"/>
        <w:jc w:val="left"/>
        <w:textAlignment w:val="auto"/>
        <w:rPr>
          <w:rFonts w:hint="eastAsia" w:ascii="仿宋" w:hAnsi="仿宋" w:eastAsia="仿宋" w:cs="宋体"/>
          <w:kern w:val="0"/>
          <w:sz w:val="24"/>
          <w:highlight w:val="none"/>
        </w:rPr>
      </w:pPr>
      <w:r>
        <w:rPr>
          <w:rFonts w:hint="eastAsia" w:ascii="仿宋" w:hAnsi="仿宋" w:eastAsia="仿宋" w:cs="宋体"/>
          <w:kern w:val="0"/>
          <w:sz w:val="24"/>
          <w:highlight w:val="none"/>
        </w:rPr>
        <w:t>乙方：</w:t>
      </w:r>
      <w:r>
        <w:rPr>
          <w:rFonts w:hint="eastAsia" w:ascii="仿宋" w:hAnsi="仿宋" w:eastAsia="仿宋" w:cs="宋体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宋体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宋体"/>
          <w:kern w:val="0"/>
          <w:sz w:val="24"/>
          <w:highlight w:val="none"/>
        </w:rPr>
        <w:t>（以下简称乙方）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宋体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kern w:val="0"/>
          <w:sz w:val="24"/>
          <w:highlight w:val="none"/>
        </w:rPr>
        <w:t>经甲乙双方经协商，就</w:t>
      </w:r>
      <w:r>
        <w:rPr>
          <w:rFonts w:hint="eastAsia" w:ascii="仿宋" w:hAnsi="仿宋" w:eastAsia="仿宋" w:cs="宋体"/>
          <w:kern w:val="0"/>
          <w:sz w:val="24"/>
          <w:highlight w:val="none"/>
          <w:u w:val="single"/>
          <w:lang w:eastAsia="zh-CN"/>
        </w:rPr>
        <w:t>璜山镇2025-2026年度400万以下镇(村)级工程</w:t>
      </w:r>
      <w:r>
        <w:rPr>
          <w:rFonts w:hint="eastAsia" w:ascii="仿宋" w:hAnsi="仿宋" w:eastAsia="仿宋" w:cs="宋体"/>
          <w:kern w:val="0"/>
          <w:sz w:val="24"/>
          <w:highlight w:val="none"/>
          <w:u w:val="single"/>
        </w:rPr>
        <w:t>标底审计机构</w:t>
      </w:r>
      <w:r>
        <w:rPr>
          <w:rFonts w:hint="eastAsia" w:ascii="仿宋" w:hAnsi="仿宋" w:eastAsia="仿宋" w:cs="宋体"/>
          <w:kern w:val="0"/>
          <w:sz w:val="24"/>
          <w:highlight w:val="none"/>
        </w:rPr>
        <w:t>项目标底审计服务事宜达成以下条款：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454" w:leftChars="216"/>
        <w:jc w:val="left"/>
        <w:textAlignment w:val="auto"/>
        <w:rPr>
          <w:rFonts w:hint="eastAsia" w:ascii="仿宋" w:hAnsi="仿宋" w:eastAsia="仿宋" w:cs="仿宋_GB2312"/>
          <w:b/>
          <w:bCs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服务范围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为璜山镇提供合同期内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-202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val="en-US" w:eastAsia="zh-CN"/>
        </w:rPr>
        <w:t>度璜山镇、村工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程预算造价400万元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val="en-US" w:eastAsia="zh-CN"/>
        </w:rPr>
        <w:t>不含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以内建设工程标底审计服务</w:t>
      </w:r>
      <w:r>
        <w:rPr>
          <w:rFonts w:hint="eastAsia" w:ascii="仿宋" w:hAnsi="仿宋" w:eastAsia="仿宋" w:cs="仿宋_GB2312"/>
          <w:sz w:val="24"/>
          <w:highlight w:val="none"/>
        </w:rPr>
        <w:t>。如工程额度、审计额度</w:t>
      </w: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等</w:t>
      </w:r>
      <w:r>
        <w:rPr>
          <w:rFonts w:hint="eastAsia" w:ascii="仿宋" w:hAnsi="仿宋" w:eastAsia="仿宋" w:cs="仿宋_GB2312"/>
          <w:sz w:val="24"/>
          <w:highlight w:val="none"/>
        </w:rPr>
        <w:t>与后续新政策不一致，按相关最新政策文件执行。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454" w:leftChars="216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服务期限及质量要求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服务期限：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合同签订之日起满一年</w:t>
      </w:r>
      <w:r>
        <w:rPr>
          <w:rFonts w:hint="eastAsia" w:ascii="仿宋" w:hAnsi="仿宋" w:eastAsia="仿宋" w:cs="仿宋_GB2312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2、服务质量：乙方应依据认真履行好职责，向甲方提供高质量高效率的服务，服务内容及程序符合国家质量标准市审计局等相关规定，包括但不限于以下内容：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（1）对送审标底的资料是否齐全；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（2）对工程类别、定额套用、工程量计算、信息价套用是否有误，材料及综合暂定价取定价是否合理；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kern w:val="0"/>
          <w:sz w:val="24"/>
          <w:highlight w:val="none"/>
          <w:lang w:bidi="ar"/>
        </w:rPr>
        <w:t>（3）</w:t>
      </w:r>
      <w:r>
        <w:rPr>
          <w:rFonts w:hint="eastAsia" w:ascii="仿宋" w:hAnsi="仿宋" w:eastAsia="仿宋" w:cs="仿宋_GB2312"/>
          <w:sz w:val="24"/>
          <w:highlight w:val="none"/>
        </w:rPr>
        <w:t>收到甲方提供的完整资料后3-5个工作内出审计函，</w:t>
      </w:r>
      <w:r>
        <w:rPr>
          <w:rFonts w:hint="eastAsia" w:ascii="仿宋" w:hAnsi="仿宋" w:eastAsia="仿宋" w:cs="仿宋_GB2312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_GB2312"/>
          <w:sz w:val="24"/>
          <w:highlight w:val="none"/>
        </w:rPr>
        <w:t>答疑后1个工作日内出意见建议书。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ind w:firstLine="480" w:firstLineChars="200"/>
        <w:textAlignment w:val="auto"/>
        <w:rPr>
          <w:rFonts w:hint="eastAsia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（4）</w:t>
      </w:r>
      <w:r>
        <w:rPr>
          <w:rFonts w:hint="eastAsia" w:ascii="仿宋" w:hAnsi="仿宋" w:eastAsia="仿宋" w:cs="仿宋"/>
          <w:sz w:val="24"/>
          <w:highlight w:val="none"/>
        </w:rPr>
        <w:t>时间要求：要求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中包</w:t>
      </w:r>
      <w:r>
        <w:rPr>
          <w:rFonts w:hint="eastAsia" w:ascii="仿宋" w:hAnsi="仿宋" w:eastAsia="仿宋" w:cs="仿宋"/>
          <w:sz w:val="24"/>
          <w:highlight w:val="none"/>
        </w:rPr>
        <w:t>单位在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"/>
          <w:sz w:val="24"/>
          <w:highlight w:val="none"/>
        </w:rPr>
        <w:t>人提供完整的资料后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highlight w:val="none"/>
        </w:rPr>
        <w:t>天内完成单只项目的标底审计工作。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如发现乙方服务质量不符合国家标准或相关规定及甲方的合理要求，甲方有权更换审计单位并拒绝支付审计费，由此产生的一切经济损失和责任全部由乙方负责。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22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第三条  服务费用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2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  <w:u w:val="single"/>
        </w:rPr>
      </w:pPr>
      <w:r>
        <w:rPr>
          <w:rFonts w:hint="eastAsia" w:ascii="仿宋" w:hAnsi="仿宋" w:eastAsia="仿宋" w:cs="仿宋_GB2312"/>
          <w:sz w:val="24"/>
          <w:highlight w:val="none"/>
        </w:rPr>
        <w:t>审计服务费：</w:t>
      </w:r>
      <w:r>
        <w:rPr>
          <w:rFonts w:hint="eastAsia" w:ascii="仿宋" w:hAnsi="仿宋" w:eastAsia="仿宋" w:cs="仿宋_GB2312"/>
          <w:color w:val="FF0000"/>
          <w:sz w:val="24"/>
          <w:highlight w:val="none"/>
          <w:lang w:val="en-US" w:eastAsia="zh-CN"/>
        </w:rPr>
        <w:t>参照《浙江省建设工程造价咨询服务基准收费标准》（浙价服〔2009〕84号）下浮计算审计费【如与后续收费标准的新政策不一致，按相关最新政策文件执行】</w:t>
      </w:r>
      <w:r>
        <w:rPr>
          <w:rFonts w:hint="eastAsia" w:ascii="仿宋" w:hAnsi="仿宋" w:eastAsia="仿宋" w:cs="仿宋_GB2312"/>
          <w:sz w:val="24"/>
          <w:highlight w:val="none"/>
        </w:rPr>
        <w:t>，每件咨询服务不足2000元的，按照2000元的标准再下浮计算</w:t>
      </w:r>
      <w:r>
        <w:rPr>
          <w:rFonts w:hint="eastAsia" w:ascii="仿宋" w:hAnsi="仿宋" w:eastAsia="仿宋" w:cs="仿宋_GB2312"/>
          <w:sz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预算10万元以下工程的每件咨询费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300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元（不下浮）。</w:t>
      </w:r>
      <w:r>
        <w:rPr>
          <w:rFonts w:hint="eastAsia" w:ascii="仿宋" w:hAnsi="仿宋" w:eastAsia="仿宋" w:cs="仿宋_GB2312"/>
          <w:sz w:val="24"/>
          <w:highlight w:val="none"/>
        </w:rPr>
        <w:t>政府性投资项目年度服务费不超过</w:t>
      </w: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_GB2312"/>
          <w:sz w:val="24"/>
          <w:highlight w:val="none"/>
        </w:rPr>
        <w:t>万元。</w:t>
      </w: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中包</w:t>
      </w:r>
      <w:r>
        <w:rPr>
          <w:rFonts w:hint="eastAsia" w:ascii="仿宋" w:hAnsi="仿宋" w:eastAsia="仿宋" w:cs="仿宋_GB2312"/>
          <w:sz w:val="24"/>
          <w:highlight w:val="none"/>
        </w:rPr>
        <w:t>下浮率为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 xml:space="preserve">% </w:t>
      </w:r>
      <w:r>
        <w:rPr>
          <w:rFonts w:hint="eastAsia" w:ascii="仿宋" w:hAnsi="仿宋" w:eastAsia="仿宋" w:cs="仿宋_GB2312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20"/>
        <w:jc w:val="left"/>
        <w:textAlignment w:val="auto"/>
        <w:rPr>
          <w:rFonts w:hint="eastAsia" w:ascii="仿宋" w:hAnsi="仿宋" w:eastAsia="仿宋" w:cs="仿宋_GB2312"/>
          <w:b/>
          <w:bCs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第四条  结算方式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1、年度审计业务完成后，由乙方出具费用结算清单，甲方审核无异议后，</w:t>
      </w:r>
      <w:r>
        <w:rPr>
          <w:rFonts w:hint="eastAsia" w:ascii="仿宋" w:hAnsi="仿宋" w:eastAsia="仿宋" w:cs="仿宋_GB2312"/>
          <w:sz w:val="24"/>
          <w:highlight w:val="none"/>
          <w:lang w:eastAsia="zh-CN"/>
        </w:rPr>
        <w:t>由镇政府</w:t>
      </w:r>
      <w:r>
        <w:rPr>
          <w:rFonts w:hint="eastAsia" w:ascii="仿宋" w:hAnsi="仿宋" w:eastAsia="仿宋" w:cs="仿宋_GB2312"/>
          <w:sz w:val="24"/>
          <w:highlight w:val="none"/>
        </w:rPr>
        <w:t>一次性支付。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2、履约保证金：壹万元，合同履约保证金在合同履行结束后7日内退还给乙方（无息）。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第五条</w:t>
      </w:r>
      <w:r>
        <w:rPr>
          <w:rFonts w:hint="eastAsia" w:ascii="宋体" w:hAnsi="宋体" w:cs="宋体"/>
          <w:b/>
          <w:bCs/>
          <w:sz w:val="24"/>
          <w:highlight w:val="none"/>
        </w:rPr>
        <w:t> </w:t>
      </w: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甲方的权利和义务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1、甲方有权获得优先服务；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2、甲方有权监督乙方承诺服务方面的承诺实施情况并有权提出整改。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3、甲方将不定期地对定点服务情况进行检查。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第六条</w:t>
      </w:r>
      <w:r>
        <w:rPr>
          <w:rFonts w:hint="eastAsia" w:ascii="宋体" w:hAnsi="宋体" w:cs="宋体"/>
          <w:b/>
          <w:bCs/>
          <w:sz w:val="24"/>
          <w:highlight w:val="none"/>
        </w:rPr>
        <w:t> </w:t>
      </w:r>
      <w:r>
        <w:rPr>
          <w:rFonts w:hint="eastAsia" w:ascii="仿宋" w:hAnsi="仿宋" w:eastAsia="仿宋" w:cs="仿宋_GB2312"/>
          <w:b/>
          <w:bCs/>
          <w:sz w:val="24"/>
          <w:highlight w:val="none"/>
        </w:rPr>
        <w:t>乙方的权利和义务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1、乙方应在委托服务的范围内按规定处理一切事务，对甲方提出的服务标准等有依法审查和纠正的权利，并对服务事项的合法性负责；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2、有权拒绝甲方提出除合同规定服务以外的要求；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3、有权向诸暨市公共资源交易管理部门投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诉甲方的违约行为。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4. 审计单位需在每只工程审计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完成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后将施工图电子版、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发包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控制价审定版以及审计人员相关信息提供至镇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val="en-US" w:eastAsia="zh-CN"/>
        </w:rPr>
        <w:t>交易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 xml:space="preserve">办。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color w:val="auto"/>
          <w:sz w:val="24"/>
          <w:highlight w:val="none"/>
        </w:rPr>
        <w:t>第七条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  </w:t>
      </w:r>
      <w:r>
        <w:rPr>
          <w:rFonts w:hint="eastAsia" w:ascii="仿宋" w:hAnsi="仿宋" w:eastAsia="仿宋" w:cs="仿宋_GB2312"/>
          <w:b/>
          <w:bCs/>
          <w:color w:val="auto"/>
          <w:sz w:val="24"/>
          <w:highlight w:val="none"/>
        </w:rPr>
        <w:t>监管处罚制度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如发现乙方出现下列情形之一的，甲方将根据合同或协议书的要求，对乙方违法违规行为予以通报批评；情节严重的，解除合同，且不再支付未结算的审计费，在网上公开曝光，二年内禁止在本单位内参与任何代理及审计等相关业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1、提供的服务不符合国家有关规定和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文件承诺的标准的；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2、无正当理由拒绝按照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竞包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承诺提供服务的；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3、被投诉质疑，经证实情况严重的；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4、乙方擅自将业务转包给其他供应商的；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5、违反法律法规和合同约定的其他情形的。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highlight w:val="none"/>
        </w:rPr>
        <w:t>6.因标底审计不到位导致工程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在竞包后发生工程量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变更的，按单次变更工程量金额的10%扣除审计费（如工程变更10000元，则扣除审计费1000元）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；若导致工程量变更较大，除按照上述要求扣除审计费外，建设单位有权解除合同并没收履约保证金，并将处罚通报抄送至主管行业部门和市公管办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。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（该条款有效期限至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val="en-US" w:eastAsia="zh-CN"/>
        </w:rPr>
        <w:t>对应项目</w:t>
      </w:r>
      <w:r>
        <w:rPr>
          <w:rFonts w:hint="eastAsia" w:ascii="仿宋" w:hAnsi="仿宋" w:eastAsia="仿宋" w:cs="仿宋_GB2312"/>
          <w:color w:val="auto"/>
          <w:sz w:val="24"/>
          <w:highlight w:val="none"/>
          <w:lang w:eastAsia="zh-CN"/>
        </w:rPr>
        <w:t>标底审计的工程结算审计完成）。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22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第八条</w:t>
      </w:r>
      <w:r>
        <w:rPr>
          <w:rFonts w:hint="eastAsia" w:ascii="宋体" w:hAnsi="宋体" w:cs="宋体"/>
          <w:b/>
          <w:bCs/>
          <w:sz w:val="24"/>
          <w:highlight w:val="none"/>
        </w:rPr>
        <w:t> </w:t>
      </w:r>
      <w:r>
        <w:rPr>
          <w:rFonts w:hint="eastAsia" w:ascii="仿宋" w:hAnsi="仿宋" w:eastAsia="仿宋" w:cs="仿宋_GB2312"/>
          <w:b/>
          <w:bCs/>
          <w:sz w:val="24"/>
          <w:highlight w:val="none"/>
        </w:rPr>
        <w:t>履约延误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1、在履行“合同”过程中，如果乙方可能遇到妨碍按时提供服务的情况时，应及时将拖延的事实、可能拖延的期限和理由通知甲方。甲方在收到乙方通知后，应尽快对情况进行评价，并确定是否同意延期提供服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2、如乙方无正当理由而拖延服务，经协商无效,甲方有权追究乙方的违约责任。乙方应向甲方支付误期赔偿费，赔偿费按实际造成的损失计算。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_GB2312"/>
          <w:b/>
          <w:bCs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第九条 争议的解决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本协议如发生纠纷，甲、乙</w:t>
      </w: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双方</w:t>
      </w:r>
      <w:r>
        <w:rPr>
          <w:rFonts w:hint="eastAsia" w:ascii="仿宋" w:hAnsi="仿宋" w:eastAsia="仿宋" w:cs="仿宋_GB2312"/>
          <w:sz w:val="24"/>
          <w:highlight w:val="none"/>
        </w:rPr>
        <w:t>应当及时协商解决，如协商不成，</w:t>
      </w: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可向诸暨市人民法院提起诉讼</w:t>
      </w:r>
      <w:r>
        <w:rPr>
          <w:rFonts w:hint="eastAsia" w:ascii="仿宋" w:hAnsi="仿宋" w:eastAsia="仿宋" w:cs="仿宋_GB2312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b/>
          <w:bCs/>
          <w:sz w:val="24"/>
          <w:highlight w:val="none"/>
        </w:rPr>
        <w:t>第十条  其他约定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1、认真遵守职业道德和行业规范，严格执行财经纪律，坚决杜绝送礼品、给回扣、报销费用等一切不正当竞争行为。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</w:rPr>
        <w:t>2、如果乙方在履行协议过程中有不正当竞争行为，甲方有权解除协议，并按《中华人民共和国反不正当竞争法》之规定由有关部门追究其法律责任。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24"/>
          <w:highlight w:val="none"/>
        </w:rPr>
        <w:t>、协议履行期内甲乙双方均不得随意变更或解除协议。未尽事宜，需经双方共同协商，作出补充条款，补充条款与本协议书有同等法律效力。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highlight w:val="none"/>
        </w:rPr>
        <w:t>、审计单位应保质按时完成审计工作，否则解除合同并没收履约保证金，并在一年内不得在本单位进行任何代理及审计业务。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highlight w:val="none"/>
        </w:rPr>
      </w:pPr>
      <w:r>
        <w:rPr>
          <w:rFonts w:hint="eastAsia" w:ascii="仿宋" w:hAnsi="仿宋" w:eastAsia="仿宋" w:cs="仿宋_GB2312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highlight w:val="none"/>
        </w:rPr>
        <w:t>、本合同一式陆份，具有同等法律效力，双方各执叁份。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40" w:lineRule="exact"/>
        <w:textAlignment w:val="auto"/>
        <w:rPr>
          <w:rFonts w:hint="eastAsia" w:ascii="仿宋" w:hAnsi="仿宋" w:eastAsia="仿宋"/>
          <w:sz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>委  托  人：（盖章）                     咨  询  人：（盖章）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 xml:space="preserve">法定代表人或委托代理人：（签字）         法定代表人或委托代理人：（签字）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ind w:left="6480" w:hanging="6480" w:hangingChars="2700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 xml:space="preserve">住    所：                 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 xml:space="preserve">              </w:t>
      </w:r>
      <w:r>
        <w:rPr>
          <w:rFonts w:hint="eastAsia" w:ascii="仿宋" w:hAnsi="仿宋" w:eastAsia="仿宋" w:cs="宋体"/>
          <w:sz w:val="24"/>
          <w:highlight w:val="none"/>
        </w:rPr>
        <w:t xml:space="preserve">住    所：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 xml:space="preserve">开户银行：              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 xml:space="preserve">                 </w:t>
      </w:r>
      <w:r>
        <w:rPr>
          <w:rFonts w:hint="eastAsia" w:ascii="仿宋" w:hAnsi="仿宋" w:eastAsia="仿宋" w:cs="宋体"/>
          <w:sz w:val="24"/>
          <w:highlight w:val="none"/>
        </w:rPr>
        <w:t xml:space="preserve">开户银行：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 xml:space="preserve">银行帐号：                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 xml:space="preserve">               </w:t>
      </w:r>
      <w:r>
        <w:rPr>
          <w:rFonts w:hint="eastAsia" w:ascii="仿宋" w:hAnsi="仿宋" w:eastAsia="仿宋" w:cs="宋体"/>
          <w:sz w:val="24"/>
          <w:highlight w:val="none"/>
        </w:rPr>
        <w:t xml:space="preserve">银行账号：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ind w:left="6480" w:hanging="6480" w:hangingChars="2700"/>
        <w:textAlignment w:val="auto"/>
        <w:rPr>
          <w:rFonts w:hint="eastAsia" w:ascii="仿宋" w:hAnsi="仿宋" w:eastAsia="仿宋" w:cs="宋体"/>
          <w:sz w:val="24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 xml:space="preserve">电    话：                               电    话：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440" w:lineRule="exact"/>
        <w:textAlignment w:val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宋体"/>
          <w:sz w:val="24"/>
          <w:highlight w:val="none"/>
        </w:rPr>
        <w:t>202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宋体"/>
          <w:sz w:val="24"/>
          <w:highlight w:val="none"/>
        </w:rPr>
        <w:t xml:space="preserve">年   月   日                        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24"/>
          <w:highlight w:val="none"/>
        </w:rPr>
        <w:t>202</w:t>
      </w:r>
      <w:r>
        <w:rPr>
          <w:rFonts w:hint="eastAsia" w:ascii="仿宋" w:hAnsi="仿宋" w:eastAsia="仿宋" w:cs="宋体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宋体"/>
          <w:sz w:val="24"/>
          <w:highlight w:val="none"/>
        </w:rPr>
        <w:t>年   月   日</w:t>
      </w:r>
    </w:p>
    <w:sectPr>
      <w:footerReference r:id="rId6" w:type="default"/>
      <w:pgSz w:w="11906" w:h="16838"/>
      <w:pgMar w:top="1157" w:right="1080" w:bottom="1157" w:left="108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wOFPHUAAAAAgEAAA8AAAAAAAAAAQAgAAAA&#10;IgAAAGRycy9kb3ducmV2LnhtbFBLAQIUABQAAAAIAIdO4kBTdxLC1gEAAKADAAAOAAAAAAAAAAEA&#10;IAAAACM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7837D5"/>
    <w:multiLevelType w:val="singleLevel"/>
    <w:tmpl w:val="9E7837D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B31C7AF"/>
    <w:multiLevelType w:val="singleLevel"/>
    <w:tmpl w:val="DB31C7A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000000D"/>
    <w:multiLevelType w:val="multilevel"/>
    <w:tmpl w:val="0000000D"/>
    <w:lvl w:ilvl="0" w:tentative="0">
      <w:start w:val="1"/>
      <w:numFmt w:val="decimal"/>
      <w:lvlText w:val="%1、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3">
    <w:nsid w:val="5A250275"/>
    <w:multiLevelType w:val="singleLevel"/>
    <w:tmpl w:val="5A250275"/>
    <w:lvl w:ilvl="0" w:tentative="0">
      <w:start w:val="1"/>
      <w:numFmt w:val="chineseCounting"/>
      <w:suff w:val="space"/>
      <w:lvlText w:val="第%1条"/>
      <w:lvlJc w:val="left"/>
    </w:lvl>
  </w:abstractNum>
  <w:abstractNum w:abstractNumId="4">
    <w:nsid w:val="6AA7C355"/>
    <w:multiLevelType w:val="singleLevel"/>
    <w:tmpl w:val="6AA7C35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NDAzOWJmMzFiYmMyMmYzN2ViYTdlNzM2NGIwMjYifQ=="/>
  </w:docVars>
  <w:rsids>
    <w:rsidRoot w:val="00172A27"/>
    <w:rsid w:val="000126A1"/>
    <w:rsid w:val="00024E3C"/>
    <w:rsid w:val="000E2900"/>
    <w:rsid w:val="000E7947"/>
    <w:rsid w:val="00116E34"/>
    <w:rsid w:val="001A4C77"/>
    <w:rsid w:val="001E3EA8"/>
    <w:rsid w:val="0020177C"/>
    <w:rsid w:val="002351C7"/>
    <w:rsid w:val="002C2C13"/>
    <w:rsid w:val="002E4355"/>
    <w:rsid w:val="00304DC7"/>
    <w:rsid w:val="003F13A3"/>
    <w:rsid w:val="0041771C"/>
    <w:rsid w:val="004523D3"/>
    <w:rsid w:val="004761D5"/>
    <w:rsid w:val="00485633"/>
    <w:rsid w:val="00503736"/>
    <w:rsid w:val="00547C8E"/>
    <w:rsid w:val="005A4196"/>
    <w:rsid w:val="005C105F"/>
    <w:rsid w:val="005C22F8"/>
    <w:rsid w:val="005E1C01"/>
    <w:rsid w:val="005E2A05"/>
    <w:rsid w:val="00631E79"/>
    <w:rsid w:val="0065791E"/>
    <w:rsid w:val="0066383D"/>
    <w:rsid w:val="00667CDD"/>
    <w:rsid w:val="00674C00"/>
    <w:rsid w:val="006C6679"/>
    <w:rsid w:val="007003C6"/>
    <w:rsid w:val="0070513D"/>
    <w:rsid w:val="00776280"/>
    <w:rsid w:val="007856EE"/>
    <w:rsid w:val="00796CE0"/>
    <w:rsid w:val="00797363"/>
    <w:rsid w:val="007B3B49"/>
    <w:rsid w:val="007C1C79"/>
    <w:rsid w:val="00802E52"/>
    <w:rsid w:val="00824A1B"/>
    <w:rsid w:val="0085605C"/>
    <w:rsid w:val="00865445"/>
    <w:rsid w:val="00876663"/>
    <w:rsid w:val="00930B60"/>
    <w:rsid w:val="0095338F"/>
    <w:rsid w:val="00971401"/>
    <w:rsid w:val="00996808"/>
    <w:rsid w:val="009A1107"/>
    <w:rsid w:val="009A744F"/>
    <w:rsid w:val="009C5688"/>
    <w:rsid w:val="009D281F"/>
    <w:rsid w:val="009F1690"/>
    <w:rsid w:val="00A159F0"/>
    <w:rsid w:val="00A405C8"/>
    <w:rsid w:val="00A917C4"/>
    <w:rsid w:val="00AD230F"/>
    <w:rsid w:val="00AD3407"/>
    <w:rsid w:val="00AF0953"/>
    <w:rsid w:val="00B22D5B"/>
    <w:rsid w:val="00B319B1"/>
    <w:rsid w:val="00B4325F"/>
    <w:rsid w:val="00B65E1C"/>
    <w:rsid w:val="00B7109A"/>
    <w:rsid w:val="00B81585"/>
    <w:rsid w:val="00BE0322"/>
    <w:rsid w:val="00C85EF8"/>
    <w:rsid w:val="00CE77F8"/>
    <w:rsid w:val="00D6549B"/>
    <w:rsid w:val="00DC17CC"/>
    <w:rsid w:val="00DF02AE"/>
    <w:rsid w:val="00E209D6"/>
    <w:rsid w:val="00E30D9C"/>
    <w:rsid w:val="00E41283"/>
    <w:rsid w:val="00F00FBB"/>
    <w:rsid w:val="00F15AF0"/>
    <w:rsid w:val="00F27F84"/>
    <w:rsid w:val="00F67C03"/>
    <w:rsid w:val="00F818E9"/>
    <w:rsid w:val="00FC1F4B"/>
    <w:rsid w:val="00FE2BF4"/>
    <w:rsid w:val="00FF290E"/>
    <w:rsid w:val="012F7943"/>
    <w:rsid w:val="014F6641"/>
    <w:rsid w:val="01BB5A85"/>
    <w:rsid w:val="02054E7E"/>
    <w:rsid w:val="028C2B2E"/>
    <w:rsid w:val="028E1454"/>
    <w:rsid w:val="02D247A8"/>
    <w:rsid w:val="037414EB"/>
    <w:rsid w:val="041D3576"/>
    <w:rsid w:val="04794C08"/>
    <w:rsid w:val="06555AFD"/>
    <w:rsid w:val="073E4B13"/>
    <w:rsid w:val="077C5CB6"/>
    <w:rsid w:val="07EC21D1"/>
    <w:rsid w:val="08A80EAE"/>
    <w:rsid w:val="08D01BF2"/>
    <w:rsid w:val="09055BFF"/>
    <w:rsid w:val="094704C1"/>
    <w:rsid w:val="094D790A"/>
    <w:rsid w:val="095F763D"/>
    <w:rsid w:val="09613E28"/>
    <w:rsid w:val="09926231"/>
    <w:rsid w:val="09CB0698"/>
    <w:rsid w:val="09E70AC8"/>
    <w:rsid w:val="09FD162E"/>
    <w:rsid w:val="0A19629E"/>
    <w:rsid w:val="0AE65FCF"/>
    <w:rsid w:val="0B5C270C"/>
    <w:rsid w:val="0B6C7DF0"/>
    <w:rsid w:val="0B8542E8"/>
    <w:rsid w:val="0C4E6A0A"/>
    <w:rsid w:val="0CA63264"/>
    <w:rsid w:val="0D1C34E3"/>
    <w:rsid w:val="0D2C3095"/>
    <w:rsid w:val="0DB066B9"/>
    <w:rsid w:val="0DBD38D2"/>
    <w:rsid w:val="0DCD4B64"/>
    <w:rsid w:val="0E71037E"/>
    <w:rsid w:val="0E8D2C1E"/>
    <w:rsid w:val="0EDF7703"/>
    <w:rsid w:val="0EF011C4"/>
    <w:rsid w:val="10B66023"/>
    <w:rsid w:val="10CE7EBA"/>
    <w:rsid w:val="10EC5C5A"/>
    <w:rsid w:val="12223C98"/>
    <w:rsid w:val="128062D3"/>
    <w:rsid w:val="1382205A"/>
    <w:rsid w:val="1407190A"/>
    <w:rsid w:val="152D0849"/>
    <w:rsid w:val="15AF3D58"/>
    <w:rsid w:val="15B607AE"/>
    <w:rsid w:val="15D35A8F"/>
    <w:rsid w:val="164D3B2B"/>
    <w:rsid w:val="164E5F8D"/>
    <w:rsid w:val="16504E7A"/>
    <w:rsid w:val="168A1B47"/>
    <w:rsid w:val="16AF7D3F"/>
    <w:rsid w:val="178A1D29"/>
    <w:rsid w:val="18194E5B"/>
    <w:rsid w:val="18852BF0"/>
    <w:rsid w:val="18BC4164"/>
    <w:rsid w:val="18CE20EA"/>
    <w:rsid w:val="195F2D42"/>
    <w:rsid w:val="19C655F5"/>
    <w:rsid w:val="1BD32A03"/>
    <w:rsid w:val="1C183D90"/>
    <w:rsid w:val="1CCB7B41"/>
    <w:rsid w:val="1CE26164"/>
    <w:rsid w:val="1D0C7C41"/>
    <w:rsid w:val="1E3F266D"/>
    <w:rsid w:val="1ED1023E"/>
    <w:rsid w:val="1F883B50"/>
    <w:rsid w:val="1F9A7273"/>
    <w:rsid w:val="204D2676"/>
    <w:rsid w:val="20FB0AD9"/>
    <w:rsid w:val="21E206FF"/>
    <w:rsid w:val="22A75E85"/>
    <w:rsid w:val="22AD0BC4"/>
    <w:rsid w:val="23A02D0C"/>
    <w:rsid w:val="23C968DF"/>
    <w:rsid w:val="23DB676B"/>
    <w:rsid w:val="246554EF"/>
    <w:rsid w:val="252F0CC9"/>
    <w:rsid w:val="25666532"/>
    <w:rsid w:val="257162D7"/>
    <w:rsid w:val="25933419"/>
    <w:rsid w:val="26BC1E3B"/>
    <w:rsid w:val="26C10201"/>
    <w:rsid w:val="26D22DA5"/>
    <w:rsid w:val="277A6BD4"/>
    <w:rsid w:val="27DA7E8E"/>
    <w:rsid w:val="28187331"/>
    <w:rsid w:val="282D2F44"/>
    <w:rsid w:val="28E76FDC"/>
    <w:rsid w:val="29546048"/>
    <w:rsid w:val="297D12CC"/>
    <w:rsid w:val="2A6B2E99"/>
    <w:rsid w:val="2C550700"/>
    <w:rsid w:val="2CEE2145"/>
    <w:rsid w:val="2CF377D7"/>
    <w:rsid w:val="2DDE509E"/>
    <w:rsid w:val="2E142584"/>
    <w:rsid w:val="2E9C50DD"/>
    <w:rsid w:val="2EC95AFD"/>
    <w:rsid w:val="2EF31870"/>
    <w:rsid w:val="2EF75CAD"/>
    <w:rsid w:val="2F063F34"/>
    <w:rsid w:val="2F517ACC"/>
    <w:rsid w:val="2F9A6FCC"/>
    <w:rsid w:val="30CB47A2"/>
    <w:rsid w:val="31003C16"/>
    <w:rsid w:val="3161105A"/>
    <w:rsid w:val="31B662BB"/>
    <w:rsid w:val="32707177"/>
    <w:rsid w:val="32FD69CE"/>
    <w:rsid w:val="337A35A6"/>
    <w:rsid w:val="33A1231A"/>
    <w:rsid w:val="34033A15"/>
    <w:rsid w:val="34480231"/>
    <w:rsid w:val="356F68A7"/>
    <w:rsid w:val="35E40ECC"/>
    <w:rsid w:val="36DC69AA"/>
    <w:rsid w:val="371C171D"/>
    <w:rsid w:val="37273DDA"/>
    <w:rsid w:val="376E6B1A"/>
    <w:rsid w:val="377C647D"/>
    <w:rsid w:val="38143448"/>
    <w:rsid w:val="38190028"/>
    <w:rsid w:val="390E5447"/>
    <w:rsid w:val="39A22A62"/>
    <w:rsid w:val="39B32F0A"/>
    <w:rsid w:val="3A9B03D9"/>
    <w:rsid w:val="3B930293"/>
    <w:rsid w:val="3BE161CF"/>
    <w:rsid w:val="3C8D1C6A"/>
    <w:rsid w:val="3CDE029E"/>
    <w:rsid w:val="3DEB0E34"/>
    <w:rsid w:val="3EEF1717"/>
    <w:rsid w:val="3F8E7C13"/>
    <w:rsid w:val="3F9F311E"/>
    <w:rsid w:val="3FB2379B"/>
    <w:rsid w:val="3FE8759C"/>
    <w:rsid w:val="3FEE25A6"/>
    <w:rsid w:val="400856A5"/>
    <w:rsid w:val="400A51AC"/>
    <w:rsid w:val="407971D9"/>
    <w:rsid w:val="409846F9"/>
    <w:rsid w:val="41714A19"/>
    <w:rsid w:val="417A2B19"/>
    <w:rsid w:val="41B01BE8"/>
    <w:rsid w:val="423652E3"/>
    <w:rsid w:val="42996133"/>
    <w:rsid w:val="42B663A9"/>
    <w:rsid w:val="432309EC"/>
    <w:rsid w:val="43BC75C5"/>
    <w:rsid w:val="44DC5DFC"/>
    <w:rsid w:val="4560684C"/>
    <w:rsid w:val="4565155C"/>
    <w:rsid w:val="46BD0F24"/>
    <w:rsid w:val="46F012F9"/>
    <w:rsid w:val="474A700F"/>
    <w:rsid w:val="475C07AA"/>
    <w:rsid w:val="47633A3A"/>
    <w:rsid w:val="4799729B"/>
    <w:rsid w:val="479C1F46"/>
    <w:rsid w:val="47B97048"/>
    <w:rsid w:val="47F866B8"/>
    <w:rsid w:val="483C1376"/>
    <w:rsid w:val="484A7DF0"/>
    <w:rsid w:val="486E697A"/>
    <w:rsid w:val="48A10AFD"/>
    <w:rsid w:val="499D27C0"/>
    <w:rsid w:val="4A9D3546"/>
    <w:rsid w:val="4AA22544"/>
    <w:rsid w:val="4B26704C"/>
    <w:rsid w:val="4BCD2C86"/>
    <w:rsid w:val="4BD77842"/>
    <w:rsid w:val="4BDF57A8"/>
    <w:rsid w:val="4CAA2471"/>
    <w:rsid w:val="4D856FDB"/>
    <w:rsid w:val="4D9D50F5"/>
    <w:rsid w:val="4E075C69"/>
    <w:rsid w:val="4E2A40B9"/>
    <w:rsid w:val="4EE51018"/>
    <w:rsid w:val="4F1C763C"/>
    <w:rsid w:val="4F2C1FDE"/>
    <w:rsid w:val="4F31241A"/>
    <w:rsid w:val="4F8F481F"/>
    <w:rsid w:val="50F56542"/>
    <w:rsid w:val="512330A7"/>
    <w:rsid w:val="517A0094"/>
    <w:rsid w:val="51D84CC9"/>
    <w:rsid w:val="52323441"/>
    <w:rsid w:val="52E265E7"/>
    <w:rsid w:val="539351B5"/>
    <w:rsid w:val="53C61EAC"/>
    <w:rsid w:val="53F56958"/>
    <w:rsid w:val="54134879"/>
    <w:rsid w:val="544F5D32"/>
    <w:rsid w:val="546F41C4"/>
    <w:rsid w:val="54945582"/>
    <w:rsid w:val="54D101E0"/>
    <w:rsid w:val="54FF0D12"/>
    <w:rsid w:val="55961ED9"/>
    <w:rsid w:val="57407733"/>
    <w:rsid w:val="57E427B4"/>
    <w:rsid w:val="57EF1159"/>
    <w:rsid w:val="584108A5"/>
    <w:rsid w:val="58816255"/>
    <w:rsid w:val="58D84A6E"/>
    <w:rsid w:val="58EB19EF"/>
    <w:rsid w:val="594B64E1"/>
    <w:rsid w:val="59D053C1"/>
    <w:rsid w:val="5A5D3F95"/>
    <w:rsid w:val="5AE87BE4"/>
    <w:rsid w:val="5B1530DD"/>
    <w:rsid w:val="5B1D5FEE"/>
    <w:rsid w:val="5B8E0E65"/>
    <w:rsid w:val="5BD578AE"/>
    <w:rsid w:val="5BDE05A8"/>
    <w:rsid w:val="5C050F4B"/>
    <w:rsid w:val="5C1956F0"/>
    <w:rsid w:val="5C4912BE"/>
    <w:rsid w:val="5C9A5DF3"/>
    <w:rsid w:val="5CC73900"/>
    <w:rsid w:val="5D41061B"/>
    <w:rsid w:val="5D4447BB"/>
    <w:rsid w:val="5DC744D4"/>
    <w:rsid w:val="5E62038A"/>
    <w:rsid w:val="5E6406A3"/>
    <w:rsid w:val="5E930A90"/>
    <w:rsid w:val="5EA415AD"/>
    <w:rsid w:val="5EA73388"/>
    <w:rsid w:val="5F150BFA"/>
    <w:rsid w:val="5F96360F"/>
    <w:rsid w:val="5F9722BD"/>
    <w:rsid w:val="5FE43860"/>
    <w:rsid w:val="5FE765D3"/>
    <w:rsid w:val="60180626"/>
    <w:rsid w:val="603E5905"/>
    <w:rsid w:val="60407254"/>
    <w:rsid w:val="60874625"/>
    <w:rsid w:val="61D71CFA"/>
    <w:rsid w:val="61F851B7"/>
    <w:rsid w:val="628C5F22"/>
    <w:rsid w:val="628E3FF7"/>
    <w:rsid w:val="62FC59E9"/>
    <w:rsid w:val="63133F4E"/>
    <w:rsid w:val="632E6FDA"/>
    <w:rsid w:val="64B33C3A"/>
    <w:rsid w:val="65240450"/>
    <w:rsid w:val="657333CA"/>
    <w:rsid w:val="65B25AD0"/>
    <w:rsid w:val="65B743C9"/>
    <w:rsid w:val="65DB6E23"/>
    <w:rsid w:val="66AA7299"/>
    <w:rsid w:val="66B6079F"/>
    <w:rsid w:val="66E130C3"/>
    <w:rsid w:val="66F67E0E"/>
    <w:rsid w:val="67752156"/>
    <w:rsid w:val="67CB78A4"/>
    <w:rsid w:val="67F42609"/>
    <w:rsid w:val="6AA72F99"/>
    <w:rsid w:val="6B474236"/>
    <w:rsid w:val="6B7C010F"/>
    <w:rsid w:val="6B8D6867"/>
    <w:rsid w:val="6B9200A2"/>
    <w:rsid w:val="6BBE1514"/>
    <w:rsid w:val="6CA22107"/>
    <w:rsid w:val="6CB52057"/>
    <w:rsid w:val="6CF6023C"/>
    <w:rsid w:val="6CFA5B92"/>
    <w:rsid w:val="6D604937"/>
    <w:rsid w:val="6D6A50B2"/>
    <w:rsid w:val="6E83783D"/>
    <w:rsid w:val="6EC341C3"/>
    <w:rsid w:val="6ED13AD5"/>
    <w:rsid w:val="6F814935"/>
    <w:rsid w:val="6F891436"/>
    <w:rsid w:val="709F7A15"/>
    <w:rsid w:val="70E231B1"/>
    <w:rsid w:val="71654B20"/>
    <w:rsid w:val="71940950"/>
    <w:rsid w:val="71BB40EB"/>
    <w:rsid w:val="728E35F1"/>
    <w:rsid w:val="731D4C2A"/>
    <w:rsid w:val="739045AC"/>
    <w:rsid w:val="75FE6CDF"/>
    <w:rsid w:val="774C516C"/>
    <w:rsid w:val="78344188"/>
    <w:rsid w:val="78D15FE5"/>
    <w:rsid w:val="792C49AD"/>
    <w:rsid w:val="7946702E"/>
    <w:rsid w:val="796646C6"/>
    <w:rsid w:val="799C45E1"/>
    <w:rsid w:val="79CB512B"/>
    <w:rsid w:val="79DE4E5E"/>
    <w:rsid w:val="7A462C91"/>
    <w:rsid w:val="7A9B68AB"/>
    <w:rsid w:val="7B2E0C96"/>
    <w:rsid w:val="7B5B0730"/>
    <w:rsid w:val="7B941898"/>
    <w:rsid w:val="7BA23C69"/>
    <w:rsid w:val="7BF30969"/>
    <w:rsid w:val="7C06069C"/>
    <w:rsid w:val="7C570EF7"/>
    <w:rsid w:val="7C842978"/>
    <w:rsid w:val="7CEF1425"/>
    <w:rsid w:val="7D657644"/>
    <w:rsid w:val="7DCE63BE"/>
    <w:rsid w:val="7E19208B"/>
    <w:rsid w:val="7E913DAD"/>
    <w:rsid w:val="7ED14795"/>
    <w:rsid w:val="7EF17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qFormat/>
    <w:uiPriority w:val="0"/>
    <w:pPr>
      <w:spacing w:after="120"/>
      <w:ind w:left="425" w:hanging="425"/>
    </w:pPr>
    <w:rPr>
      <w:rFonts w:ascii="Calibri" w:hAnsi="Calibri"/>
      <w:sz w:val="16"/>
      <w:szCs w:val="16"/>
    </w:rPr>
  </w:style>
  <w:style w:type="paragraph" w:styleId="6">
    <w:name w:val="Body Text"/>
    <w:basedOn w:val="1"/>
    <w:qFormat/>
    <w:uiPriority w:val="0"/>
    <w:rPr>
      <w:rFonts w:ascii="宋体"/>
      <w:kern w:val="16"/>
      <w:position w:val="6"/>
      <w:sz w:val="24"/>
      <w:szCs w:val="20"/>
    </w:rPr>
  </w:style>
  <w:style w:type="paragraph" w:styleId="7">
    <w:name w:val="Body Text Indent"/>
    <w:basedOn w:val="1"/>
    <w:qFormat/>
    <w:uiPriority w:val="0"/>
    <w:pPr>
      <w:ind w:firstLine="555"/>
    </w:pPr>
    <w:rPr>
      <w:rFonts w:ascii="宋体"/>
      <w:kern w:val="16"/>
      <w:position w:val="6"/>
      <w:sz w:val="24"/>
      <w:szCs w:val="20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qFormat/>
    <w:uiPriority w:val="0"/>
    <w:pPr>
      <w:ind w:firstLine="554" w:firstLineChars="231"/>
    </w:pPr>
    <w:rPr>
      <w:kern w:val="16"/>
      <w:position w:val="6"/>
      <w:sz w:val="24"/>
    </w:r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qFormat/>
    <w:uiPriority w:val="0"/>
    <w:pPr>
      <w:tabs>
        <w:tab w:val="left" w:pos="900"/>
        <w:tab w:val="left" w:pos="1800"/>
      </w:tabs>
      <w:ind w:left="2" w:hanging="2"/>
    </w:pPr>
    <w:rPr>
      <w:kern w:val="16"/>
      <w:sz w:val="24"/>
    </w:rPr>
  </w:style>
  <w:style w:type="paragraph" w:styleId="14">
    <w:name w:val="Body Text 2"/>
    <w:basedOn w:val="1"/>
    <w:qFormat/>
    <w:uiPriority w:val="0"/>
    <w:rPr>
      <w:sz w:val="32"/>
    </w:rPr>
  </w:style>
  <w:style w:type="paragraph" w:styleId="1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18">
    <w:name w:val="Strong"/>
    <w:basedOn w:val="17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FollowedHyperlink"/>
    <w:basedOn w:val="17"/>
    <w:qFormat/>
    <w:uiPriority w:val="0"/>
    <w:rPr>
      <w:color w:val="800080"/>
      <w:u w:val="none"/>
    </w:rPr>
  </w:style>
  <w:style w:type="character" w:styleId="21">
    <w:name w:val="Hyperlink"/>
    <w:basedOn w:val="17"/>
    <w:qFormat/>
    <w:uiPriority w:val="0"/>
    <w:rPr>
      <w:color w:val="0000FF"/>
      <w:u w:val="none"/>
    </w:rPr>
  </w:style>
  <w:style w:type="paragraph" w:customStyle="1" w:styleId="22">
    <w:name w:val="font7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kern w:val="0"/>
      <w:sz w:val="28"/>
      <w:szCs w:val="28"/>
    </w:rPr>
  </w:style>
  <w:style w:type="paragraph" w:customStyle="1" w:styleId="23">
    <w:name w:val="xl31"/>
    <w:basedOn w:val="1"/>
    <w:qFormat/>
    <w:uiPriority w:val="0"/>
    <w:pPr>
      <w:widowControl/>
      <w:pBdr>
        <w:bottom w:val="single" w:color="auto" w:sz="4" w:space="0"/>
      </w:pBdr>
      <w:spacing w:before="100" w:beforeLines="0" w:beforeAutospacing="1" w:after="100" w:afterLines="0" w:afterAutospacing="1"/>
      <w:jc w:val="center"/>
    </w:pPr>
    <w:rPr>
      <w:rFonts w:hint="eastAsia" w:ascii="黑体" w:hAnsi="宋体" w:eastAsia="黑体"/>
      <w:kern w:val="0"/>
      <w:sz w:val="24"/>
    </w:rPr>
  </w:style>
  <w:style w:type="paragraph" w:customStyle="1" w:styleId="24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  <w:textAlignment w:val="center"/>
    </w:pPr>
    <w:rPr>
      <w:rFonts w:ascii="宋体" w:hAnsi="宋体"/>
      <w:kern w:val="0"/>
      <w:sz w:val="28"/>
      <w:szCs w:val="28"/>
    </w:rPr>
  </w:style>
  <w:style w:type="paragraph" w:customStyle="1" w:styleId="25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customStyle="1" w:styleId="26">
    <w:name w:val="xl26"/>
    <w:basedOn w:val="1"/>
    <w:qFormat/>
    <w:uiPriority w:val="0"/>
    <w:pPr>
      <w:widowControl/>
      <w:spacing w:before="100" w:beforeLines="0" w:beforeAutospacing="1" w:after="100" w:afterLines="0" w:afterAutospacing="1"/>
      <w:jc w:val="right"/>
      <w:textAlignment w:val="center"/>
    </w:pPr>
    <w:rPr>
      <w:rFonts w:hint="eastAsia" w:ascii="黑体" w:hAnsi="宋体" w:eastAsia="黑体"/>
      <w:kern w:val="0"/>
      <w:sz w:val="28"/>
      <w:szCs w:val="28"/>
    </w:rPr>
  </w:style>
  <w:style w:type="paragraph" w:customStyle="1" w:styleId="27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right"/>
    </w:pPr>
    <w:rPr>
      <w:rFonts w:hint="eastAsia" w:ascii="黑体" w:hAnsi="宋体" w:eastAsia="黑体"/>
      <w:kern w:val="0"/>
      <w:sz w:val="32"/>
      <w:szCs w:val="32"/>
    </w:rPr>
  </w:style>
  <w:style w:type="paragraph" w:customStyle="1" w:styleId="28">
    <w:name w:val="font6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kern w:val="0"/>
      <w:sz w:val="28"/>
      <w:szCs w:val="28"/>
    </w:rPr>
  </w:style>
  <w:style w:type="paragraph" w:customStyle="1" w:styleId="29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left"/>
      <w:textAlignment w:val="center"/>
    </w:pPr>
    <w:rPr>
      <w:rFonts w:ascii="宋体" w:hAnsi="宋体"/>
      <w:kern w:val="0"/>
      <w:sz w:val="28"/>
      <w:szCs w:val="28"/>
    </w:rPr>
  </w:style>
  <w:style w:type="paragraph" w:customStyle="1" w:styleId="30">
    <w:name w:val="font5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31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</w:pPr>
    <w:rPr>
      <w:rFonts w:ascii="宋体" w:hAnsi="宋体"/>
      <w:kern w:val="0"/>
      <w:sz w:val="24"/>
    </w:rPr>
  </w:style>
  <w:style w:type="paragraph" w:customStyle="1" w:styleId="32">
    <w:name w:val="xl27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黑体" w:hAnsi="宋体" w:eastAsia="黑体"/>
      <w:kern w:val="0"/>
      <w:sz w:val="32"/>
      <w:szCs w:val="32"/>
    </w:rPr>
  </w:style>
  <w:style w:type="paragraph" w:customStyle="1" w:styleId="3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left"/>
      <w:textAlignment w:val="center"/>
    </w:pPr>
    <w:rPr>
      <w:rFonts w:ascii="宋体" w:hAnsi="宋体"/>
      <w:kern w:val="0"/>
      <w:sz w:val="24"/>
    </w:rPr>
  </w:style>
  <w:style w:type="paragraph" w:customStyle="1" w:styleId="3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Lines="0" w:beforeAutospacing="1" w:after="100" w:afterLines="0" w:afterAutospacing="1"/>
      <w:jc w:val="center"/>
    </w:pPr>
    <w:rPr>
      <w:rFonts w:ascii="宋体" w:hAnsi="宋体"/>
      <w:kern w:val="0"/>
      <w:sz w:val="24"/>
    </w:rPr>
  </w:style>
  <w:style w:type="paragraph" w:customStyle="1" w:styleId="35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5390</Words>
  <Characters>5648</Characters>
  <Lines>183</Lines>
  <Paragraphs>218</Paragraphs>
  <TotalTime>4</TotalTime>
  <ScaleCrop>false</ScaleCrop>
  <LinksUpToDate>false</LinksUpToDate>
  <CharactersWithSpaces>6671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2015-11-10T07:32:00Z</dcterms:created>
  <dc:creator>ss</dc:creator>
  <cp:lastModifiedBy>Administrator</cp:lastModifiedBy>
  <cp:lastPrinted>2019-03-18T06:15:00Z</cp:lastPrinted>
  <dcterms:modified xsi:type="dcterms:W3CDTF">2025-10-11T07:36:22Z</dcterms:modified>
  <dc:title>建设工程招标文件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B5C8F02BC4B647AA8D3F6C0B8F247D46</vt:lpwstr>
  </property>
  <property fmtid="{D5CDD505-2E9C-101B-9397-08002B2CF9AE}" pid="4" name="KSOTemplateDocerSaveRecord">
    <vt:lpwstr>eyJoZGlkIjoiNDdhNjE4ZjBmM2FkOTM2ZTViMjAxNzhmZWMxZmUyNjkiLCJ1c2VySWQiOiI3MTQxNzcxODMifQ==</vt:lpwstr>
  </property>
</Properties>
</file>