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48E89">
      <w:pPr>
        <w:jc w:val="center"/>
        <w:rPr>
          <w:rFonts w:hint="eastAsia" w:ascii="仿宋_GB2312" w:eastAsia="仿宋_GB2312"/>
          <w:color w:val="auto"/>
          <w:sz w:val="32"/>
          <w:highlight w:val="none"/>
        </w:rPr>
      </w:pPr>
      <w:r>
        <w:rPr>
          <w:rFonts w:hint="eastAsia" w:ascii="仿宋_GB2312" w:eastAsia="仿宋_GB2312"/>
          <w:color w:val="auto"/>
          <w:spacing w:val="-18"/>
          <w:sz w:val="52"/>
          <w:szCs w:val="52"/>
          <w:highlight w:val="none"/>
          <w:lang w:val="en-US" w:eastAsia="zh-CN"/>
        </w:rPr>
        <w:t>诸暨市店口镇2025-2027年度200万以下镇（村）级工程结算审核机构项目</w:t>
      </w:r>
    </w:p>
    <w:p w14:paraId="32471A7A">
      <w:pPr>
        <w:spacing w:line="500" w:lineRule="exact"/>
        <w:jc w:val="center"/>
        <w:rPr>
          <w:rFonts w:hint="eastAsia" w:ascii="仿宋_GB2312" w:eastAsia="仿宋_GB2312"/>
          <w:color w:val="auto"/>
          <w:sz w:val="32"/>
          <w:highlight w:val="none"/>
        </w:rPr>
      </w:pPr>
    </w:p>
    <w:p w14:paraId="33C65BD0">
      <w:pPr>
        <w:spacing w:line="500" w:lineRule="exact"/>
        <w:jc w:val="center"/>
        <w:rPr>
          <w:rFonts w:hint="eastAsia" w:ascii="仿宋_GB2312" w:eastAsia="仿宋_GB2312"/>
          <w:color w:val="auto"/>
          <w:sz w:val="32"/>
          <w:highlight w:val="none"/>
        </w:rPr>
      </w:pPr>
    </w:p>
    <w:p w14:paraId="4790D3AA">
      <w:pPr>
        <w:spacing w:line="500" w:lineRule="exact"/>
        <w:jc w:val="center"/>
        <w:rPr>
          <w:rFonts w:hint="eastAsia" w:ascii="仿宋_GB2312" w:eastAsia="仿宋_GB2312"/>
          <w:color w:val="auto"/>
          <w:sz w:val="32"/>
          <w:highlight w:val="none"/>
        </w:rPr>
      </w:pPr>
    </w:p>
    <w:p w14:paraId="609F958B">
      <w:pPr>
        <w:jc w:val="center"/>
        <w:rPr>
          <w:rFonts w:hint="eastAsia" w:ascii="仿宋_GB2312" w:eastAsia="仿宋_GB2312"/>
          <w:color w:val="auto"/>
          <w:sz w:val="84"/>
          <w:highlight w:val="none"/>
        </w:rPr>
      </w:pPr>
      <w:r>
        <w:rPr>
          <w:rFonts w:hint="eastAsia" w:ascii="仿宋_GB2312" w:eastAsia="仿宋_GB2312"/>
          <w:color w:val="auto"/>
          <w:sz w:val="84"/>
          <w:highlight w:val="none"/>
        </w:rPr>
        <w:t>招　</w:t>
      </w:r>
    </w:p>
    <w:p w14:paraId="3504B1A6">
      <w:pPr>
        <w:jc w:val="center"/>
        <w:rPr>
          <w:rFonts w:hint="eastAsia" w:ascii="仿宋_GB2312" w:eastAsia="仿宋_GB2312"/>
          <w:color w:val="auto"/>
          <w:sz w:val="84"/>
          <w:highlight w:val="none"/>
        </w:rPr>
      </w:pPr>
      <w:r>
        <w:rPr>
          <w:rFonts w:hint="eastAsia" w:ascii="仿宋_GB2312" w:eastAsia="仿宋_GB2312"/>
          <w:color w:val="auto"/>
          <w:sz w:val="84"/>
          <w:highlight w:val="none"/>
        </w:rPr>
        <w:t>标　</w:t>
      </w:r>
    </w:p>
    <w:p w14:paraId="28AB099C">
      <w:pPr>
        <w:jc w:val="center"/>
        <w:rPr>
          <w:rFonts w:hint="eastAsia" w:ascii="仿宋_GB2312" w:eastAsia="仿宋_GB2312"/>
          <w:color w:val="auto"/>
          <w:sz w:val="84"/>
          <w:highlight w:val="none"/>
        </w:rPr>
      </w:pPr>
      <w:r>
        <w:rPr>
          <w:rFonts w:hint="eastAsia" w:ascii="仿宋_GB2312" w:eastAsia="仿宋_GB2312"/>
          <w:color w:val="auto"/>
          <w:sz w:val="84"/>
          <w:highlight w:val="none"/>
        </w:rPr>
        <w:t>文　</w:t>
      </w:r>
    </w:p>
    <w:p w14:paraId="7B2FE94F">
      <w:pPr>
        <w:jc w:val="center"/>
        <w:rPr>
          <w:rFonts w:hint="eastAsia" w:ascii="仿宋_GB2312" w:eastAsia="仿宋_GB2312"/>
          <w:color w:val="auto"/>
          <w:sz w:val="84"/>
          <w:highlight w:val="none"/>
        </w:rPr>
      </w:pPr>
      <w:r>
        <w:rPr>
          <w:rFonts w:hint="eastAsia" w:ascii="仿宋_GB2312" w:eastAsia="仿宋_GB2312"/>
          <w:color w:val="auto"/>
          <w:sz w:val="84"/>
          <w:highlight w:val="none"/>
        </w:rPr>
        <w:t>件</w:t>
      </w:r>
    </w:p>
    <w:p w14:paraId="1BDC8807">
      <w:pPr>
        <w:spacing w:line="500" w:lineRule="exact"/>
        <w:rPr>
          <w:rFonts w:hint="eastAsia" w:ascii="仿宋_GB2312" w:hAnsi="宋体" w:eastAsia="仿宋_GB2312"/>
          <w:color w:val="auto"/>
          <w:sz w:val="32"/>
          <w:highlight w:val="none"/>
        </w:rPr>
      </w:pPr>
    </w:p>
    <w:p w14:paraId="33EDB8C2">
      <w:pPr>
        <w:spacing w:line="500" w:lineRule="exact"/>
        <w:jc w:val="center"/>
        <w:rPr>
          <w:rFonts w:hint="eastAsia" w:ascii="仿宋_GB2312" w:hAnsi="宋体" w:eastAsia="仿宋_GB2312"/>
          <w:color w:val="auto"/>
          <w:sz w:val="32"/>
          <w:highlight w:val="none"/>
        </w:rPr>
      </w:pPr>
    </w:p>
    <w:p w14:paraId="629BA10F">
      <w:pPr>
        <w:spacing w:line="500" w:lineRule="exact"/>
        <w:jc w:val="center"/>
        <w:rPr>
          <w:rFonts w:hint="eastAsia" w:ascii="仿宋_GB2312" w:hAnsi="宋体" w:eastAsia="仿宋_GB2312"/>
          <w:color w:val="auto"/>
          <w:sz w:val="32"/>
          <w:highlight w:val="none"/>
        </w:rPr>
      </w:pPr>
    </w:p>
    <w:p w14:paraId="296CE8CB">
      <w:pPr>
        <w:spacing w:line="500" w:lineRule="exact"/>
        <w:rPr>
          <w:rFonts w:hint="eastAsia" w:ascii="仿宋_GB2312" w:hAnsi="宋体" w:eastAsia="仿宋_GB2312"/>
          <w:color w:val="auto"/>
          <w:sz w:val="32"/>
          <w:highlight w:val="none"/>
        </w:rPr>
      </w:pPr>
    </w:p>
    <w:p w14:paraId="73516C8A">
      <w:pPr>
        <w:spacing w:line="500" w:lineRule="exact"/>
        <w:jc w:val="center"/>
        <w:rPr>
          <w:rFonts w:hint="eastAsia" w:ascii="仿宋_GB2312" w:hAnsi="宋体" w:eastAsia="仿宋_GB2312"/>
          <w:color w:val="auto"/>
          <w:sz w:val="32"/>
          <w:highlight w:val="none"/>
        </w:rPr>
      </w:pPr>
    </w:p>
    <w:p w14:paraId="053EFF16">
      <w:pPr>
        <w:spacing w:line="500" w:lineRule="exact"/>
        <w:jc w:val="center"/>
        <w:rPr>
          <w:rFonts w:hint="eastAsia" w:ascii="仿宋_GB2312" w:hAnsi="宋体" w:eastAsia="仿宋_GB2312"/>
          <w:color w:val="auto"/>
          <w:sz w:val="32"/>
          <w:highlight w:val="none"/>
        </w:rPr>
      </w:pPr>
    </w:p>
    <w:p w14:paraId="31E5F204">
      <w:pPr>
        <w:widowControl/>
        <w:spacing w:line="360" w:lineRule="auto"/>
        <w:ind w:firstLine="1343" w:firstLineChars="446"/>
        <w:rPr>
          <w:rFonts w:hint="eastAsia" w:ascii="仿宋_GB2312" w:hAnsi="宋体" w:eastAsia="仿宋_GB2312"/>
          <w:b/>
          <w:color w:val="auto"/>
          <w:sz w:val="30"/>
          <w:szCs w:val="30"/>
          <w:highlight w:val="none"/>
          <w:u w:val="single"/>
        </w:rPr>
      </w:pPr>
      <w:r>
        <w:rPr>
          <w:rFonts w:hint="eastAsia" w:ascii="仿宋_GB2312" w:hAnsi="宋体" w:eastAsia="仿宋_GB2312"/>
          <w:b/>
          <w:color w:val="auto"/>
          <w:sz w:val="30"/>
          <w:szCs w:val="30"/>
          <w:highlight w:val="none"/>
        </w:rPr>
        <w:t>招 标 人</w:t>
      </w:r>
      <w:r>
        <w:rPr>
          <w:rFonts w:hint="eastAsia" w:ascii="仿宋_GB2312" w:hAnsi="宋体" w:eastAsia="仿宋_GB2312"/>
          <w:color w:val="auto"/>
          <w:sz w:val="30"/>
          <w:szCs w:val="30"/>
          <w:highlight w:val="none"/>
        </w:rPr>
        <w:t>：</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lang w:eastAsia="zh-CN"/>
        </w:rPr>
        <w:t>诸暨市店口镇人民政府</w:t>
      </w:r>
      <w:r>
        <w:rPr>
          <w:rFonts w:hint="eastAsia" w:ascii="仿宋_GB2312" w:hAnsi="宋体" w:eastAsia="仿宋_GB2312"/>
          <w:b/>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rPr>
        <w:t xml:space="preserve">   </w:t>
      </w:r>
    </w:p>
    <w:p w14:paraId="767830C4">
      <w:pPr>
        <w:spacing w:before="156" w:beforeLines="50" w:after="156" w:afterLines="50" w:line="420" w:lineRule="exact"/>
        <w:ind w:firstLine="1307" w:firstLineChars="434"/>
        <w:rPr>
          <w:rFonts w:hint="eastAsia" w:ascii="仿宋_GB2312" w:hAnsi="宋体" w:eastAsia="仿宋_GB2312"/>
          <w:b/>
          <w:color w:val="auto"/>
          <w:sz w:val="30"/>
          <w:szCs w:val="30"/>
          <w:highlight w:val="none"/>
          <w:u w:val="single"/>
        </w:rPr>
      </w:pPr>
      <w:r>
        <w:rPr>
          <w:rFonts w:hint="eastAsia" w:ascii="仿宋_GB2312" w:hAnsi="宋体" w:eastAsia="仿宋_GB2312"/>
          <w:b/>
          <w:color w:val="auto"/>
          <w:sz w:val="30"/>
          <w:szCs w:val="30"/>
          <w:highlight w:val="none"/>
        </w:rPr>
        <w:t>编制日期：</w:t>
      </w:r>
      <w:r>
        <w:rPr>
          <w:rFonts w:hint="eastAsia" w:ascii="仿宋_GB2312" w:hAnsi="宋体" w:eastAsia="仿宋_GB2312"/>
          <w:b/>
          <w:color w:val="auto"/>
          <w:sz w:val="30"/>
          <w:szCs w:val="30"/>
          <w:highlight w:val="none"/>
          <w:u w:val="single"/>
        </w:rPr>
        <w:t xml:space="preserve">     </w:t>
      </w:r>
      <w:r>
        <w:rPr>
          <w:rFonts w:hint="eastAsia" w:ascii="仿宋_GB2312" w:hAnsi="宋体" w:eastAsia="仿宋_GB2312"/>
          <w:b/>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rPr>
        <w:t xml:space="preserve">    </w:t>
      </w:r>
      <w:r>
        <w:rPr>
          <w:rFonts w:hint="eastAsia" w:ascii="仿宋_GB2312" w:hAnsi="宋体" w:eastAsia="仿宋_GB2312"/>
          <w:b/>
          <w:color w:val="auto"/>
          <w:sz w:val="30"/>
          <w:szCs w:val="30"/>
          <w:highlight w:val="none"/>
          <w:u w:val="single"/>
        </w:rPr>
        <w:t>二O二</w:t>
      </w:r>
      <w:r>
        <w:rPr>
          <w:rFonts w:hint="eastAsia" w:ascii="仿宋_GB2312" w:hAnsi="宋体" w:eastAsia="仿宋_GB2312"/>
          <w:b/>
          <w:color w:val="auto"/>
          <w:sz w:val="30"/>
          <w:szCs w:val="30"/>
          <w:highlight w:val="none"/>
          <w:u w:val="single"/>
          <w:lang w:val="en-US" w:eastAsia="zh-CN"/>
        </w:rPr>
        <w:t>五年二</w:t>
      </w:r>
      <w:r>
        <w:rPr>
          <w:rFonts w:hint="eastAsia" w:ascii="仿宋_GB2312" w:hAnsi="宋体" w:eastAsia="仿宋_GB2312"/>
          <w:b/>
          <w:color w:val="auto"/>
          <w:sz w:val="30"/>
          <w:szCs w:val="30"/>
          <w:highlight w:val="none"/>
          <w:u w:val="single"/>
        </w:rPr>
        <w:t>月</w:t>
      </w:r>
      <w:r>
        <w:rPr>
          <w:rFonts w:hint="eastAsia" w:ascii="仿宋_GB2312" w:hAnsi="宋体" w:eastAsia="仿宋_GB2312"/>
          <w:b/>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rPr>
        <w:t xml:space="preserve">  </w:t>
      </w:r>
      <w:r>
        <w:rPr>
          <w:rFonts w:hint="eastAsia" w:ascii="仿宋_GB2312" w:hAnsi="宋体" w:eastAsia="仿宋_GB2312"/>
          <w:b/>
          <w:color w:val="auto"/>
          <w:sz w:val="30"/>
          <w:szCs w:val="30"/>
          <w:highlight w:val="none"/>
          <w:u w:val="single"/>
          <w:lang w:val="en-US" w:eastAsia="zh-CN"/>
        </w:rPr>
        <w:t xml:space="preserve">  </w:t>
      </w:r>
      <w:r>
        <w:rPr>
          <w:rFonts w:hint="eastAsia" w:ascii="仿宋_GB2312" w:hAnsi="宋体" w:eastAsia="仿宋_GB2312"/>
          <w:b/>
          <w:color w:val="auto"/>
          <w:sz w:val="30"/>
          <w:szCs w:val="30"/>
          <w:highlight w:val="none"/>
          <w:u w:val="single"/>
        </w:rPr>
        <w:t xml:space="preserve">   </w:t>
      </w:r>
    </w:p>
    <w:p w14:paraId="7A8B2B65">
      <w:pPr>
        <w:spacing w:line="360" w:lineRule="auto"/>
        <w:jc w:val="center"/>
        <w:rPr>
          <w:rFonts w:hint="eastAsia" w:ascii="仿宋_GB2312" w:hAnsi="宋体" w:eastAsia="仿宋_GB2312"/>
          <w:b/>
          <w:bCs/>
          <w:color w:val="auto"/>
          <w:sz w:val="36"/>
          <w:szCs w:val="36"/>
          <w:highlight w:val="none"/>
          <w:lang w:eastAsia="zh-CN"/>
        </w:rPr>
      </w:pPr>
      <w:bookmarkStart w:id="0" w:name="OLE_LINK3"/>
      <w:bookmarkStart w:id="1" w:name="OLE_LINK4"/>
      <w:bookmarkStart w:id="2" w:name="OLE_LINK1"/>
      <w:bookmarkStart w:id="3" w:name="OLE_LINK5"/>
      <w:bookmarkStart w:id="4" w:name="OLE_LINK2"/>
    </w:p>
    <w:p w14:paraId="510824A2">
      <w:pPr>
        <w:spacing w:line="360" w:lineRule="auto"/>
        <w:jc w:val="center"/>
        <w:rPr>
          <w:rFonts w:hint="eastAsia" w:ascii="仿宋_GB2312" w:hAnsi="宋体" w:eastAsia="仿宋_GB2312"/>
          <w:b/>
          <w:bCs/>
          <w:color w:val="auto"/>
          <w:sz w:val="36"/>
          <w:szCs w:val="36"/>
          <w:highlight w:val="none"/>
          <w:lang w:eastAsia="zh-CN"/>
        </w:rPr>
      </w:pPr>
    </w:p>
    <w:p w14:paraId="3B9C7618">
      <w:pPr>
        <w:spacing w:line="360" w:lineRule="auto"/>
        <w:jc w:val="center"/>
        <w:rPr>
          <w:rFonts w:hint="eastAsia" w:ascii="仿宋_GB2312" w:eastAsia="仿宋_GB2312"/>
          <w:b/>
          <w:bCs/>
          <w:color w:val="auto"/>
          <w:sz w:val="36"/>
          <w:szCs w:val="36"/>
          <w:highlight w:val="none"/>
        </w:rPr>
      </w:pPr>
      <w:r>
        <w:rPr>
          <w:rFonts w:hint="eastAsia" w:ascii="仿宋_GB2312" w:hAnsi="宋体" w:eastAsia="仿宋_GB2312"/>
          <w:b/>
          <w:bCs/>
          <w:color w:val="auto"/>
          <w:sz w:val="36"/>
          <w:szCs w:val="36"/>
          <w:highlight w:val="none"/>
          <w:lang w:val="en-US" w:eastAsia="zh-CN"/>
        </w:rPr>
        <w:t>诸暨市店口镇2025-2027年度200万以下镇（村）级工程结算审核机构项目</w:t>
      </w:r>
      <w:r>
        <w:rPr>
          <w:rFonts w:hint="eastAsia" w:ascii="仿宋_GB2312" w:eastAsia="仿宋_GB2312"/>
          <w:b/>
          <w:bCs/>
          <w:color w:val="auto"/>
          <w:sz w:val="36"/>
          <w:szCs w:val="36"/>
          <w:highlight w:val="none"/>
        </w:rPr>
        <w:t>招标文件</w:t>
      </w:r>
    </w:p>
    <w:p w14:paraId="6762FE28">
      <w:pPr>
        <w:spacing w:line="360" w:lineRule="auto"/>
        <w:ind w:firstLine="1080" w:firstLineChars="300"/>
        <w:rPr>
          <w:rFonts w:hint="eastAsia" w:ascii="仿宋_GB2312" w:eastAsia="仿宋_GB2312"/>
          <w:color w:val="auto"/>
          <w:sz w:val="36"/>
          <w:szCs w:val="36"/>
          <w:highlight w:val="none"/>
        </w:rPr>
      </w:pPr>
    </w:p>
    <w:p w14:paraId="3706BA00">
      <w:pPr>
        <w:spacing w:line="600" w:lineRule="exact"/>
        <w:ind w:firstLine="840" w:firstLineChars="3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招标人：</w:t>
      </w:r>
      <w:r>
        <w:rPr>
          <w:rFonts w:hint="eastAsia" w:ascii="仿宋_GB2312" w:eastAsia="仿宋_GB2312"/>
          <w:color w:val="auto"/>
          <w:sz w:val="28"/>
          <w:szCs w:val="28"/>
          <w:highlight w:val="none"/>
          <w:u w:val="single"/>
          <w:lang w:eastAsia="zh-CN"/>
        </w:rPr>
        <w:t>诸暨市店口镇人民政府</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（盖章）</w:t>
      </w:r>
    </w:p>
    <w:p w14:paraId="204DC87F">
      <w:pPr>
        <w:spacing w:line="600" w:lineRule="exact"/>
        <w:ind w:firstLine="840" w:firstLineChars="3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法定代表人或委托代理人：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（签字或盖章）</w:t>
      </w:r>
    </w:p>
    <w:p w14:paraId="1823D9D9">
      <w:pPr>
        <w:spacing w:line="600" w:lineRule="exact"/>
        <w:ind w:firstLine="840" w:firstLineChars="3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诸暨市</w:t>
      </w:r>
      <w:r>
        <w:rPr>
          <w:rFonts w:hint="eastAsia" w:ascii="仿宋_GB2312" w:eastAsia="仿宋_GB2312"/>
          <w:color w:val="auto"/>
          <w:sz w:val="28"/>
          <w:szCs w:val="28"/>
          <w:highlight w:val="none"/>
          <w:u w:val="single"/>
          <w:lang w:eastAsia="zh-CN"/>
        </w:rPr>
        <w:t>店口镇</w:t>
      </w:r>
    </w:p>
    <w:p w14:paraId="439EE1B1">
      <w:pPr>
        <w:spacing w:line="600" w:lineRule="exact"/>
        <w:ind w:firstLine="840" w:firstLineChars="3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邮政编码：</w:t>
      </w:r>
      <w:r>
        <w:rPr>
          <w:rFonts w:hint="eastAsia" w:ascii="仿宋_GB2312" w:eastAsia="仿宋_GB2312"/>
          <w:color w:val="auto"/>
          <w:sz w:val="28"/>
          <w:szCs w:val="28"/>
          <w:highlight w:val="none"/>
          <w:u w:val="single"/>
        </w:rPr>
        <w:t>311800</w:t>
      </w:r>
      <w:r>
        <w:rPr>
          <w:rFonts w:hint="eastAsia" w:ascii="仿宋_GB2312" w:eastAsia="仿宋_GB2312"/>
          <w:color w:val="auto"/>
          <w:sz w:val="28"/>
          <w:szCs w:val="28"/>
          <w:highlight w:val="none"/>
          <w:u w:val="single"/>
          <w:lang w:val="en-US" w:eastAsia="zh-CN"/>
        </w:rPr>
        <w:t xml:space="preserve">  </w:t>
      </w:r>
    </w:p>
    <w:p w14:paraId="11FC9B06">
      <w:pPr>
        <w:spacing w:line="600" w:lineRule="exac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联系人：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郑晓桦 </w:t>
      </w:r>
      <w:r>
        <w:rPr>
          <w:rFonts w:hint="eastAsia" w:ascii="仿宋_GB2312" w:eastAsia="仿宋_GB2312"/>
          <w:color w:val="auto"/>
          <w:sz w:val="28"/>
          <w:szCs w:val="28"/>
          <w:highlight w:val="none"/>
          <w:u w:val="single"/>
        </w:rPr>
        <w:t xml:space="preserve"> </w:t>
      </w:r>
    </w:p>
    <w:p w14:paraId="1D1407B7">
      <w:pPr>
        <w:spacing w:line="600" w:lineRule="exact"/>
        <w:rPr>
          <w:rFonts w:hint="default" w:eastAsia="仿宋" w:cs="宋体"/>
          <w:color w:val="auto"/>
          <w:kern w:val="0"/>
          <w:sz w:val="28"/>
          <w:szCs w:val="28"/>
          <w:highlight w:val="none"/>
          <w:lang w:val="en-US" w:eastAsia="zh-CN"/>
        </w:rPr>
      </w:pPr>
      <w:r>
        <w:rPr>
          <w:rFonts w:hint="eastAsia" w:cs="宋体"/>
          <w:color w:val="auto"/>
          <w:kern w:val="0"/>
          <w:sz w:val="28"/>
          <w:szCs w:val="28"/>
          <w:highlight w:val="none"/>
        </w:rPr>
        <w:t xml:space="preserve">      </w:t>
      </w:r>
      <w:r>
        <w:rPr>
          <w:rFonts w:hint="eastAsia" w:ascii="仿宋_GB2312" w:eastAsia="仿宋_GB2312"/>
          <w:color w:val="auto"/>
          <w:sz w:val="28"/>
          <w:szCs w:val="28"/>
          <w:highlight w:val="none"/>
        </w:rPr>
        <w:t>电  话：</w:t>
      </w:r>
      <w:r>
        <w:rPr>
          <w:rFonts w:hint="eastAsia" w:ascii="仿宋" w:hAnsi="仿宋" w:eastAsia="仿宋" w:cs="仿宋"/>
          <w:color w:val="auto"/>
          <w:sz w:val="28"/>
          <w:highlight w:val="none"/>
          <w:u w:val="single"/>
          <w:lang w:val="en-US" w:eastAsia="zh-CN"/>
        </w:rPr>
        <w:t xml:space="preserve">0575-87590973  </w:t>
      </w:r>
      <w:r>
        <w:rPr>
          <w:rFonts w:hint="eastAsia" w:ascii="仿宋" w:hAnsi="仿宋" w:eastAsia="仿宋" w:cs="仿宋"/>
          <w:color w:val="auto"/>
          <w:sz w:val="28"/>
          <w:highlight w:val="none"/>
          <w:u w:val="none"/>
          <w:lang w:val="en-US" w:eastAsia="zh-CN"/>
        </w:rPr>
        <w:t xml:space="preserve">    </w:t>
      </w:r>
      <w:r>
        <w:rPr>
          <w:rFonts w:hint="eastAsia" w:ascii="仿宋" w:hAnsi="仿宋" w:eastAsia="仿宋" w:cs="仿宋"/>
          <w:color w:val="auto"/>
          <w:sz w:val="28"/>
          <w:highlight w:val="none"/>
          <w:lang w:eastAsia="zh-CN"/>
        </w:rPr>
        <w:t>工作手机</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single"/>
          <w:lang w:val="en-US" w:eastAsia="zh-CN"/>
        </w:rPr>
        <w:t xml:space="preserve">    /    </w:t>
      </w:r>
    </w:p>
    <w:p w14:paraId="2A8A7496">
      <w:pPr>
        <w:spacing w:line="600" w:lineRule="exact"/>
        <w:ind w:firstLine="840" w:firstLineChars="3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  真：</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p>
    <w:p w14:paraId="08371438">
      <w:pPr>
        <w:spacing w:line="600" w:lineRule="exact"/>
        <w:rPr>
          <w:rFonts w:hint="eastAsia" w:ascii="楷体_GB2312" w:eastAsia="楷体_GB2312"/>
          <w:color w:val="auto"/>
          <w:sz w:val="28"/>
          <w:szCs w:val="28"/>
          <w:highlight w:val="none"/>
        </w:rPr>
      </w:pPr>
    </w:p>
    <w:p w14:paraId="5D7BF8AB">
      <w:pPr>
        <w:spacing w:line="560" w:lineRule="exact"/>
        <w:ind w:firstLine="840" w:firstLineChars="300"/>
        <w:rPr>
          <w:rFonts w:hint="eastAsia" w:ascii="仿宋_GB2312" w:hAnsi="Times New Roman" w:eastAsia="仿宋_GB2312" w:cs="Times New Roman"/>
          <w:color w:val="auto"/>
          <w:sz w:val="28"/>
          <w:highlight w:val="none"/>
        </w:rPr>
      </w:pPr>
      <w:bookmarkStart w:id="5" w:name="OLE_LINK6"/>
      <w:r>
        <w:rPr>
          <w:rFonts w:hint="eastAsia" w:ascii="仿宋_GB2312" w:hAnsi="Times New Roman" w:eastAsia="仿宋_GB2312" w:cs="Times New Roman"/>
          <w:color w:val="auto"/>
          <w:sz w:val="28"/>
          <w:highlight w:val="none"/>
        </w:rPr>
        <w:t>招标代理机构：</w:t>
      </w:r>
      <w:r>
        <w:rPr>
          <w:rFonts w:hint="eastAsia" w:ascii="仿宋_GB2312" w:hAnsi="Times New Roman" w:eastAsia="仿宋_GB2312" w:cs="Times New Roman"/>
          <w:color w:val="auto"/>
          <w:sz w:val="28"/>
          <w:highlight w:val="none"/>
          <w:u w:val="single"/>
          <w:lang w:eastAsia="zh-CN"/>
        </w:rPr>
        <w:t xml:space="preserve">浙江博策工程项目管理有限公司 </w:t>
      </w:r>
      <w:r>
        <w:rPr>
          <w:rFonts w:hint="eastAsia" w:ascii="仿宋_GB2312" w:hAnsi="Times New Roman" w:eastAsia="仿宋_GB2312" w:cs="Times New Roman"/>
          <w:color w:val="auto"/>
          <w:sz w:val="28"/>
          <w:highlight w:val="none"/>
        </w:rPr>
        <w:t>（盖章）</w:t>
      </w:r>
    </w:p>
    <w:p w14:paraId="78840E56">
      <w:pPr>
        <w:spacing w:line="560" w:lineRule="exact"/>
        <w:ind w:firstLine="840" w:firstLineChars="300"/>
        <w:rPr>
          <w:rFonts w:hint="eastAsia" w:ascii="仿宋_GB2312" w:hAnsi="Times New Roman" w:eastAsia="仿宋_GB2312" w:cs="Times New Roman"/>
          <w:color w:val="auto"/>
          <w:sz w:val="28"/>
          <w:highlight w:val="none"/>
        </w:rPr>
      </w:pPr>
      <w:r>
        <w:rPr>
          <w:rFonts w:hint="eastAsia" w:ascii="仿宋_GB2312" w:hAnsi="Times New Roman" w:eastAsia="仿宋_GB2312" w:cs="Times New Roman"/>
          <w:color w:val="auto"/>
          <w:sz w:val="28"/>
          <w:highlight w:val="none"/>
        </w:rPr>
        <w:t>法定代表人或委托代理人:</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rPr>
        <w:t>（签字或盖章）</w:t>
      </w:r>
    </w:p>
    <w:p w14:paraId="1FFEFDDB">
      <w:pPr>
        <w:spacing w:line="560" w:lineRule="exact"/>
        <w:ind w:firstLine="840" w:firstLineChars="300"/>
        <w:rPr>
          <w:rFonts w:hint="eastAsia" w:ascii="仿宋_GB2312" w:hAnsi="Times New Roman" w:eastAsia="仿宋_GB2312" w:cs="Times New Roman"/>
          <w:color w:val="auto"/>
          <w:sz w:val="28"/>
          <w:highlight w:val="none"/>
          <w:u w:val="single"/>
          <w:lang w:val="en-US" w:eastAsia="zh-CN"/>
        </w:rPr>
      </w:pPr>
      <w:r>
        <w:rPr>
          <w:rFonts w:hint="eastAsia" w:ascii="仿宋_GB2312" w:hAnsi="Times New Roman" w:eastAsia="仿宋_GB2312" w:cs="Times New Roman"/>
          <w:color w:val="auto"/>
          <w:sz w:val="28"/>
          <w:highlight w:val="none"/>
        </w:rPr>
        <w:t>地址：</w:t>
      </w:r>
      <w:r>
        <w:rPr>
          <w:rFonts w:hint="eastAsia" w:ascii="仿宋_GB2312" w:hAnsi="仿宋_GB2312" w:eastAsia="仿宋_GB2312" w:cs="仿宋_GB2312"/>
          <w:color w:val="auto"/>
          <w:sz w:val="28"/>
          <w:szCs w:val="28"/>
          <w:highlight w:val="none"/>
          <w:u w:val="single"/>
          <w:lang w:eastAsia="zh-CN"/>
        </w:rPr>
        <w:t>诸暨市暨南路21号乐家大厦17F东</w:t>
      </w:r>
    </w:p>
    <w:p w14:paraId="55F2AE96">
      <w:pPr>
        <w:spacing w:line="560" w:lineRule="exact"/>
        <w:ind w:firstLine="840" w:firstLineChars="300"/>
        <w:rPr>
          <w:rFonts w:hint="default" w:ascii="仿宋_GB2312" w:hAnsi="Times New Roman" w:eastAsia="仿宋_GB2312" w:cs="Times New Roman"/>
          <w:color w:val="auto"/>
          <w:sz w:val="28"/>
          <w:highlight w:val="none"/>
          <w:lang w:val="en-US" w:eastAsia="zh-CN"/>
        </w:rPr>
      </w:pPr>
      <w:r>
        <w:rPr>
          <w:rFonts w:hint="eastAsia" w:ascii="仿宋_GB2312" w:hAnsi="Times New Roman" w:eastAsia="仿宋_GB2312" w:cs="Times New Roman"/>
          <w:color w:val="auto"/>
          <w:sz w:val="28"/>
          <w:highlight w:val="none"/>
        </w:rPr>
        <w:t>邮政编码：</w:t>
      </w:r>
      <w:r>
        <w:rPr>
          <w:rFonts w:hint="eastAsia" w:ascii="仿宋_GB2312" w:hAnsi="Times New Roman" w:eastAsia="仿宋_GB2312" w:cs="Times New Roman"/>
          <w:color w:val="auto"/>
          <w:sz w:val="28"/>
          <w:highlight w:val="none"/>
          <w:u w:val="single"/>
        </w:rPr>
        <w:t>311800</w:t>
      </w:r>
      <w:r>
        <w:rPr>
          <w:rFonts w:hint="eastAsia" w:ascii="仿宋_GB2312" w:hAnsi="Times New Roman" w:eastAsia="仿宋_GB2312" w:cs="Times New Roman"/>
          <w:color w:val="auto"/>
          <w:sz w:val="28"/>
          <w:highlight w:val="none"/>
          <w:u w:val="single"/>
          <w:lang w:val="en-US" w:eastAsia="zh-CN"/>
        </w:rPr>
        <w:t xml:space="preserve">  </w:t>
      </w:r>
    </w:p>
    <w:p w14:paraId="5EDCAC28">
      <w:pPr>
        <w:spacing w:line="560" w:lineRule="exact"/>
        <w:ind w:firstLine="840" w:firstLineChars="300"/>
        <w:rPr>
          <w:rFonts w:hint="eastAsia" w:ascii="仿宋_GB2312" w:hAnsi="Times New Roman" w:eastAsia="仿宋_GB2312" w:cs="Times New Roman"/>
          <w:color w:val="auto"/>
          <w:sz w:val="28"/>
          <w:highlight w:val="none"/>
        </w:rPr>
      </w:pPr>
      <w:r>
        <w:rPr>
          <w:rFonts w:hint="eastAsia" w:ascii="仿宋_GB2312" w:hAnsi="Times New Roman" w:eastAsia="仿宋_GB2312" w:cs="Times New Roman"/>
          <w:color w:val="auto"/>
          <w:sz w:val="28"/>
          <w:highlight w:val="none"/>
        </w:rPr>
        <w:t>联系人：</w:t>
      </w:r>
      <w:r>
        <w:rPr>
          <w:rFonts w:hint="eastAsia" w:ascii="仿宋_GB2312" w:hAnsi="Times New Roman" w:eastAsia="仿宋_GB2312" w:cs="Times New Roman"/>
          <w:color w:val="auto"/>
          <w:sz w:val="28"/>
          <w:highlight w:val="none"/>
          <w:u w:val="single"/>
        </w:rPr>
        <w:t xml:space="preserve">  </w:t>
      </w:r>
      <w:r>
        <w:rPr>
          <w:rFonts w:hint="eastAsia" w:ascii="仿宋_GB2312" w:eastAsia="仿宋_GB2312" w:cs="Times New Roman"/>
          <w:color w:val="auto"/>
          <w:sz w:val="28"/>
          <w:highlight w:val="none"/>
          <w:u w:val="single"/>
          <w:lang w:val="en-US" w:eastAsia="zh-CN"/>
        </w:rPr>
        <w:t>周栩生</w:t>
      </w:r>
      <w:r>
        <w:rPr>
          <w:rFonts w:hint="eastAsia" w:ascii="仿宋_GB2312" w:hAnsi="Times New Roman" w:eastAsia="仿宋_GB2312" w:cs="Times New Roman"/>
          <w:color w:val="auto"/>
          <w:sz w:val="28"/>
          <w:highlight w:val="none"/>
          <w:u w:val="single"/>
        </w:rPr>
        <w:t xml:space="preserve">  </w:t>
      </w:r>
    </w:p>
    <w:p w14:paraId="2940CCED">
      <w:pPr>
        <w:spacing w:line="560" w:lineRule="exact"/>
        <w:ind w:firstLine="840" w:firstLineChars="300"/>
        <w:rPr>
          <w:rFonts w:hint="default" w:ascii="仿宋_GB2312" w:hAnsi="Times New Roman" w:eastAsia="仿宋_GB2312" w:cs="Times New Roman"/>
          <w:color w:val="auto"/>
          <w:sz w:val="28"/>
          <w:highlight w:val="none"/>
          <w:u w:val="single"/>
          <w:lang w:val="en-US" w:eastAsia="zh-CN"/>
        </w:rPr>
      </w:pPr>
      <w:r>
        <w:rPr>
          <w:rFonts w:hint="eastAsia" w:ascii="仿宋_GB2312" w:hAnsi="Times New Roman" w:eastAsia="仿宋_GB2312" w:cs="Times New Roman"/>
          <w:color w:val="auto"/>
          <w:sz w:val="28"/>
          <w:highlight w:val="none"/>
        </w:rPr>
        <w:t>电  话：</w:t>
      </w:r>
      <w:r>
        <w:rPr>
          <w:rFonts w:hint="eastAsia" w:ascii="仿宋_GB2312" w:hAnsi="Times New Roman" w:eastAsia="仿宋_GB2312" w:cs="Times New Roman"/>
          <w:color w:val="auto"/>
          <w:sz w:val="28"/>
          <w:highlight w:val="none"/>
          <w:u w:val="single"/>
        </w:rPr>
        <w:t xml:space="preserve">  0575-87</w:t>
      </w:r>
      <w:r>
        <w:rPr>
          <w:rFonts w:hint="eastAsia" w:ascii="仿宋_GB2312" w:hAnsi="Times New Roman" w:eastAsia="仿宋_GB2312" w:cs="Times New Roman"/>
          <w:color w:val="auto"/>
          <w:sz w:val="28"/>
          <w:highlight w:val="none"/>
          <w:u w:val="single"/>
          <w:lang w:val="en-US" w:eastAsia="zh-CN"/>
        </w:rPr>
        <w:t>359618</w:t>
      </w:r>
      <w:r>
        <w:rPr>
          <w:rFonts w:hint="eastAsia" w:ascii="仿宋_GB2312" w:hAnsi="Times New Roman" w:eastAsia="仿宋_GB2312" w:cs="Times New Roman"/>
          <w:color w:val="auto"/>
          <w:sz w:val="28"/>
          <w:highlight w:val="none"/>
          <w:u w:val="single"/>
        </w:rPr>
        <w:t xml:space="preserve"> </w:t>
      </w:r>
      <w:r>
        <w:rPr>
          <w:rFonts w:hint="eastAsia" w:ascii="仿宋_GB2312" w:hAnsi="Times New Roman" w:eastAsia="仿宋_GB2312" w:cs="Times New Roman"/>
          <w:color w:val="auto"/>
          <w:sz w:val="28"/>
          <w:highlight w:val="none"/>
        </w:rPr>
        <w:t xml:space="preserve">   </w:t>
      </w:r>
      <w:r>
        <w:rPr>
          <w:rFonts w:hint="eastAsia" w:ascii="仿宋_GB2312" w:hAnsi="Times New Roman" w:eastAsia="仿宋_GB2312" w:cs="Times New Roman"/>
          <w:color w:val="auto"/>
          <w:sz w:val="28"/>
          <w:highlight w:val="none"/>
          <w:lang w:eastAsia="zh-CN"/>
        </w:rPr>
        <w:t>工作手机</w:t>
      </w:r>
      <w:r>
        <w:rPr>
          <w:rFonts w:hint="eastAsia" w:ascii="仿宋_GB2312" w:hAnsi="Times New Roman" w:eastAsia="仿宋_GB2312" w:cs="Times New Roman"/>
          <w:color w:val="auto"/>
          <w:sz w:val="28"/>
          <w:highlight w:val="none"/>
        </w:rPr>
        <w:t>：</w:t>
      </w:r>
      <w:r>
        <w:rPr>
          <w:rFonts w:hint="eastAsia" w:ascii="仿宋_GB2312" w:hAnsi="Times New Roman" w:eastAsia="仿宋_GB2312" w:cs="Times New Roman"/>
          <w:color w:val="auto"/>
          <w:sz w:val="28"/>
          <w:highlight w:val="none"/>
          <w:u w:val="single"/>
          <w:lang w:val="en-US" w:eastAsia="zh-CN"/>
        </w:rPr>
        <w:t xml:space="preserve"> </w:t>
      </w:r>
      <w:r>
        <w:rPr>
          <w:rFonts w:hint="eastAsia" w:ascii="仿宋_GB2312" w:eastAsia="仿宋_GB2312" w:cs="Times New Roman"/>
          <w:color w:val="auto"/>
          <w:sz w:val="28"/>
          <w:highlight w:val="none"/>
          <w:u w:val="single"/>
          <w:lang w:eastAsia="zh-CN"/>
        </w:rPr>
        <w:t>18967569981</w:t>
      </w:r>
      <w:r>
        <w:rPr>
          <w:rFonts w:hint="eastAsia" w:ascii="仿宋_GB2312" w:hAnsi="Times New Roman" w:eastAsia="仿宋_GB2312" w:cs="Times New Roman"/>
          <w:color w:val="auto"/>
          <w:sz w:val="28"/>
          <w:highlight w:val="none"/>
          <w:u w:val="single"/>
          <w:lang w:val="en-US" w:eastAsia="zh-CN"/>
        </w:rPr>
        <w:t xml:space="preserve"> </w:t>
      </w:r>
    </w:p>
    <w:p w14:paraId="75459791">
      <w:pPr>
        <w:spacing w:line="560" w:lineRule="exact"/>
        <w:ind w:firstLine="840" w:firstLineChars="300"/>
        <w:rPr>
          <w:rFonts w:hint="eastAsia" w:ascii="仿宋_GB2312" w:hAnsi="Times New Roman" w:eastAsia="仿宋_GB2312" w:cs="Times New Roman"/>
          <w:color w:val="auto"/>
          <w:sz w:val="28"/>
          <w:highlight w:val="none"/>
          <w:u w:val="single"/>
        </w:rPr>
      </w:pPr>
      <w:r>
        <w:rPr>
          <w:rFonts w:hint="eastAsia" w:ascii="仿宋_GB2312" w:hAnsi="Times New Roman" w:eastAsia="仿宋_GB2312" w:cs="Times New Roman"/>
          <w:color w:val="auto"/>
          <w:sz w:val="28"/>
          <w:highlight w:val="none"/>
        </w:rPr>
        <w:t>传  真：</w:t>
      </w:r>
      <w:r>
        <w:rPr>
          <w:rFonts w:hint="eastAsia" w:ascii="仿宋_GB2312" w:hAnsi="Times New Roman" w:eastAsia="仿宋_GB2312" w:cs="Times New Roman"/>
          <w:color w:val="auto"/>
          <w:sz w:val="28"/>
          <w:highlight w:val="none"/>
          <w:u w:val="single"/>
        </w:rPr>
        <w:t xml:space="preserve">        /       </w:t>
      </w:r>
    </w:p>
    <w:p w14:paraId="270C9154">
      <w:pPr>
        <w:spacing w:line="560" w:lineRule="exact"/>
        <w:ind w:firstLine="840" w:firstLineChars="300"/>
        <w:rPr>
          <w:rFonts w:hint="eastAsia" w:ascii="仿宋_GB2312" w:eastAsia="仿宋_GB2312"/>
          <w:color w:val="auto"/>
          <w:sz w:val="28"/>
          <w:highlight w:val="none"/>
        </w:rPr>
      </w:pPr>
    </w:p>
    <w:p w14:paraId="443CDEDF">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诸暨市店口镇</w:t>
      </w:r>
      <w:r>
        <w:rPr>
          <w:rFonts w:hint="eastAsia" w:ascii="仿宋_GB2312" w:eastAsia="仿宋_GB2312"/>
          <w:color w:val="auto"/>
          <w:sz w:val="28"/>
          <w:highlight w:val="none"/>
          <w:lang w:eastAsia="zh-CN"/>
        </w:rPr>
        <w:t>项目交易办公室</w:t>
      </w:r>
      <w:r>
        <w:rPr>
          <w:rFonts w:hint="eastAsia" w:ascii="仿宋_GB2312" w:eastAsia="仿宋_GB2312"/>
          <w:color w:val="auto"/>
          <w:sz w:val="28"/>
          <w:highlight w:val="none"/>
        </w:rPr>
        <w:t>备案审查意见：</w:t>
      </w:r>
    </w:p>
    <w:p w14:paraId="58B7A04C">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（盖章）</w:t>
      </w:r>
    </w:p>
    <w:p w14:paraId="22EB1984">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经办人：</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14:paraId="00EB8C4F">
      <w:pP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日  期：</w:t>
      </w:r>
      <w:r>
        <w:rPr>
          <w:rFonts w:hint="eastAsia" w:ascii="仿宋_GB2312" w:eastAsia="仿宋_GB2312"/>
          <w:color w:val="auto"/>
          <w:sz w:val="28"/>
          <w:highlight w:val="none"/>
          <w:u w:val="single"/>
        </w:rPr>
        <w:t>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w:t>
      </w:r>
      <w:r>
        <w:rPr>
          <w:rFonts w:hint="eastAsia" w:ascii="仿宋_GB2312" w:eastAsia="仿宋_GB2312"/>
          <w:color w:val="auto"/>
          <w:sz w:val="28"/>
          <w:highlight w:val="none"/>
        </w:rPr>
        <w:t>年</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月</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日</w:t>
      </w:r>
    </w:p>
    <w:p w14:paraId="0AAA7060">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14:paraId="664EBE56">
      <w:pPr>
        <w:numPr>
          <w:ilvl w:val="0"/>
          <w:numId w:val="1"/>
        </w:numPr>
        <w:spacing w:line="360" w:lineRule="auto"/>
        <w:jc w:val="center"/>
        <w:rPr>
          <w:rFonts w:hint="eastAsia" w:ascii="仿宋_GB2312" w:eastAsia="仿宋_GB2312"/>
          <w:color w:val="auto"/>
          <w:sz w:val="44"/>
          <w:highlight w:val="none"/>
        </w:rPr>
      </w:pPr>
      <w:r>
        <w:rPr>
          <w:rFonts w:hint="eastAsia" w:ascii="仿宋_GB2312" w:eastAsia="仿宋_GB2312"/>
          <w:color w:val="auto"/>
          <w:sz w:val="44"/>
          <w:highlight w:val="none"/>
        </w:rPr>
        <w:t xml:space="preserve"> 招标公告</w:t>
      </w:r>
    </w:p>
    <w:p w14:paraId="3E8F69C1">
      <w:pPr>
        <w:shd w:val="solid" w:color="FFFFFF" w:fill="auto"/>
        <w:autoSpaceDN w:val="0"/>
        <w:spacing w:line="400" w:lineRule="exact"/>
        <w:ind w:firstLine="600"/>
        <w:jc w:val="center"/>
        <w:rPr>
          <w:rFonts w:hint="eastAsia" w:ascii="仿宋_GB2312" w:eastAsia="仿宋_GB2312"/>
          <w:bCs/>
          <w:color w:val="auto"/>
          <w:sz w:val="24"/>
          <w:highlight w:val="none"/>
          <w:lang w:eastAsia="zh-CN"/>
        </w:rPr>
      </w:pPr>
      <w:r>
        <w:rPr>
          <w:rFonts w:hint="eastAsia" w:ascii="仿宋_GB2312" w:eastAsia="仿宋_GB2312"/>
          <w:bCs/>
          <w:color w:val="auto"/>
          <w:sz w:val="24"/>
          <w:highlight w:val="none"/>
          <w:lang w:eastAsia="zh-CN"/>
        </w:rPr>
        <w:t>（</w:t>
      </w:r>
      <w:r>
        <w:rPr>
          <w:rFonts w:hint="eastAsia" w:ascii="仿宋_GB2312" w:eastAsia="仿宋_GB2312"/>
          <w:bCs/>
          <w:color w:val="auto"/>
          <w:sz w:val="24"/>
          <w:highlight w:val="none"/>
          <w:lang w:val="en-US" w:eastAsia="zh-CN"/>
        </w:rPr>
        <w:t>编号：DZ2025-5</w:t>
      </w:r>
      <w:r>
        <w:rPr>
          <w:rFonts w:hint="eastAsia" w:ascii="仿宋_GB2312" w:eastAsia="仿宋_GB2312"/>
          <w:bCs/>
          <w:color w:val="auto"/>
          <w:sz w:val="24"/>
          <w:highlight w:val="none"/>
          <w:lang w:eastAsia="zh-CN"/>
        </w:rPr>
        <w:t>）</w:t>
      </w:r>
    </w:p>
    <w:p w14:paraId="3FFAA763">
      <w:pPr>
        <w:shd w:val="solid" w:color="FFFFFF" w:fill="auto"/>
        <w:autoSpaceDN w:val="0"/>
        <w:spacing w:line="240" w:lineRule="auto"/>
        <w:ind w:firstLine="600"/>
        <w:rPr>
          <w:rFonts w:hint="eastAsia" w:ascii="仿宋_GB2312" w:eastAsia="仿宋_GB2312"/>
          <w:bCs/>
          <w:color w:val="auto"/>
          <w:sz w:val="22"/>
          <w:szCs w:val="22"/>
          <w:highlight w:val="none"/>
        </w:rPr>
      </w:pPr>
      <w:r>
        <w:rPr>
          <w:rFonts w:hint="eastAsia" w:ascii="仿宋_GB2312" w:eastAsia="仿宋_GB2312"/>
          <w:bCs/>
          <w:color w:val="auto"/>
          <w:sz w:val="22"/>
          <w:szCs w:val="22"/>
          <w:highlight w:val="none"/>
        </w:rPr>
        <w:t>本次招标内容为</w:t>
      </w:r>
      <w:r>
        <w:rPr>
          <w:rFonts w:hint="eastAsia" w:ascii="仿宋_GB2312" w:eastAsia="仿宋_GB2312"/>
          <w:bCs/>
          <w:color w:val="auto"/>
          <w:sz w:val="22"/>
          <w:szCs w:val="22"/>
          <w:highlight w:val="none"/>
          <w:lang w:val="en-US" w:eastAsia="zh-CN"/>
        </w:rPr>
        <w:t>诸暨市</w:t>
      </w:r>
      <w:r>
        <w:rPr>
          <w:rFonts w:hint="eastAsia" w:ascii="仿宋_GB2312" w:eastAsia="仿宋_GB2312"/>
          <w:bCs/>
          <w:color w:val="auto"/>
          <w:sz w:val="22"/>
          <w:szCs w:val="22"/>
          <w:highlight w:val="none"/>
          <w:lang w:eastAsia="zh-CN"/>
        </w:rPr>
        <w:t>店口镇</w:t>
      </w:r>
      <w:r>
        <w:rPr>
          <w:rFonts w:hint="eastAsia" w:ascii="仿宋_GB2312" w:eastAsia="仿宋_GB2312"/>
          <w:bCs/>
          <w:color w:val="auto"/>
          <w:sz w:val="22"/>
          <w:szCs w:val="22"/>
          <w:highlight w:val="none"/>
        </w:rPr>
        <w:t>200万以下镇（村）级工程结算</w:t>
      </w:r>
      <w:r>
        <w:rPr>
          <w:rFonts w:hint="eastAsia" w:ascii="仿宋_GB2312" w:eastAsia="仿宋_GB2312"/>
          <w:bCs/>
          <w:color w:val="auto"/>
          <w:sz w:val="22"/>
          <w:szCs w:val="22"/>
          <w:highlight w:val="none"/>
          <w:lang w:eastAsia="zh-CN"/>
        </w:rPr>
        <w:t>审核</w:t>
      </w:r>
      <w:r>
        <w:rPr>
          <w:rFonts w:hint="eastAsia" w:ascii="仿宋_GB2312" w:eastAsia="仿宋_GB2312"/>
          <w:bCs/>
          <w:color w:val="auto"/>
          <w:sz w:val="22"/>
          <w:szCs w:val="22"/>
          <w:highlight w:val="none"/>
        </w:rPr>
        <w:t>机构招标，</w:t>
      </w:r>
      <w:r>
        <w:rPr>
          <w:rFonts w:hint="eastAsia" w:ascii="仿宋_GB2312" w:eastAsia="仿宋_GB2312"/>
          <w:color w:val="auto"/>
          <w:sz w:val="22"/>
          <w:szCs w:val="22"/>
          <w:highlight w:val="none"/>
        </w:rPr>
        <w:t>现根据有关规定，公开招标符合条件的</w:t>
      </w:r>
      <w:r>
        <w:rPr>
          <w:rFonts w:hint="eastAsia" w:ascii="仿宋_GB2312" w:eastAsia="仿宋_GB2312"/>
          <w:color w:val="auto"/>
          <w:sz w:val="22"/>
          <w:szCs w:val="22"/>
          <w:highlight w:val="none"/>
          <w:lang w:eastAsia="zh-CN"/>
        </w:rPr>
        <w:t>审核</w:t>
      </w:r>
      <w:r>
        <w:rPr>
          <w:rFonts w:hint="eastAsia" w:ascii="仿宋_GB2312" w:eastAsia="仿宋_GB2312"/>
          <w:color w:val="auto"/>
          <w:sz w:val="22"/>
          <w:szCs w:val="22"/>
          <w:highlight w:val="none"/>
        </w:rPr>
        <w:t>机构，为</w:t>
      </w:r>
      <w:r>
        <w:rPr>
          <w:rFonts w:hint="eastAsia" w:ascii="仿宋_GB2312" w:eastAsia="仿宋_GB2312"/>
          <w:color w:val="auto"/>
          <w:sz w:val="22"/>
          <w:szCs w:val="22"/>
          <w:highlight w:val="none"/>
          <w:lang w:val="en-US" w:eastAsia="zh-CN"/>
        </w:rPr>
        <w:t>2025-2027年度</w:t>
      </w:r>
      <w:r>
        <w:rPr>
          <w:rFonts w:hint="eastAsia" w:ascii="仿宋_GB2312" w:eastAsia="仿宋_GB2312"/>
          <w:bCs/>
          <w:color w:val="auto"/>
          <w:sz w:val="22"/>
          <w:szCs w:val="22"/>
          <w:highlight w:val="none"/>
        </w:rPr>
        <w:t>200万以下镇（村）级工程</w:t>
      </w:r>
      <w:r>
        <w:rPr>
          <w:rFonts w:hint="eastAsia" w:ascii="仿宋_GB2312" w:eastAsia="仿宋_GB2312"/>
          <w:color w:val="auto"/>
          <w:sz w:val="22"/>
          <w:szCs w:val="22"/>
          <w:highlight w:val="none"/>
        </w:rPr>
        <w:t>建设项目提供</w:t>
      </w:r>
      <w:r>
        <w:rPr>
          <w:rFonts w:hint="eastAsia" w:ascii="仿宋_GB2312" w:eastAsia="仿宋_GB2312"/>
          <w:bCs/>
          <w:color w:val="auto"/>
          <w:sz w:val="22"/>
          <w:szCs w:val="22"/>
          <w:highlight w:val="none"/>
        </w:rPr>
        <w:t>结算</w:t>
      </w:r>
      <w:r>
        <w:rPr>
          <w:rFonts w:hint="eastAsia" w:ascii="仿宋_GB2312" w:eastAsia="仿宋_GB2312"/>
          <w:bCs/>
          <w:color w:val="auto"/>
          <w:sz w:val="22"/>
          <w:szCs w:val="22"/>
          <w:highlight w:val="none"/>
          <w:lang w:eastAsia="zh-CN"/>
        </w:rPr>
        <w:t>审核</w:t>
      </w:r>
      <w:r>
        <w:rPr>
          <w:rFonts w:hint="eastAsia" w:ascii="仿宋_GB2312" w:eastAsia="仿宋_GB2312"/>
          <w:color w:val="auto"/>
          <w:sz w:val="22"/>
          <w:szCs w:val="22"/>
          <w:highlight w:val="none"/>
        </w:rPr>
        <w:t>。现将具体事项公告如下：</w:t>
      </w:r>
    </w:p>
    <w:p w14:paraId="71AF5948">
      <w:pPr>
        <w:spacing w:line="240" w:lineRule="auto"/>
        <w:ind w:firstLine="532" w:firstLineChars="242"/>
        <w:rPr>
          <w:rFonts w:hint="eastAsia" w:ascii="仿宋_GB2312" w:eastAsia="仿宋_GB2312"/>
          <w:color w:val="auto"/>
          <w:sz w:val="22"/>
          <w:szCs w:val="22"/>
          <w:highlight w:val="none"/>
          <w:lang w:eastAsia="zh-CN"/>
        </w:rPr>
      </w:pPr>
      <w:r>
        <w:rPr>
          <w:rFonts w:hint="eastAsia" w:ascii="仿宋_GB2312" w:eastAsia="仿宋_GB2312"/>
          <w:color w:val="auto"/>
          <w:sz w:val="22"/>
          <w:szCs w:val="22"/>
          <w:highlight w:val="none"/>
        </w:rPr>
        <w:t>1、招标人：</w:t>
      </w:r>
      <w:r>
        <w:rPr>
          <w:rFonts w:hint="eastAsia" w:ascii="仿宋_GB2312" w:eastAsia="仿宋_GB2312"/>
          <w:color w:val="auto"/>
          <w:sz w:val="22"/>
          <w:szCs w:val="22"/>
          <w:highlight w:val="none"/>
          <w:lang w:eastAsia="zh-CN"/>
        </w:rPr>
        <w:t>诸暨市店口镇人民政府</w:t>
      </w:r>
    </w:p>
    <w:p w14:paraId="632B1724">
      <w:pPr>
        <w:pStyle w:val="3"/>
        <w:spacing w:line="240" w:lineRule="auto"/>
        <w:ind w:firstLine="550" w:firstLineChars="250"/>
        <w:rPr>
          <w:rFonts w:hint="eastAsia" w:ascii="仿宋_GB2312" w:eastAsia="仿宋_GB2312"/>
          <w:color w:val="auto"/>
          <w:kern w:val="2"/>
          <w:position w:val="0"/>
          <w:sz w:val="22"/>
          <w:szCs w:val="22"/>
          <w:highlight w:val="none"/>
        </w:rPr>
      </w:pPr>
      <w:r>
        <w:rPr>
          <w:rFonts w:hint="eastAsia" w:ascii="仿宋_GB2312" w:eastAsia="仿宋_GB2312"/>
          <w:color w:val="auto"/>
          <w:kern w:val="2"/>
          <w:position w:val="0"/>
          <w:sz w:val="22"/>
          <w:szCs w:val="22"/>
          <w:highlight w:val="none"/>
        </w:rPr>
        <w:t>2、项目名称：</w:t>
      </w:r>
      <w:r>
        <w:rPr>
          <w:rFonts w:hint="eastAsia" w:ascii="仿宋_GB2312" w:eastAsia="仿宋_GB2312"/>
          <w:color w:val="auto"/>
          <w:kern w:val="2"/>
          <w:position w:val="0"/>
          <w:sz w:val="22"/>
          <w:szCs w:val="22"/>
          <w:highlight w:val="none"/>
          <w:lang w:val="en-US" w:eastAsia="zh-CN"/>
        </w:rPr>
        <w:t>诸暨市店口镇2025-2027年度200万以下镇（村）级工程结算审核机构项目</w:t>
      </w:r>
    </w:p>
    <w:p w14:paraId="45623839">
      <w:pPr>
        <w:spacing w:line="240" w:lineRule="auto"/>
        <w:ind w:firstLine="550" w:firstLineChars="25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3、招标范围：</w:t>
      </w:r>
      <w:r>
        <w:rPr>
          <w:rFonts w:hint="eastAsia" w:ascii="仿宋_GB2312" w:eastAsia="仿宋_GB2312"/>
          <w:color w:val="auto"/>
          <w:sz w:val="22"/>
          <w:szCs w:val="22"/>
          <w:highlight w:val="none"/>
          <w:lang w:eastAsia="zh-CN"/>
        </w:rPr>
        <w:t>2025-2027年度内店口镇200万以下镇（村）级工程结算审核工作</w:t>
      </w:r>
    </w:p>
    <w:p w14:paraId="45A886D2">
      <w:pPr>
        <w:spacing w:line="240" w:lineRule="auto"/>
        <w:ind w:firstLine="540"/>
        <w:rPr>
          <w:rFonts w:hint="eastAsia" w:ascii="仿宋_GB2312" w:eastAsia="仿宋_GB2312"/>
          <w:b/>
          <w:bCs/>
          <w:color w:val="auto"/>
          <w:sz w:val="22"/>
          <w:szCs w:val="22"/>
          <w:highlight w:val="none"/>
          <w:lang w:eastAsia="zh-CN"/>
        </w:rPr>
      </w:pPr>
      <w:r>
        <w:rPr>
          <w:rFonts w:hint="eastAsia" w:ascii="仿宋_GB2312" w:eastAsia="仿宋_GB2312"/>
          <w:color w:val="auto"/>
          <w:sz w:val="22"/>
          <w:szCs w:val="22"/>
          <w:highlight w:val="none"/>
        </w:rPr>
        <w:t>4、</w:t>
      </w:r>
      <w:r>
        <w:rPr>
          <w:rFonts w:hint="eastAsia" w:ascii="仿宋_GB2312" w:eastAsia="仿宋_GB2312"/>
          <w:color w:val="auto"/>
          <w:sz w:val="22"/>
          <w:szCs w:val="22"/>
          <w:highlight w:val="none"/>
          <w:lang w:eastAsia="zh-CN"/>
        </w:rPr>
        <w:t>服务期限</w:t>
      </w:r>
      <w:r>
        <w:rPr>
          <w:rFonts w:hint="eastAsia" w:ascii="仿宋_GB2312" w:eastAsia="仿宋_GB2312"/>
          <w:color w:val="auto"/>
          <w:sz w:val="22"/>
          <w:szCs w:val="22"/>
          <w:highlight w:val="none"/>
        </w:rPr>
        <w:t>：</w:t>
      </w:r>
      <w:r>
        <w:rPr>
          <w:rFonts w:hint="eastAsia" w:ascii="仿宋_GB2312" w:eastAsia="仿宋_GB2312"/>
          <w:b/>
          <w:bCs/>
          <w:color w:val="auto"/>
          <w:sz w:val="22"/>
          <w:szCs w:val="22"/>
          <w:highlight w:val="none"/>
          <w:lang w:eastAsia="zh-CN"/>
        </w:rPr>
        <w:t>合同签订之日起</w:t>
      </w:r>
      <w:r>
        <w:rPr>
          <w:rFonts w:hint="eastAsia" w:ascii="仿宋_GB2312" w:eastAsia="仿宋_GB2312"/>
          <w:b/>
          <w:bCs/>
          <w:color w:val="auto"/>
          <w:sz w:val="22"/>
          <w:szCs w:val="22"/>
          <w:highlight w:val="none"/>
          <w:lang w:val="en-US" w:eastAsia="zh-CN"/>
        </w:rPr>
        <w:t>两</w:t>
      </w:r>
      <w:r>
        <w:rPr>
          <w:rFonts w:hint="eastAsia" w:ascii="仿宋_GB2312" w:eastAsia="仿宋_GB2312"/>
          <w:b/>
          <w:bCs/>
          <w:color w:val="auto"/>
          <w:sz w:val="22"/>
          <w:szCs w:val="22"/>
          <w:highlight w:val="none"/>
          <w:lang w:eastAsia="zh-CN"/>
        </w:rPr>
        <w:t>年</w:t>
      </w:r>
      <w:r>
        <w:rPr>
          <w:rFonts w:hint="eastAsia" w:ascii="仿宋_GB2312" w:eastAsia="仿宋_GB2312"/>
          <w:b/>
          <w:bCs/>
          <w:color w:val="auto"/>
          <w:sz w:val="22"/>
          <w:szCs w:val="22"/>
          <w:highlight w:val="none"/>
          <w:lang w:eastAsia="zh-CN"/>
        </w:rPr>
        <w:t xml:space="preserve">。 </w:t>
      </w:r>
    </w:p>
    <w:p w14:paraId="4B3A76EB">
      <w:pPr>
        <w:spacing w:line="240" w:lineRule="auto"/>
        <w:ind w:firstLine="54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 xml:space="preserve">5、招标方式：公开招标 </w:t>
      </w:r>
    </w:p>
    <w:p w14:paraId="49ABEDA9">
      <w:pPr>
        <w:spacing w:line="240" w:lineRule="auto"/>
        <w:ind w:firstLine="54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6、信息发布时间：202</w:t>
      </w:r>
      <w:r>
        <w:rPr>
          <w:rFonts w:hint="eastAsia" w:ascii="仿宋_GB2312" w:eastAsia="仿宋_GB2312"/>
          <w:color w:val="auto"/>
          <w:sz w:val="22"/>
          <w:szCs w:val="22"/>
          <w:highlight w:val="none"/>
          <w:lang w:val="en-US" w:eastAsia="zh-CN"/>
        </w:rPr>
        <w:t>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20</w:t>
      </w:r>
      <w:r>
        <w:rPr>
          <w:rFonts w:hint="eastAsia" w:ascii="仿宋_GB2312" w:eastAsia="仿宋_GB2312"/>
          <w:color w:val="auto"/>
          <w:sz w:val="22"/>
          <w:szCs w:val="22"/>
          <w:highlight w:val="none"/>
        </w:rPr>
        <w:t>日8:30——202</w:t>
      </w:r>
      <w:r>
        <w:rPr>
          <w:rFonts w:hint="eastAsia" w:ascii="仿宋_GB2312" w:eastAsia="仿宋_GB2312"/>
          <w:color w:val="auto"/>
          <w:sz w:val="22"/>
          <w:szCs w:val="22"/>
          <w:highlight w:val="none"/>
          <w:lang w:val="en-US" w:eastAsia="zh-CN"/>
        </w:rPr>
        <w:t>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25</w:t>
      </w:r>
      <w:r>
        <w:rPr>
          <w:rFonts w:hint="eastAsia" w:ascii="仿宋_GB2312" w:eastAsia="仿宋_GB2312"/>
          <w:color w:val="auto"/>
          <w:sz w:val="22"/>
          <w:szCs w:val="22"/>
          <w:highlight w:val="none"/>
        </w:rPr>
        <w:t>日17:00止</w:t>
      </w:r>
    </w:p>
    <w:p w14:paraId="6488078C">
      <w:pPr>
        <w:spacing w:line="240" w:lineRule="auto"/>
        <w:ind w:firstLine="505" w:firstLineChars="230"/>
        <w:rPr>
          <w:rFonts w:hint="default" w:ascii="Calibri" w:hAnsi="Calibri" w:eastAsia="仿宋_GB2312" w:cs="Calibri"/>
          <w:color w:val="auto"/>
          <w:sz w:val="22"/>
          <w:szCs w:val="22"/>
          <w:highlight w:val="none"/>
          <w:lang w:val="en-US" w:eastAsia="zh-CN"/>
        </w:rPr>
      </w:pPr>
      <w:r>
        <w:rPr>
          <w:rFonts w:hint="eastAsia" w:ascii="仿宋_GB2312" w:eastAsia="仿宋_GB2312"/>
          <w:color w:val="auto"/>
          <w:sz w:val="22"/>
          <w:szCs w:val="22"/>
          <w:highlight w:val="none"/>
          <w:lang w:val="en-US" w:eastAsia="zh-CN"/>
        </w:rPr>
        <w:t>7、投标单位资格要求：</w:t>
      </w:r>
      <w:r>
        <w:rPr>
          <w:rFonts w:hint="default" w:ascii="Calibri" w:hAnsi="Calibri" w:eastAsia="仿宋_GB2312" w:cs="Calibri"/>
          <w:color w:val="auto"/>
          <w:sz w:val="22"/>
          <w:szCs w:val="22"/>
          <w:highlight w:val="none"/>
          <w:lang w:val="en-US" w:eastAsia="zh-CN"/>
        </w:rPr>
        <w:t>①</w:t>
      </w:r>
      <w:r>
        <w:rPr>
          <w:rFonts w:hint="eastAsia" w:ascii="仿宋_GB2312" w:eastAsia="仿宋_GB2312"/>
          <w:color w:val="auto"/>
          <w:sz w:val="22"/>
          <w:szCs w:val="22"/>
          <w:highlight w:val="none"/>
          <w:lang w:val="en-US" w:eastAsia="zh-CN"/>
        </w:rPr>
        <w:t>所持有的有效营业执照须包含工程造价咨询经营范围；</w:t>
      </w:r>
    </w:p>
    <w:p w14:paraId="676372AA">
      <w:pPr>
        <w:spacing w:line="240" w:lineRule="auto"/>
        <w:ind w:firstLine="505" w:firstLineChars="230"/>
        <w:rPr>
          <w:rFonts w:hint="eastAsia" w:ascii="仿宋_GB2312" w:eastAsia="仿宋_GB2312"/>
          <w:b w:val="0"/>
          <w:bCs w:val="0"/>
          <w:color w:val="auto"/>
          <w:sz w:val="22"/>
          <w:szCs w:val="22"/>
          <w:highlight w:val="none"/>
          <w:lang w:val="en-US" w:eastAsia="zh-CN"/>
        </w:rPr>
      </w:pPr>
      <w:r>
        <w:rPr>
          <w:rFonts w:hint="default" w:ascii="Calibri" w:hAnsi="Calibri" w:eastAsia="仿宋_GB2312" w:cs="Calibri"/>
          <w:b w:val="0"/>
          <w:bCs w:val="0"/>
          <w:color w:val="auto"/>
          <w:sz w:val="22"/>
          <w:szCs w:val="22"/>
          <w:highlight w:val="none"/>
          <w:lang w:val="en-US" w:eastAsia="zh-CN"/>
        </w:rPr>
        <w:t>②投标人拟派</w:t>
      </w:r>
      <w:r>
        <w:rPr>
          <w:rFonts w:hint="eastAsia" w:ascii="Calibri" w:hAnsi="Calibri" w:eastAsia="仿宋_GB2312" w:cs="Calibri"/>
          <w:b w:val="0"/>
          <w:bCs w:val="0"/>
          <w:color w:val="auto"/>
          <w:sz w:val="22"/>
          <w:szCs w:val="22"/>
          <w:highlight w:val="none"/>
          <w:lang w:val="en-US" w:eastAsia="zh-CN"/>
        </w:rPr>
        <w:t>人员具有</w:t>
      </w:r>
      <w:r>
        <w:rPr>
          <w:rFonts w:hint="default" w:ascii="Calibri" w:hAnsi="Calibri" w:eastAsia="仿宋_GB2312" w:cs="Calibri"/>
          <w:b w:val="0"/>
          <w:bCs w:val="0"/>
          <w:color w:val="auto"/>
          <w:sz w:val="22"/>
          <w:szCs w:val="22"/>
          <w:highlight w:val="none"/>
          <w:lang w:val="en-US" w:eastAsia="zh-CN"/>
        </w:rPr>
        <w:t>建筑、安装、水利、交通运输</w:t>
      </w:r>
      <w:r>
        <w:rPr>
          <w:rFonts w:hint="eastAsia" w:ascii="Calibri" w:hAnsi="Calibri" w:eastAsia="仿宋_GB2312" w:cs="Calibri"/>
          <w:b w:val="0"/>
          <w:bCs w:val="0"/>
          <w:color w:val="auto"/>
          <w:sz w:val="22"/>
          <w:szCs w:val="22"/>
          <w:highlight w:val="none"/>
          <w:lang w:val="en-US" w:eastAsia="zh-CN"/>
        </w:rPr>
        <w:t>专业</w:t>
      </w:r>
      <w:r>
        <w:rPr>
          <w:rFonts w:hint="default" w:ascii="Calibri" w:hAnsi="Calibri" w:eastAsia="仿宋_GB2312" w:cs="Calibri"/>
          <w:b w:val="0"/>
          <w:bCs w:val="0"/>
          <w:color w:val="auto"/>
          <w:sz w:val="22"/>
          <w:szCs w:val="22"/>
          <w:highlight w:val="none"/>
          <w:lang w:val="en-US" w:eastAsia="zh-CN"/>
        </w:rPr>
        <w:t>一级造价工程师执业资格</w:t>
      </w:r>
      <w:r>
        <w:rPr>
          <w:rFonts w:hint="eastAsia" w:ascii="Calibri" w:hAnsi="Calibri" w:eastAsia="仿宋_GB2312" w:cs="Calibri"/>
          <w:b w:val="0"/>
          <w:bCs w:val="0"/>
          <w:color w:val="auto"/>
          <w:sz w:val="22"/>
          <w:szCs w:val="22"/>
          <w:highlight w:val="none"/>
          <w:lang w:val="en-US" w:eastAsia="zh-CN"/>
        </w:rPr>
        <w:t>（可为同一人或各一名）</w:t>
      </w:r>
      <w:r>
        <w:rPr>
          <w:rFonts w:hint="default" w:ascii="Calibri" w:hAnsi="Calibri" w:eastAsia="仿宋_GB2312" w:cs="Calibri"/>
          <w:b w:val="0"/>
          <w:bCs w:val="0"/>
          <w:color w:val="auto"/>
          <w:sz w:val="22"/>
          <w:szCs w:val="22"/>
          <w:highlight w:val="none"/>
          <w:lang w:val="en-US" w:eastAsia="zh-CN"/>
        </w:rPr>
        <w:t>；</w:t>
      </w:r>
      <w:r>
        <w:rPr>
          <w:rFonts w:hint="eastAsia" w:ascii="Calibri" w:hAnsi="Calibri" w:eastAsia="仿宋_GB2312" w:cs="Calibri"/>
          <w:b w:val="0"/>
          <w:bCs w:val="0"/>
          <w:color w:val="auto"/>
          <w:sz w:val="22"/>
          <w:szCs w:val="22"/>
          <w:highlight w:val="none"/>
          <w:lang w:val="en-US" w:eastAsia="zh-CN"/>
        </w:rPr>
        <w:t>其他拟派</w:t>
      </w:r>
      <w:r>
        <w:rPr>
          <w:rFonts w:hint="default" w:ascii="Calibri" w:hAnsi="Calibri" w:eastAsia="仿宋_GB2312" w:cs="Calibri"/>
          <w:b w:val="0"/>
          <w:bCs w:val="0"/>
          <w:color w:val="auto"/>
          <w:sz w:val="22"/>
          <w:szCs w:val="22"/>
          <w:highlight w:val="none"/>
          <w:lang w:val="en-US" w:eastAsia="zh-CN"/>
        </w:rPr>
        <w:t>人员（除</w:t>
      </w:r>
      <w:r>
        <w:rPr>
          <w:rFonts w:hint="eastAsia" w:ascii="Calibri" w:hAnsi="Calibri" w:eastAsia="仿宋_GB2312" w:cs="Calibri"/>
          <w:b w:val="0"/>
          <w:bCs w:val="0"/>
          <w:color w:val="auto"/>
          <w:sz w:val="22"/>
          <w:szCs w:val="22"/>
          <w:highlight w:val="none"/>
          <w:lang w:val="en-US" w:eastAsia="zh-CN"/>
        </w:rPr>
        <w:t>上述</w:t>
      </w:r>
      <w:r>
        <w:rPr>
          <w:rFonts w:hint="default" w:ascii="Calibri" w:hAnsi="Calibri" w:eastAsia="仿宋_GB2312" w:cs="Calibri"/>
          <w:b w:val="0"/>
          <w:bCs w:val="0"/>
          <w:color w:val="auto"/>
          <w:sz w:val="22"/>
          <w:szCs w:val="22"/>
          <w:highlight w:val="none"/>
          <w:lang w:val="en-US" w:eastAsia="zh-CN"/>
        </w:rPr>
        <w:t>拟派人员外）具有造价工程师资格总人数不少于2人</w:t>
      </w:r>
      <w:r>
        <w:rPr>
          <w:rFonts w:hint="eastAsia" w:ascii="Calibri" w:hAnsi="Calibri" w:eastAsia="仿宋_GB2312" w:cs="Calibri"/>
          <w:b w:val="0"/>
          <w:bCs w:val="0"/>
          <w:color w:val="auto"/>
          <w:sz w:val="22"/>
          <w:szCs w:val="22"/>
          <w:highlight w:val="none"/>
          <w:lang w:val="en-US" w:eastAsia="zh-CN"/>
        </w:rPr>
        <w:t>，并且</w:t>
      </w:r>
      <w:r>
        <w:rPr>
          <w:rFonts w:hint="default" w:ascii="Calibri" w:hAnsi="Calibri" w:eastAsia="仿宋_GB2312" w:cs="Calibri"/>
          <w:b w:val="0"/>
          <w:bCs w:val="0"/>
          <w:color w:val="auto"/>
          <w:sz w:val="22"/>
          <w:szCs w:val="22"/>
          <w:highlight w:val="none"/>
          <w:lang w:val="en-US" w:eastAsia="zh-CN"/>
        </w:rPr>
        <w:t>须具有任意两个造价执业资格专业（</w:t>
      </w:r>
      <w:r>
        <w:rPr>
          <w:rFonts w:hint="eastAsia" w:ascii="Calibri" w:hAnsi="Calibri" w:eastAsia="仿宋_GB2312" w:cs="Calibri"/>
          <w:b w:val="0"/>
          <w:bCs w:val="0"/>
          <w:color w:val="auto"/>
          <w:sz w:val="22"/>
          <w:szCs w:val="22"/>
          <w:highlight w:val="none"/>
          <w:lang w:val="en-US" w:eastAsia="zh-CN"/>
        </w:rPr>
        <w:t>建筑</w:t>
      </w:r>
      <w:r>
        <w:rPr>
          <w:rFonts w:hint="default" w:ascii="Calibri" w:hAnsi="Calibri" w:eastAsia="仿宋_GB2312" w:cs="Calibri"/>
          <w:b w:val="0"/>
          <w:bCs w:val="0"/>
          <w:color w:val="auto"/>
          <w:sz w:val="22"/>
          <w:szCs w:val="22"/>
          <w:highlight w:val="none"/>
          <w:lang w:val="en-US" w:eastAsia="zh-CN"/>
        </w:rPr>
        <w:t>、安装、交通运输、水利等）。</w:t>
      </w:r>
    </w:p>
    <w:p w14:paraId="6DA7719F">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仿宋_GB2312" w:eastAsia="仿宋_GB2312"/>
          <w:b w:val="0"/>
          <w:bCs w:val="0"/>
          <w:color w:val="auto"/>
          <w:sz w:val="22"/>
          <w:szCs w:val="22"/>
          <w:highlight w:val="none"/>
          <w:lang w:val="en-US" w:eastAsia="zh-CN"/>
        </w:rPr>
      </w:pPr>
      <w:r>
        <w:rPr>
          <w:rFonts w:hint="eastAsia" w:ascii="仿宋_GB2312" w:eastAsia="仿宋_GB2312"/>
          <w:b w:val="0"/>
          <w:bCs w:val="0"/>
          <w:color w:val="auto"/>
          <w:sz w:val="22"/>
          <w:szCs w:val="22"/>
          <w:highlight w:val="none"/>
          <w:lang w:val="en-US" w:eastAsia="zh-CN"/>
        </w:rPr>
        <w:t>注：（1）一级造价工程师（建筑、安装、水利）提供注册证书。</w:t>
      </w:r>
      <w:r>
        <w:rPr>
          <w:rFonts w:hint="eastAsia" w:ascii="仿宋_GB2312" w:eastAsia="仿宋_GB2312"/>
          <w:b w:val="0"/>
          <w:bCs w:val="0"/>
          <w:color w:val="auto"/>
          <w:sz w:val="22"/>
          <w:szCs w:val="22"/>
          <w:highlight w:val="none"/>
          <w:lang w:val="en-US" w:eastAsia="zh-CN"/>
        </w:rPr>
        <w:t>一级造价工程师（交通运输）提供资格证书或注册证书</w:t>
      </w:r>
      <w:r>
        <w:rPr>
          <w:rFonts w:hint="eastAsia" w:ascii="仿宋_GB2312" w:eastAsia="仿宋_GB2312"/>
          <w:b w:val="0"/>
          <w:bCs w:val="0"/>
          <w:color w:val="auto"/>
          <w:sz w:val="22"/>
          <w:szCs w:val="22"/>
          <w:highlight w:val="none"/>
          <w:lang w:val="en-US" w:eastAsia="zh-CN"/>
        </w:rPr>
        <w:t>。</w:t>
      </w:r>
    </w:p>
    <w:p w14:paraId="1BF76ED1">
      <w:pPr>
        <w:keepNext w:val="0"/>
        <w:keepLines w:val="0"/>
        <w:pageBreakBefore w:val="0"/>
        <w:widowControl w:val="0"/>
        <w:kinsoku/>
        <w:wordWrap/>
        <w:overflowPunct/>
        <w:topLinePunct w:val="0"/>
        <w:autoSpaceDE/>
        <w:autoSpaceDN/>
        <w:bidi w:val="0"/>
        <w:adjustRightInd/>
        <w:snapToGrid/>
        <w:spacing w:line="240" w:lineRule="auto"/>
        <w:ind w:firstLine="880" w:firstLineChars="400"/>
        <w:textAlignment w:val="auto"/>
        <w:rPr>
          <w:rFonts w:hint="eastAsia" w:ascii="仿宋_GB2312" w:eastAsia="仿宋_GB2312"/>
          <w:b w:val="0"/>
          <w:bCs w:val="0"/>
          <w:color w:val="auto"/>
          <w:sz w:val="22"/>
          <w:szCs w:val="22"/>
          <w:highlight w:val="none"/>
          <w:lang w:val="en-US" w:eastAsia="zh-CN"/>
        </w:rPr>
      </w:pPr>
      <w:r>
        <w:rPr>
          <w:rFonts w:hint="eastAsia" w:ascii="仿宋_GB2312" w:eastAsia="仿宋_GB2312"/>
          <w:b w:val="0"/>
          <w:bCs w:val="0"/>
          <w:color w:val="auto"/>
          <w:sz w:val="22"/>
          <w:szCs w:val="22"/>
          <w:highlight w:val="none"/>
          <w:lang w:val="en-US" w:eastAsia="zh-CN"/>
        </w:rPr>
        <w:t>(2)二级造价工程师（建筑、安装、水利）提供注册证书。</w:t>
      </w:r>
      <w:r>
        <w:rPr>
          <w:rFonts w:hint="eastAsia" w:ascii="仿宋_GB2312" w:eastAsia="仿宋_GB2312"/>
          <w:b w:val="0"/>
          <w:bCs w:val="0"/>
          <w:color w:val="auto"/>
          <w:sz w:val="22"/>
          <w:szCs w:val="22"/>
          <w:highlight w:val="none"/>
          <w:lang w:val="en-US" w:eastAsia="zh-CN"/>
        </w:rPr>
        <w:t>二级造价工程师（交通运输）</w:t>
      </w:r>
      <w:r>
        <w:rPr>
          <w:rFonts w:hint="eastAsia" w:ascii="仿宋_GB2312" w:eastAsia="仿宋_GB2312"/>
          <w:b w:val="0"/>
          <w:bCs w:val="0"/>
          <w:color w:val="auto"/>
          <w:sz w:val="22"/>
          <w:szCs w:val="22"/>
          <w:highlight w:val="none"/>
          <w:lang w:val="en-US" w:eastAsia="zh-CN"/>
        </w:rPr>
        <w:t>提供职业资格考试成绩合格证明及在全国公路造价人员注册管理系统上的资格证书编号和职业证章号。</w:t>
      </w:r>
    </w:p>
    <w:p w14:paraId="4A3ED974">
      <w:pPr>
        <w:keepNext w:val="0"/>
        <w:keepLines w:val="0"/>
        <w:pageBreakBefore w:val="0"/>
        <w:widowControl w:val="0"/>
        <w:kinsoku/>
        <w:wordWrap/>
        <w:overflowPunct/>
        <w:topLinePunct w:val="0"/>
        <w:autoSpaceDE/>
        <w:autoSpaceDN/>
        <w:bidi w:val="0"/>
        <w:adjustRightInd/>
        <w:snapToGrid/>
        <w:spacing w:line="240" w:lineRule="auto"/>
        <w:ind w:firstLine="880" w:firstLineChars="400"/>
        <w:textAlignment w:val="auto"/>
        <w:rPr>
          <w:rFonts w:hint="eastAsia" w:ascii="仿宋_GB2312" w:eastAsia="仿宋_GB2312"/>
          <w:b w:val="0"/>
          <w:bCs w:val="0"/>
          <w:color w:val="auto"/>
          <w:sz w:val="22"/>
          <w:szCs w:val="22"/>
          <w:highlight w:val="none"/>
          <w:lang w:val="en-US" w:eastAsia="zh-CN"/>
        </w:rPr>
      </w:pPr>
      <w:r>
        <w:rPr>
          <w:rFonts w:hint="eastAsia" w:ascii="仿宋_GB2312" w:eastAsia="仿宋_GB2312"/>
          <w:b w:val="0"/>
          <w:bCs w:val="0"/>
          <w:color w:val="auto"/>
          <w:sz w:val="22"/>
          <w:szCs w:val="22"/>
          <w:highlight w:val="none"/>
          <w:lang w:val="en-US" w:eastAsia="zh-CN"/>
        </w:rPr>
        <w:t>(3)原注册造价师中公路和水运造价工程师等级为甲级的视为一级造价工程师（交通运输）专业。</w:t>
      </w:r>
    </w:p>
    <w:p w14:paraId="5D917B60">
      <w:pPr>
        <w:keepNext w:val="0"/>
        <w:keepLines w:val="0"/>
        <w:pageBreakBefore w:val="0"/>
        <w:widowControl w:val="0"/>
        <w:kinsoku/>
        <w:wordWrap/>
        <w:overflowPunct/>
        <w:topLinePunct w:val="0"/>
        <w:autoSpaceDE/>
        <w:autoSpaceDN/>
        <w:bidi w:val="0"/>
        <w:adjustRightInd/>
        <w:snapToGrid/>
        <w:spacing w:line="240" w:lineRule="auto"/>
        <w:ind w:firstLine="880" w:firstLineChars="400"/>
        <w:textAlignment w:val="auto"/>
        <w:rPr>
          <w:rFonts w:hint="default" w:ascii="仿宋_GB2312" w:eastAsia="仿宋_GB2312"/>
          <w:b w:val="0"/>
          <w:bCs w:val="0"/>
          <w:color w:val="auto"/>
          <w:sz w:val="22"/>
          <w:szCs w:val="22"/>
          <w:highlight w:val="none"/>
          <w:lang w:val="en-US" w:eastAsia="zh-CN"/>
        </w:rPr>
      </w:pPr>
      <w:r>
        <w:rPr>
          <w:rFonts w:hint="eastAsia" w:ascii="仿宋_GB2312" w:eastAsia="仿宋_GB2312"/>
          <w:b w:val="0"/>
          <w:bCs w:val="0"/>
          <w:color w:val="auto"/>
          <w:sz w:val="22"/>
          <w:szCs w:val="22"/>
          <w:highlight w:val="none"/>
          <w:lang w:val="en-US" w:eastAsia="zh-CN"/>
        </w:rPr>
        <w:t>(4)如资格证书中不能体现投标人信息，需提供相关证明材料并加盖单位公章。</w:t>
      </w:r>
    </w:p>
    <w:p w14:paraId="58CE15CF">
      <w:pPr>
        <w:spacing w:line="240" w:lineRule="auto"/>
        <w:ind w:firstLine="505" w:firstLineChars="230"/>
        <w:rPr>
          <w:rFonts w:hint="default" w:ascii="仿宋_GB2312" w:eastAsia="仿宋_GB2312"/>
          <w:b w:val="0"/>
          <w:bCs w:val="0"/>
          <w:color w:val="auto"/>
          <w:sz w:val="22"/>
          <w:szCs w:val="22"/>
          <w:highlight w:val="none"/>
          <w:lang w:val="en-US" w:eastAsia="zh-CN"/>
        </w:rPr>
      </w:pPr>
      <w:r>
        <w:rPr>
          <w:rFonts w:hint="eastAsia" w:ascii="仿宋_GB2312" w:eastAsia="仿宋_GB2312"/>
          <w:b w:val="0"/>
          <w:bCs w:val="0"/>
          <w:color w:val="auto"/>
          <w:sz w:val="22"/>
          <w:szCs w:val="22"/>
          <w:highlight w:val="none"/>
          <w:lang w:val="en-US" w:eastAsia="zh-CN"/>
        </w:rPr>
        <w:t>8、店口镇合同服务期内的招标代理单位和标底审核单位不得参加。</w:t>
      </w:r>
    </w:p>
    <w:p w14:paraId="526AB0D4">
      <w:pPr>
        <w:spacing w:line="240" w:lineRule="auto"/>
        <w:ind w:firstLine="505" w:firstLineChars="230"/>
        <w:rPr>
          <w:rFonts w:hint="eastAsia" w:ascii="仿宋_GB2312" w:eastAsia="仿宋_GB2312"/>
          <w:b w:val="0"/>
          <w:bCs w:val="0"/>
          <w:color w:val="auto"/>
          <w:sz w:val="22"/>
          <w:szCs w:val="22"/>
          <w:highlight w:val="none"/>
        </w:rPr>
      </w:pPr>
      <w:r>
        <w:rPr>
          <w:rFonts w:hint="eastAsia" w:ascii="仿宋_GB2312" w:eastAsia="仿宋_GB2312"/>
          <w:b w:val="0"/>
          <w:bCs w:val="0"/>
          <w:color w:val="auto"/>
          <w:sz w:val="22"/>
          <w:szCs w:val="22"/>
          <w:highlight w:val="none"/>
          <w:lang w:val="en-US" w:eastAsia="zh-CN"/>
        </w:rPr>
        <w:t>9、参加人员：法定代表人或其委托代理人。</w:t>
      </w:r>
    </w:p>
    <w:p w14:paraId="60D4C5E4">
      <w:pPr>
        <w:spacing w:line="240" w:lineRule="auto"/>
        <w:ind w:firstLine="505" w:firstLineChars="230"/>
        <w:rPr>
          <w:rFonts w:hint="eastAsia" w:ascii="仿宋_GB2312" w:hAnsi="仿宋_GB2312" w:eastAsia="仿宋_GB2312" w:cs="仿宋_GB2312"/>
          <w:b w:val="0"/>
          <w:bCs w:val="0"/>
          <w:color w:val="auto"/>
          <w:sz w:val="22"/>
          <w:szCs w:val="22"/>
          <w:highlight w:val="none"/>
          <w:lang w:eastAsia="zh-CN"/>
        </w:rPr>
      </w:pPr>
      <w:r>
        <w:rPr>
          <w:rFonts w:hint="eastAsia" w:ascii="仿宋_GB2312" w:eastAsia="仿宋_GB2312"/>
          <w:b w:val="0"/>
          <w:bCs w:val="0"/>
          <w:color w:val="auto"/>
          <w:sz w:val="22"/>
          <w:szCs w:val="22"/>
          <w:highlight w:val="none"/>
          <w:lang w:val="en-US" w:eastAsia="zh-CN"/>
        </w:rPr>
        <w:t>10</w:t>
      </w:r>
      <w:r>
        <w:rPr>
          <w:rFonts w:hint="eastAsia" w:ascii="仿宋_GB2312" w:eastAsia="仿宋_GB2312"/>
          <w:b w:val="0"/>
          <w:bCs w:val="0"/>
          <w:color w:val="auto"/>
          <w:sz w:val="22"/>
          <w:szCs w:val="22"/>
          <w:highlight w:val="none"/>
        </w:rPr>
        <w:t>、开标携带资料：</w:t>
      </w:r>
      <w:r>
        <w:rPr>
          <w:rFonts w:hint="eastAsia" w:ascii="仿宋_GB2312" w:eastAsia="仿宋_GB2312"/>
          <w:b w:val="0"/>
          <w:bCs w:val="0"/>
          <w:color w:val="auto"/>
          <w:sz w:val="22"/>
          <w:szCs w:val="22"/>
          <w:highlight w:val="none"/>
          <w:lang w:eastAsia="zh-CN"/>
        </w:rPr>
        <w:t>企业营业执照原件、授权委托书原件，本项目所有拟派人员的相关证书原件及投标人为其连续缴纳的近三个月社保证明材料（拟派人员参保单位名称和投标单位名称必须一致），投标人代表身份证原件。（上述资料需提供原件的，同时提供一份加盖投标人印章的复印件，在资格审查时与原件一同递交，不盖章作废标处理）</w:t>
      </w:r>
    </w:p>
    <w:p w14:paraId="16767DB4">
      <w:pPr>
        <w:spacing w:line="240" w:lineRule="auto"/>
        <w:ind w:firstLine="505" w:firstLineChars="23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eastAsia="仿宋_GB2312"/>
          <w:color w:val="auto"/>
          <w:sz w:val="22"/>
          <w:szCs w:val="22"/>
          <w:highlight w:val="none"/>
          <w:lang w:val="en-US" w:eastAsia="zh-CN"/>
        </w:rPr>
        <w:t>1</w:t>
      </w:r>
      <w:r>
        <w:rPr>
          <w:rFonts w:hint="eastAsia" w:ascii="仿宋_GB2312" w:eastAsia="仿宋_GB2312"/>
          <w:color w:val="auto"/>
          <w:sz w:val="22"/>
          <w:szCs w:val="22"/>
          <w:highlight w:val="none"/>
        </w:rPr>
        <w:t>、领取招标文件方式：网上自行下载</w:t>
      </w:r>
    </w:p>
    <w:p w14:paraId="170130C8">
      <w:pPr>
        <w:spacing w:line="240" w:lineRule="auto"/>
        <w:ind w:firstLine="505" w:firstLineChars="23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、资格审查方式：简易程序中标法</w:t>
      </w:r>
    </w:p>
    <w:p w14:paraId="0F7A89B8">
      <w:pPr>
        <w:spacing w:line="240" w:lineRule="auto"/>
        <w:ind w:firstLine="505" w:firstLineChars="230"/>
        <w:rPr>
          <w:rFonts w:hint="eastAsia" w:ascii="仿宋_GB2312" w:eastAsia="仿宋_GB2312"/>
          <w:color w:val="auto"/>
          <w:sz w:val="22"/>
          <w:szCs w:val="22"/>
          <w:highlight w:val="none"/>
          <w:lang w:eastAsia="zh-CN"/>
        </w:rPr>
      </w:pPr>
      <w:r>
        <w:rPr>
          <w:rFonts w:hint="eastAsia" w:ascii="仿宋_GB2312" w:eastAsia="仿宋_GB2312"/>
          <w:color w:val="auto"/>
          <w:sz w:val="22"/>
          <w:szCs w:val="22"/>
          <w:highlight w:val="none"/>
        </w:rPr>
        <w:t>1</w:t>
      </w:r>
      <w:r>
        <w:rPr>
          <w:rFonts w:hint="eastAsia" w:ascii="仿宋_GB2312" w:eastAsia="仿宋_GB2312"/>
          <w:color w:val="auto"/>
          <w:sz w:val="22"/>
          <w:szCs w:val="22"/>
          <w:highlight w:val="none"/>
          <w:lang w:val="en-US" w:eastAsia="zh-CN"/>
        </w:rPr>
        <w:t>3</w:t>
      </w:r>
      <w:r>
        <w:rPr>
          <w:rFonts w:hint="eastAsia" w:ascii="仿宋_GB2312" w:eastAsia="仿宋_GB2312"/>
          <w:color w:val="auto"/>
          <w:sz w:val="22"/>
          <w:szCs w:val="22"/>
          <w:highlight w:val="none"/>
        </w:rPr>
        <w:t>、</w:t>
      </w:r>
      <w:r>
        <w:rPr>
          <w:rFonts w:hint="eastAsia" w:ascii="仿宋_GB2312" w:eastAsia="仿宋_GB2312"/>
          <w:b/>
          <w:bCs/>
          <w:color w:val="auto"/>
          <w:sz w:val="22"/>
          <w:szCs w:val="22"/>
          <w:highlight w:val="none"/>
        </w:rPr>
        <w:t>招标家数：</w:t>
      </w:r>
      <w:r>
        <w:rPr>
          <w:rFonts w:hint="eastAsia" w:ascii="仿宋_GB2312" w:eastAsia="仿宋_GB2312"/>
          <w:b/>
          <w:bCs/>
          <w:color w:val="auto"/>
          <w:sz w:val="22"/>
          <w:szCs w:val="22"/>
          <w:highlight w:val="none"/>
          <w:lang w:val="en-US" w:eastAsia="zh-CN"/>
        </w:rPr>
        <w:t>5家（其中前面3家为初审单位，后面2家为复审单位）</w:t>
      </w:r>
    </w:p>
    <w:p w14:paraId="2C259033">
      <w:pPr>
        <w:spacing w:line="240" w:lineRule="auto"/>
        <w:ind w:firstLine="505" w:firstLineChars="230"/>
        <w:rPr>
          <w:rFonts w:hint="eastAsia" w:ascii="仿宋_GB2312" w:eastAsia="仿宋_GB2312"/>
          <w:color w:val="auto"/>
          <w:sz w:val="22"/>
          <w:szCs w:val="22"/>
          <w:highlight w:val="none"/>
          <w:u w:val="single"/>
          <w:lang w:eastAsia="zh-CN"/>
        </w:rPr>
      </w:pPr>
      <w:r>
        <w:rPr>
          <w:rFonts w:hint="eastAsia" w:ascii="仿宋_GB2312" w:eastAsia="仿宋_GB2312"/>
          <w:color w:val="auto"/>
          <w:sz w:val="22"/>
          <w:szCs w:val="22"/>
          <w:highlight w:val="none"/>
        </w:rPr>
        <w:t>1</w:t>
      </w:r>
      <w:r>
        <w:rPr>
          <w:rFonts w:hint="eastAsia" w:ascii="仿宋_GB2312" w:eastAsia="仿宋_GB2312"/>
          <w:color w:val="auto"/>
          <w:sz w:val="22"/>
          <w:szCs w:val="22"/>
          <w:highlight w:val="none"/>
          <w:lang w:val="en-US" w:eastAsia="zh-CN"/>
        </w:rPr>
        <w:t>4</w:t>
      </w:r>
      <w:r>
        <w:rPr>
          <w:rFonts w:hint="eastAsia" w:ascii="仿宋_GB2312" w:eastAsia="仿宋_GB2312"/>
          <w:color w:val="auto"/>
          <w:sz w:val="22"/>
          <w:szCs w:val="22"/>
          <w:highlight w:val="none"/>
        </w:rPr>
        <w:t>、评标办法：</w:t>
      </w:r>
      <w:r>
        <w:rPr>
          <w:rFonts w:hint="eastAsia" w:ascii="仿宋_GB2312" w:eastAsia="仿宋_GB2312"/>
          <w:color w:val="auto"/>
          <w:sz w:val="22"/>
          <w:szCs w:val="22"/>
          <w:highlight w:val="none"/>
          <w:lang w:eastAsia="zh-CN"/>
        </w:rPr>
        <w:t>简易程序中标法</w:t>
      </w:r>
    </w:p>
    <w:p w14:paraId="51163352">
      <w:pPr>
        <w:spacing w:line="240" w:lineRule="auto"/>
        <w:ind w:firstLine="505" w:firstLineChars="23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eastAsia="仿宋_GB2312"/>
          <w:color w:val="auto"/>
          <w:sz w:val="22"/>
          <w:szCs w:val="22"/>
          <w:highlight w:val="none"/>
          <w:lang w:val="en-US" w:eastAsia="zh-CN"/>
        </w:rPr>
        <w:t>5</w:t>
      </w:r>
      <w:r>
        <w:rPr>
          <w:rFonts w:hint="eastAsia" w:ascii="仿宋_GB2312" w:eastAsia="仿宋_GB2312"/>
          <w:color w:val="auto"/>
          <w:sz w:val="22"/>
          <w:szCs w:val="22"/>
          <w:highlight w:val="none"/>
        </w:rPr>
        <w:t>、开标时间：</w:t>
      </w:r>
      <w:r>
        <w:rPr>
          <w:rFonts w:hint="eastAsia" w:ascii="仿宋_GB2312" w:eastAsia="仿宋_GB2312"/>
          <w:color w:val="auto"/>
          <w:sz w:val="22"/>
          <w:szCs w:val="22"/>
          <w:highlight w:val="none"/>
          <w:lang w:eastAsia="zh-CN"/>
        </w:rPr>
        <w:t>2025年</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26</w:t>
      </w:r>
      <w:r>
        <w:rPr>
          <w:rFonts w:hint="eastAsia" w:ascii="仿宋_GB2312" w:eastAsia="仿宋_GB2312"/>
          <w:color w:val="auto"/>
          <w:sz w:val="22"/>
          <w:szCs w:val="22"/>
          <w:highlight w:val="none"/>
        </w:rPr>
        <w:t>日</w:t>
      </w:r>
      <w:r>
        <w:rPr>
          <w:rFonts w:hint="eastAsia" w:ascii="仿宋_GB2312" w:eastAsia="仿宋_GB2312"/>
          <w:color w:val="auto"/>
          <w:sz w:val="22"/>
          <w:szCs w:val="22"/>
          <w:highlight w:val="none"/>
          <w:lang w:val="en-US" w:eastAsia="zh-CN"/>
        </w:rPr>
        <w:t>10: 30</w:t>
      </w:r>
      <w:r>
        <w:rPr>
          <w:rFonts w:hint="eastAsia" w:ascii="仿宋_GB2312" w:eastAsia="仿宋_GB2312"/>
          <w:color w:val="auto"/>
          <w:sz w:val="22"/>
          <w:szCs w:val="22"/>
          <w:highlight w:val="none"/>
        </w:rPr>
        <w:t>时</w:t>
      </w:r>
    </w:p>
    <w:p w14:paraId="5BD3AF70">
      <w:pPr>
        <w:spacing w:line="240" w:lineRule="auto"/>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eastAsia="仿宋_GB2312"/>
          <w:color w:val="auto"/>
          <w:sz w:val="22"/>
          <w:szCs w:val="22"/>
          <w:highlight w:val="none"/>
          <w:lang w:val="en-US" w:eastAsia="zh-CN"/>
        </w:rPr>
        <w:t>6</w:t>
      </w:r>
      <w:r>
        <w:rPr>
          <w:rFonts w:hint="eastAsia" w:ascii="仿宋_GB2312" w:eastAsia="仿宋_GB2312"/>
          <w:color w:val="auto"/>
          <w:sz w:val="22"/>
          <w:szCs w:val="22"/>
          <w:highlight w:val="none"/>
          <w:lang w:eastAsia="zh-CN"/>
        </w:rPr>
        <w:t>、</w:t>
      </w:r>
      <w:r>
        <w:rPr>
          <w:rFonts w:hint="eastAsia" w:ascii="仿宋_GB2312" w:eastAsia="仿宋_GB2312"/>
          <w:color w:val="auto"/>
          <w:sz w:val="22"/>
          <w:szCs w:val="22"/>
          <w:highlight w:val="none"/>
        </w:rPr>
        <w:t>开标地点：</w:t>
      </w:r>
      <w:r>
        <w:rPr>
          <w:rFonts w:hint="eastAsia" w:ascii="仿宋_GB2312" w:eastAsia="仿宋_GB2312"/>
          <w:color w:val="auto"/>
          <w:sz w:val="22"/>
          <w:szCs w:val="22"/>
          <w:highlight w:val="none"/>
          <w:lang w:eastAsia="zh-CN"/>
        </w:rPr>
        <w:t>店口镇开标室（镇政府门卫室旁）</w:t>
      </w:r>
    </w:p>
    <w:p w14:paraId="528BB69E">
      <w:pPr>
        <w:spacing w:line="240" w:lineRule="auto"/>
        <w:ind w:firstLine="505" w:firstLineChars="23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eastAsia="仿宋_GB2312"/>
          <w:color w:val="auto"/>
          <w:sz w:val="22"/>
          <w:szCs w:val="22"/>
          <w:highlight w:val="none"/>
          <w:lang w:val="en-US" w:eastAsia="zh-CN"/>
        </w:rPr>
        <w:t>7</w:t>
      </w:r>
      <w:r>
        <w:rPr>
          <w:rFonts w:hint="eastAsia" w:ascii="仿宋_GB2312" w:eastAsia="仿宋_GB2312"/>
          <w:color w:val="auto"/>
          <w:sz w:val="22"/>
          <w:szCs w:val="22"/>
          <w:highlight w:val="none"/>
        </w:rPr>
        <w:t>、联系</w:t>
      </w:r>
      <w:r>
        <w:rPr>
          <w:rFonts w:hint="eastAsia" w:ascii="仿宋_GB2312" w:eastAsia="仿宋_GB2312"/>
          <w:color w:val="auto"/>
          <w:sz w:val="22"/>
          <w:szCs w:val="22"/>
          <w:highlight w:val="none"/>
          <w:lang w:val="en-US" w:eastAsia="zh-CN"/>
        </w:rPr>
        <w:t>人工作电话</w:t>
      </w:r>
      <w:r>
        <w:rPr>
          <w:rFonts w:hint="eastAsia" w:ascii="仿宋_GB2312" w:eastAsia="仿宋_GB2312"/>
          <w:color w:val="auto"/>
          <w:sz w:val="22"/>
          <w:szCs w:val="22"/>
          <w:highlight w:val="none"/>
        </w:rPr>
        <w:t>：</w:t>
      </w:r>
      <w:r>
        <w:rPr>
          <w:rFonts w:hint="eastAsia" w:ascii="仿宋_GB2312" w:eastAsia="仿宋_GB2312"/>
          <w:color w:val="auto"/>
          <w:sz w:val="22"/>
          <w:szCs w:val="22"/>
          <w:highlight w:val="none"/>
          <w:lang w:eastAsia="zh-CN"/>
        </w:rPr>
        <w:t>郑晓桦</w:t>
      </w:r>
      <w:r>
        <w:rPr>
          <w:rFonts w:hint="eastAsia" w:ascii="仿宋_GB2312" w:eastAsia="仿宋_GB2312"/>
          <w:color w:val="auto"/>
          <w:sz w:val="22"/>
          <w:szCs w:val="22"/>
          <w:highlight w:val="none"/>
          <w:lang w:val="en-US" w:eastAsia="zh-CN"/>
        </w:rPr>
        <w:t xml:space="preserve"> </w:t>
      </w:r>
      <w:r>
        <w:rPr>
          <w:rFonts w:hint="eastAsia" w:ascii="仿宋_GB2312" w:hAnsi="Times New Roman" w:eastAsia="仿宋_GB2312" w:cs="Times New Roman"/>
          <w:color w:val="auto"/>
          <w:sz w:val="22"/>
          <w:szCs w:val="22"/>
          <w:highlight w:val="none"/>
          <w:lang w:val="en-US" w:eastAsia="zh-CN"/>
        </w:rPr>
        <w:t xml:space="preserve"> 0575-</w:t>
      </w:r>
      <w:r>
        <w:rPr>
          <w:rFonts w:hint="eastAsia" w:ascii="仿宋_GB2312" w:hAnsi="Times New Roman" w:eastAsia="仿宋_GB2312" w:cs="Times New Roman"/>
          <w:color w:val="auto"/>
          <w:sz w:val="22"/>
          <w:szCs w:val="22"/>
          <w:highlight w:val="none"/>
          <w:lang w:eastAsia="zh-CN"/>
        </w:rPr>
        <w:t>87590973（</w:t>
      </w:r>
      <w:r>
        <w:rPr>
          <w:rFonts w:hint="eastAsia" w:ascii="仿宋_GB2312" w:eastAsia="仿宋_GB2312"/>
          <w:color w:val="auto"/>
          <w:sz w:val="22"/>
          <w:szCs w:val="22"/>
          <w:highlight w:val="none"/>
          <w:lang w:eastAsia="zh-CN"/>
        </w:rPr>
        <w:t>招标人</w:t>
      </w:r>
      <w:r>
        <w:rPr>
          <w:rFonts w:hint="eastAsia" w:ascii="仿宋_GB2312" w:eastAsia="仿宋_GB2312"/>
          <w:color w:val="auto"/>
          <w:sz w:val="22"/>
          <w:szCs w:val="22"/>
          <w:highlight w:val="none"/>
        </w:rPr>
        <w:t>）</w:t>
      </w:r>
    </w:p>
    <w:p w14:paraId="7ED5EC2F">
      <w:pPr>
        <w:spacing w:line="240" w:lineRule="auto"/>
        <w:ind w:left="0" w:leftChars="0" w:firstLine="2699" w:firstLineChars="1227"/>
        <w:rPr>
          <w:rFonts w:hint="default" w:ascii="仿宋_GB2312" w:hAnsi="Times New Roman" w:eastAsia="仿宋_GB2312" w:cs="Times New Roman"/>
          <w:color w:val="auto"/>
          <w:sz w:val="22"/>
          <w:szCs w:val="22"/>
          <w:highlight w:val="none"/>
          <w:lang w:val="en-US" w:eastAsia="zh-CN"/>
        </w:rPr>
      </w:pPr>
      <w:r>
        <w:rPr>
          <w:rFonts w:hint="eastAsia" w:ascii="仿宋_GB2312" w:eastAsia="仿宋_GB2312" w:cs="Times New Roman"/>
          <w:color w:val="auto"/>
          <w:sz w:val="22"/>
          <w:szCs w:val="22"/>
          <w:highlight w:val="none"/>
          <w:lang w:val="en-US" w:eastAsia="zh-CN"/>
        </w:rPr>
        <w:t>周栩生</w:t>
      </w:r>
      <w:r>
        <w:rPr>
          <w:rFonts w:hint="eastAsia" w:ascii="仿宋_GB2312" w:hAnsi="Times New Roman" w:eastAsia="仿宋_GB2312" w:cs="Times New Roman"/>
          <w:color w:val="auto"/>
          <w:sz w:val="22"/>
          <w:szCs w:val="22"/>
          <w:highlight w:val="none"/>
          <w:lang w:val="en-US" w:eastAsia="zh-CN"/>
        </w:rPr>
        <w:t xml:space="preserve">  </w:t>
      </w:r>
      <w:r>
        <w:rPr>
          <w:rFonts w:hint="eastAsia" w:ascii="仿宋_GB2312" w:eastAsia="仿宋_GB2312" w:cs="Times New Roman"/>
          <w:color w:val="auto"/>
          <w:sz w:val="22"/>
          <w:szCs w:val="22"/>
          <w:highlight w:val="none"/>
          <w:lang w:val="en-US" w:eastAsia="zh-CN"/>
        </w:rPr>
        <w:t>18967569981</w:t>
      </w:r>
      <w:r>
        <w:rPr>
          <w:rFonts w:hint="eastAsia" w:ascii="仿宋_GB2312" w:hAnsi="Times New Roman" w:eastAsia="仿宋_GB2312" w:cs="Times New Roman"/>
          <w:color w:val="auto"/>
          <w:sz w:val="22"/>
          <w:szCs w:val="22"/>
          <w:highlight w:val="none"/>
          <w:lang w:val="en-US" w:eastAsia="zh-CN"/>
        </w:rPr>
        <w:t xml:space="preserve"> </w:t>
      </w:r>
      <w:r>
        <w:rPr>
          <w:rFonts w:hint="eastAsia" w:ascii="仿宋_GB2312" w:eastAsia="仿宋_GB2312" w:cs="Times New Roman"/>
          <w:color w:val="auto"/>
          <w:sz w:val="22"/>
          <w:szCs w:val="22"/>
          <w:highlight w:val="none"/>
          <w:lang w:val="en-US" w:eastAsia="zh-CN"/>
        </w:rPr>
        <w:t xml:space="preserve"> </w:t>
      </w:r>
      <w:r>
        <w:rPr>
          <w:rFonts w:hint="eastAsia" w:ascii="仿宋_GB2312" w:hAnsi="Times New Roman" w:eastAsia="仿宋_GB2312" w:cs="Times New Roman"/>
          <w:color w:val="auto"/>
          <w:sz w:val="22"/>
          <w:szCs w:val="22"/>
          <w:highlight w:val="none"/>
          <w:lang w:val="en-US" w:eastAsia="zh-CN"/>
        </w:rPr>
        <w:t xml:space="preserve"> (代理机构）</w:t>
      </w:r>
    </w:p>
    <w:p w14:paraId="050C815D">
      <w:pPr>
        <w:spacing w:line="240" w:lineRule="auto"/>
        <w:ind w:left="0" w:leftChars="0" w:firstLine="2699" w:firstLineChars="1227"/>
        <w:rPr>
          <w:rFonts w:hint="eastAsia" w:ascii="仿宋_GB2312" w:hAnsi="Times New Roman" w:eastAsia="仿宋_GB2312" w:cs="Times New Roman"/>
          <w:color w:val="auto"/>
          <w:sz w:val="22"/>
          <w:szCs w:val="22"/>
          <w:highlight w:val="none"/>
          <w:lang w:val="en-US" w:eastAsia="zh-CN"/>
        </w:rPr>
      </w:pPr>
      <w:r>
        <w:rPr>
          <w:rFonts w:hint="eastAsia" w:ascii="仿宋_GB2312" w:hAnsi="Times New Roman" w:eastAsia="仿宋_GB2312" w:cs="Times New Roman"/>
          <w:color w:val="auto"/>
          <w:sz w:val="22"/>
          <w:szCs w:val="22"/>
          <w:highlight w:val="none"/>
          <w:lang w:val="en-US" w:eastAsia="zh-CN"/>
        </w:rPr>
        <w:t>赵顾菲  0575-87060098（</w:t>
      </w:r>
      <w:r>
        <w:rPr>
          <w:rFonts w:hint="eastAsia" w:ascii="仿宋_GB2312" w:eastAsia="仿宋_GB2312" w:cs="Times New Roman"/>
          <w:color w:val="auto"/>
          <w:sz w:val="22"/>
          <w:szCs w:val="22"/>
          <w:highlight w:val="none"/>
          <w:lang w:val="en-US" w:eastAsia="zh-CN"/>
        </w:rPr>
        <w:t>镇交易办</w:t>
      </w:r>
      <w:r>
        <w:rPr>
          <w:rFonts w:hint="eastAsia" w:ascii="仿宋_GB2312" w:hAnsi="Times New Roman" w:eastAsia="仿宋_GB2312" w:cs="Times New Roman"/>
          <w:color w:val="auto"/>
          <w:sz w:val="22"/>
          <w:szCs w:val="22"/>
          <w:highlight w:val="none"/>
          <w:lang w:val="en-US" w:eastAsia="zh-CN"/>
        </w:rPr>
        <w:t>）</w:t>
      </w:r>
    </w:p>
    <w:p w14:paraId="37FCF987">
      <w:pPr>
        <w:spacing w:line="240" w:lineRule="auto"/>
        <w:jc w:val="right"/>
        <w:rPr>
          <w:rFonts w:hint="eastAsia" w:ascii="仿宋_GB2312" w:eastAsia="仿宋_GB2312"/>
          <w:color w:val="auto"/>
          <w:sz w:val="22"/>
          <w:szCs w:val="22"/>
          <w:highlight w:val="none"/>
          <w:lang w:eastAsia="zh-CN"/>
        </w:rPr>
      </w:pPr>
      <w:r>
        <w:rPr>
          <w:rFonts w:hint="eastAsia" w:ascii="仿宋_GB2312" w:eastAsia="仿宋_GB2312"/>
          <w:color w:val="auto"/>
          <w:sz w:val="22"/>
          <w:szCs w:val="22"/>
          <w:highlight w:val="none"/>
          <w:lang w:eastAsia="zh-CN"/>
        </w:rPr>
        <w:t>诸暨市店口镇人民政府</w:t>
      </w:r>
    </w:p>
    <w:p w14:paraId="2E7CF4E9">
      <w:pPr>
        <w:spacing w:line="240" w:lineRule="auto"/>
        <w:jc w:val="right"/>
        <w:rPr>
          <w:rFonts w:hint="eastAsia" w:ascii="仿宋_GB2312" w:eastAsia="仿宋_GB2312"/>
          <w:color w:val="auto"/>
          <w:sz w:val="22"/>
          <w:szCs w:val="22"/>
          <w:highlight w:val="none"/>
          <w:lang w:val="en-US" w:eastAsia="zh-CN"/>
        </w:rPr>
      </w:pPr>
      <w:r>
        <w:rPr>
          <w:rFonts w:hint="eastAsia" w:ascii="仿宋_GB2312" w:eastAsia="仿宋_GB2312"/>
          <w:color w:val="auto"/>
          <w:sz w:val="22"/>
          <w:szCs w:val="22"/>
          <w:highlight w:val="none"/>
          <w:lang w:val="en-US" w:eastAsia="zh-CN"/>
        </w:rPr>
        <w:t>浙江博策工程项目管理有限公司</w:t>
      </w:r>
    </w:p>
    <w:p w14:paraId="3FF352E3">
      <w:pPr>
        <w:spacing w:line="240" w:lineRule="auto"/>
        <w:jc w:val="right"/>
        <w:rPr>
          <w:rFonts w:hint="eastAsia" w:ascii="仿宋_GB2312" w:eastAsia="仿宋_GB2312"/>
          <w:color w:val="auto"/>
          <w:sz w:val="24"/>
          <w:highlight w:val="none"/>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19</w:t>
      </w:r>
      <w:r>
        <w:rPr>
          <w:rFonts w:hint="eastAsia" w:ascii="仿宋_GB2312" w:eastAsia="仿宋_GB2312"/>
          <w:color w:val="auto"/>
          <w:sz w:val="22"/>
          <w:szCs w:val="22"/>
          <w:highlight w:val="none"/>
        </w:rPr>
        <w:t>日</w:t>
      </w:r>
      <w:bookmarkEnd w:id="0"/>
      <w:bookmarkEnd w:id="1"/>
      <w:bookmarkEnd w:id="2"/>
      <w:bookmarkEnd w:id="3"/>
      <w:bookmarkEnd w:id="4"/>
      <w:bookmarkEnd w:id="5"/>
    </w:p>
    <w:p w14:paraId="7C813BE4">
      <w:pPr>
        <w:jc w:val="center"/>
        <w:rPr>
          <w:rFonts w:hint="eastAsia" w:ascii="仿宋_GB2312" w:eastAsia="仿宋_GB2312"/>
          <w:color w:val="auto"/>
          <w:sz w:val="44"/>
          <w:highlight w:val="none"/>
        </w:rPr>
      </w:pPr>
      <w:r>
        <w:rPr>
          <w:rFonts w:hint="eastAsia" w:ascii="仿宋_GB2312" w:eastAsia="仿宋_GB2312"/>
          <w:color w:val="auto"/>
          <w:sz w:val="44"/>
          <w:highlight w:val="none"/>
        </w:rPr>
        <w:br w:type="page"/>
      </w:r>
      <w:r>
        <w:rPr>
          <w:rFonts w:hint="eastAsia" w:ascii="仿宋_GB2312" w:eastAsia="仿宋_GB2312"/>
          <w:color w:val="auto"/>
          <w:sz w:val="44"/>
          <w:highlight w:val="none"/>
        </w:rPr>
        <w:t>第二章　前附表及日程安排表</w:t>
      </w:r>
    </w:p>
    <w:p w14:paraId="01332614">
      <w:pPr>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一、前附表</w:t>
      </w:r>
    </w:p>
    <w:tbl>
      <w:tblPr>
        <w:tblStyle w:val="8"/>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76"/>
        <w:gridCol w:w="7627"/>
      </w:tblGrid>
      <w:tr w14:paraId="7562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88" w:type="dxa"/>
            <w:noWrap w:val="0"/>
            <w:vAlign w:val="center"/>
          </w:tcPr>
          <w:p w14:paraId="2BD5069A">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序号</w:t>
            </w:r>
          </w:p>
        </w:tc>
        <w:tc>
          <w:tcPr>
            <w:tcW w:w="8403" w:type="dxa"/>
            <w:gridSpan w:val="2"/>
            <w:noWrap w:val="0"/>
            <w:vAlign w:val="center"/>
          </w:tcPr>
          <w:p w14:paraId="5CB9CB2A">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内       容</w:t>
            </w:r>
          </w:p>
        </w:tc>
      </w:tr>
      <w:tr w14:paraId="3E7C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5" w:hRule="atLeast"/>
        </w:trPr>
        <w:tc>
          <w:tcPr>
            <w:tcW w:w="988" w:type="dxa"/>
            <w:noWrap w:val="0"/>
            <w:vAlign w:val="center"/>
          </w:tcPr>
          <w:p w14:paraId="3429872B">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776" w:type="dxa"/>
            <w:noWrap w:val="0"/>
            <w:vAlign w:val="center"/>
          </w:tcPr>
          <w:p w14:paraId="18742E8A">
            <w:pPr>
              <w:spacing w:line="360" w:lineRule="auto"/>
              <w:jc w:val="center"/>
              <w:rPr>
                <w:rFonts w:hint="eastAsia" w:ascii="仿宋_GB2312" w:eastAsia="仿宋_GB2312"/>
                <w:color w:val="auto"/>
                <w:sz w:val="24"/>
                <w:highlight w:val="none"/>
              </w:rPr>
            </w:pPr>
            <w:r>
              <w:rPr>
                <w:rFonts w:hint="eastAsia" w:ascii="仿宋_GB2312" w:eastAsia="仿宋_GB2312"/>
                <w:color w:val="auto"/>
                <w:sz w:val="24"/>
                <w:highlight w:val="none"/>
              </w:rPr>
              <w:t>项目基本情况</w:t>
            </w:r>
          </w:p>
        </w:tc>
        <w:tc>
          <w:tcPr>
            <w:tcW w:w="7627" w:type="dxa"/>
            <w:noWrap w:val="0"/>
            <w:vAlign w:val="center"/>
          </w:tcPr>
          <w:p w14:paraId="5DAD1B1C">
            <w:pPr>
              <w:spacing w:line="360" w:lineRule="auto"/>
              <w:ind w:firstLine="240" w:firstLineChars="100"/>
              <w:rPr>
                <w:rFonts w:hint="eastAsia" w:ascii="仿宋_GB2312" w:eastAsia="仿宋_GB2312"/>
                <w:color w:val="auto"/>
                <w:sz w:val="24"/>
                <w:highlight w:val="none"/>
                <w:u w:val="single"/>
              </w:rPr>
            </w:pPr>
            <w:r>
              <w:rPr>
                <w:rFonts w:hint="eastAsia" w:ascii="仿宋_GB2312" w:eastAsia="仿宋_GB2312"/>
                <w:color w:val="auto"/>
                <w:sz w:val="24"/>
                <w:highlight w:val="none"/>
              </w:rPr>
              <w:t>项目名称：</w:t>
            </w:r>
            <w:r>
              <w:rPr>
                <w:rFonts w:hint="eastAsia" w:ascii="仿宋_GB2312" w:eastAsia="仿宋_GB2312"/>
                <w:color w:val="auto"/>
                <w:sz w:val="24"/>
                <w:highlight w:val="none"/>
                <w:u w:val="single"/>
                <w:lang w:val="en-US" w:eastAsia="zh-CN"/>
              </w:rPr>
              <w:t>诸暨市店口镇2025-2027年度200万以下镇（村）级工程结算审核机构项目</w:t>
            </w:r>
            <w:r>
              <w:rPr>
                <w:rFonts w:hint="eastAsia" w:ascii="仿宋_GB2312" w:eastAsia="仿宋_GB2312"/>
                <w:color w:val="auto"/>
                <w:sz w:val="24"/>
                <w:highlight w:val="none"/>
                <w:u w:val="single"/>
              </w:rPr>
              <w:t xml:space="preserve"> </w:t>
            </w:r>
          </w:p>
          <w:p w14:paraId="22382792">
            <w:pPr>
              <w:spacing w:line="360" w:lineRule="auto"/>
              <w:ind w:firstLine="240" w:firstLineChars="100"/>
              <w:rPr>
                <w:rFonts w:hint="eastAsia" w:ascii="仿宋_GB2312" w:eastAsia="仿宋_GB2312"/>
                <w:color w:val="auto"/>
                <w:sz w:val="24"/>
                <w:highlight w:val="none"/>
                <w:lang w:eastAsia="zh-CN"/>
              </w:rPr>
            </w:pPr>
            <w:r>
              <w:rPr>
                <w:rFonts w:hint="eastAsia" w:ascii="仿宋_GB2312" w:eastAsia="仿宋_GB2312"/>
                <w:color w:val="auto"/>
                <w:sz w:val="24"/>
                <w:highlight w:val="none"/>
              </w:rPr>
              <w:t>招 标 人：</w:t>
            </w:r>
            <w:r>
              <w:rPr>
                <w:rFonts w:hint="eastAsia" w:ascii="仿宋_GB2312" w:hAnsi="宋体" w:eastAsia="仿宋_GB2312"/>
                <w:color w:val="auto"/>
                <w:sz w:val="24"/>
                <w:highlight w:val="none"/>
                <w:u w:val="single"/>
                <w:lang w:eastAsia="zh-CN"/>
              </w:rPr>
              <w:t>诸暨市店口镇人民政府</w:t>
            </w:r>
          </w:p>
          <w:p w14:paraId="27355E22">
            <w:pPr>
              <w:spacing w:line="360" w:lineRule="auto"/>
              <w:ind w:firstLine="240" w:firstLineChars="100"/>
              <w:rPr>
                <w:rFonts w:hint="eastAsia" w:ascii="仿宋_GB2312" w:eastAsia="仿宋_GB2312"/>
                <w:color w:val="auto"/>
                <w:sz w:val="24"/>
                <w:highlight w:val="none"/>
              </w:rPr>
            </w:pPr>
            <w:r>
              <w:rPr>
                <w:rFonts w:hint="eastAsia" w:ascii="仿宋_GB2312" w:eastAsia="仿宋_GB2312"/>
                <w:color w:val="auto"/>
                <w:sz w:val="24"/>
                <w:highlight w:val="none"/>
              </w:rPr>
              <w:t>建设地点：</w:t>
            </w:r>
            <w:r>
              <w:rPr>
                <w:rFonts w:hint="eastAsia" w:ascii="仿宋_GB2312" w:hAnsi="宋体" w:eastAsia="仿宋_GB2312"/>
                <w:color w:val="auto"/>
                <w:sz w:val="24"/>
                <w:highlight w:val="none"/>
                <w:u w:val="single"/>
                <w:lang w:eastAsia="zh-CN"/>
              </w:rPr>
              <w:t>店口镇</w:t>
            </w:r>
            <w:r>
              <w:rPr>
                <w:rFonts w:hint="eastAsia" w:ascii="仿宋_GB2312" w:hAnsi="宋体" w:eastAsia="仿宋_GB2312"/>
                <w:color w:val="auto"/>
                <w:sz w:val="24"/>
                <w:highlight w:val="none"/>
                <w:u w:val="single"/>
              </w:rPr>
              <w:t xml:space="preserve"> </w:t>
            </w:r>
          </w:p>
          <w:p w14:paraId="715066AD">
            <w:pPr>
              <w:spacing w:line="460" w:lineRule="exact"/>
              <w:rPr>
                <w:rFonts w:hint="eastAsia" w:ascii="仿宋_GB2312" w:eastAsia="仿宋_GB2312"/>
                <w:color w:val="auto"/>
                <w:sz w:val="30"/>
                <w:highlight w:val="none"/>
              </w:rPr>
            </w:pPr>
            <w:r>
              <w:rPr>
                <w:rFonts w:hint="eastAsia" w:ascii="仿宋_GB2312" w:eastAsia="仿宋_GB2312"/>
                <w:color w:val="auto"/>
                <w:sz w:val="24"/>
                <w:highlight w:val="none"/>
              </w:rPr>
              <w:t xml:space="preserve">  代理范围：</w:t>
            </w:r>
            <w:r>
              <w:rPr>
                <w:rFonts w:hint="eastAsia" w:ascii="仿宋_GB2312" w:eastAsia="仿宋_GB2312"/>
                <w:color w:val="auto"/>
                <w:sz w:val="24"/>
                <w:highlight w:val="none"/>
                <w:u w:val="single"/>
                <w:lang w:eastAsia="zh-CN"/>
              </w:rPr>
              <w:t>2025-2027年度内店口镇200万以下镇（村）级工程结算审核工作</w:t>
            </w:r>
            <w:r>
              <w:rPr>
                <w:rFonts w:hint="eastAsia" w:ascii="仿宋_GB2312" w:eastAsia="仿宋_GB2312"/>
                <w:color w:val="auto"/>
                <w:sz w:val="24"/>
                <w:highlight w:val="none"/>
              </w:rPr>
              <w:t xml:space="preserve">  </w:t>
            </w:r>
          </w:p>
          <w:p w14:paraId="56BC2EE9">
            <w:pPr>
              <w:spacing w:line="360" w:lineRule="auto"/>
              <w:rPr>
                <w:rFonts w:hint="eastAsia" w:ascii="仿宋_GB2312" w:eastAsia="仿宋_GB2312"/>
                <w:color w:val="auto"/>
                <w:sz w:val="24"/>
                <w:highlight w:val="none"/>
                <w:u w:val="single"/>
              </w:rPr>
            </w:pPr>
            <w:r>
              <w:rPr>
                <w:rFonts w:hint="eastAsia" w:ascii="仿宋_GB2312" w:eastAsia="仿宋_GB2312"/>
                <w:color w:val="auto"/>
                <w:sz w:val="24"/>
                <w:highlight w:val="none"/>
              </w:rPr>
              <w:t xml:space="preserve">  招标方式：</w:t>
            </w:r>
            <w:r>
              <w:rPr>
                <w:rFonts w:hint="eastAsia" w:ascii="仿宋_GB2312" w:eastAsia="仿宋_GB2312"/>
                <w:color w:val="auto"/>
                <w:sz w:val="24"/>
                <w:highlight w:val="none"/>
                <w:u w:val="single"/>
              </w:rPr>
              <w:t xml:space="preserve">公开招标 </w:t>
            </w:r>
          </w:p>
          <w:p w14:paraId="07CC3A55">
            <w:pPr>
              <w:spacing w:line="360" w:lineRule="auto"/>
              <w:ind w:firstLine="241" w:firstLineChars="100"/>
              <w:rPr>
                <w:rFonts w:hint="eastAsia" w:ascii="仿宋_GB2312" w:eastAsia="仿宋_GB2312"/>
                <w:b/>
                <w:bCs/>
                <w:color w:val="auto"/>
                <w:sz w:val="24"/>
                <w:highlight w:val="none"/>
                <w:u w:val="single"/>
              </w:rPr>
            </w:pPr>
            <w:r>
              <w:rPr>
                <w:rFonts w:hint="eastAsia" w:ascii="仿宋_GB2312" w:eastAsia="仿宋_GB2312"/>
                <w:b/>
                <w:bCs/>
                <w:color w:val="auto"/>
                <w:sz w:val="24"/>
                <w:highlight w:val="none"/>
              </w:rPr>
              <w:t>招标家数：</w:t>
            </w:r>
            <w:r>
              <w:rPr>
                <w:rFonts w:hint="eastAsia" w:ascii="仿宋_GB2312" w:eastAsia="仿宋_GB2312"/>
                <w:b/>
                <w:bCs/>
                <w:color w:val="auto"/>
                <w:sz w:val="24"/>
                <w:highlight w:val="none"/>
                <w:u w:val="single"/>
                <w:lang w:val="en-US" w:eastAsia="zh-CN"/>
              </w:rPr>
              <w:t>5家（其中前面3家为初审单位，后面2家为复审单位）</w:t>
            </w:r>
          </w:p>
          <w:p w14:paraId="2FF3B89B">
            <w:pPr>
              <w:spacing w:line="460" w:lineRule="exact"/>
              <w:ind w:firstLine="240" w:firstLineChars="100"/>
              <w:rPr>
                <w:rFonts w:hint="eastAsia" w:ascii="仿宋_GB2312" w:eastAsia="仿宋_GB2312"/>
                <w:color w:val="auto"/>
                <w:sz w:val="24"/>
                <w:highlight w:val="none"/>
                <w:u w:val="none"/>
                <w:lang w:val="en-US" w:eastAsia="zh-CN"/>
              </w:rPr>
            </w:pPr>
            <w:r>
              <w:rPr>
                <w:rFonts w:hint="eastAsia" w:ascii="仿宋_GB2312" w:eastAsia="仿宋_GB2312"/>
                <w:color w:val="auto"/>
                <w:sz w:val="24"/>
                <w:highlight w:val="none"/>
                <w:u w:val="none"/>
                <w:lang w:val="en-US" w:eastAsia="zh-CN"/>
              </w:rPr>
              <w:t>收费标准：根据《浙江省建设工程造价咨询服务项目及收费指引》（浙建价协〔2021〕13号），咨询服务费按上表计算不足2000元的按2000元计算，再乘以（1-下浮率），绩效收费同步下浮。收费标准为：（基本收费+绩效收费）*（1-下浮率），下浮率为65%。其中，20万（含）以下工程初审费500元/只（不下浮）。复审费用由基本费和核减（增）费组成。复审基本费为 500元/只（不下浮）。复审核减（增）费：综合误差率未超过2%，不计取复审核减（增）费；超过2%部分，按照超过金额×（1-下浮率）×7%计取复审核减（增）费（上限为该项目按规定支付给初审单位的费用），同时复审核减（增）费相应在初审单位扣减。</w:t>
            </w:r>
          </w:p>
          <w:p w14:paraId="220F72EF">
            <w:pPr>
              <w:spacing w:line="500" w:lineRule="exact"/>
              <w:ind w:firstLine="240" w:firstLineChars="100"/>
              <w:rPr>
                <w:rFonts w:hint="eastAsia" w:ascii="仿宋_GB2312" w:eastAsia="仿宋_GB2312"/>
                <w:color w:val="auto"/>
                <w:sz w:val="24"/>
                <w:highlight w:val="none"/>
                <w:u w:val="none"/>
                <w:lang w:val="en-US" w:eastAsia="zh-CN"/>
              </w:rPr>
            </w:pPr>
            <w:r>
              <w:rPr>
                <w:rFonts w:hint="eastAsia" w:ascii="仿宋_GB2312" w:eastAsia="仿宋_GB2312"/>
                <w:color w:val="auto"/>
                <w:sz w:val="24"/>
                <w:highlight w:val="none"/>
                <w:u w:val="none"/>
                <w:lang w:val="en-US" w:eastAsia="zh-CN"/>
              </w:rPr>
              <w:t>政府性投资项目年度服务费不超过30万元，村级项目根据施工合同上约定的</w:t>
            </w:r>
            <w:r>
              <w:rPr>
                <w:rFonts w:hint="eastAsia" w:ascii="仿宋_GB2312" w:eastAsia="仿宋_GB2312"/>
                <w:color w:val="auto"/>
                <w:sz w:val="24"/>
                <w:highlight w:val="none"/>
                <w:u w:val="none"/>
                <w:lang w:val="en-US" w:eastAsia="zh-CN"/>
              </w:rPr>
              <w:t>审核</w:t>
            </w:r>
            <w:r>
              <w:rPr>
                <w:rFonts w:hint="eastAsia" w:ascii="仿宋_GB2312" w:eastAsia="仿宋_GB2312"/>
                <w:color w:val="auto"/>
                <w:sz w:val="24"/>
                <w:highlight w:val="none"/>
                <w:u w:val="none"/>
                <w:lang w:val="en-US" w:eastAsia="zh-CN"/>
              </w:rPr>
              <w:t>费支付方支付。</w:t>
            </w:r>
          </w:p>
          <w:p w14:paraId="4FE56853">
            <w:pPr>
              <w:spacing w:line="500" w:lineRule="exact"/>
              <w:ind w:firstLine="240" w:firstLineChars="100"/>
              <w:rPr>
                <w:rFonts w:hint="eastAsia" w:ascii="仿宋_GB2312" w:eastAsia="仿宋_GB2312"/>
                <w:color w:val="auto"/>
                <w:sz w:val="24"/>
                <w:highlight w:val="none"/>
                <w:lang w:eastAsia="zh-CN"/>
              </w:rPr>
            </w:pPr>
            <w:r>
              <w:rPr>
                <w:rFonts w:hint="eastAsia" w:ascii="仿宋_GB2312" w:eastAsia="仿宋_GB2312"/>
                <w:color w:val="auto"/>
                <w:sz w:val="24"/>
                <w:highlight w:val="none"/>
              </w:rPr>
              <w:t>评标办法：</w:t>
            </w:r>
            <w:r>
              <w:rPr>
                <w:rFonts w:hint="eastAsia" w:ascii="仿宋_GB2312" w:eastAsia="仿宋_GB2312"/>
                <w:color w:val="auto"/>
                <w:sz w:val="24"/>
                <w:highlight w:val="none"/>
                <w:u w:val="single"/>
                <w:lang w:eastAsia="zh-CN"/>
              </w:rPr>
              <w:t>简易程序中标法</w:t>
            </w:r>
          </w:p>
        </w:tc>
      </w:tr>
      <w:tr w14:paraId="4F11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88" w:type="dxa"/>
            <w:noWrap w:val="0"/>
            <w:vAlign w:val="center"/>
          </w:tcPr>
          <w:p w14:paraId="240E8754">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8403" w:type="dxa"/>
            <w:gridSpan w:val="2"/>
            <w:noWrap w:val="0"/>
            <w:vAlign w:val="center"/>
          </w:tcPr>
          <w:p w14:paraId="1E010F86">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批准文件：</w:t>
            </w:r>
            <w:r>
              <w:rPr>
                <w:rFonts w:hint="eastAsia" w:ascii="仿宋_GB2312" w:eastAsia="仿宋_GB2312"/>
                <w:color w:val="auto"/>
                <w:sz w:val="24"/>
                <w:highlight w:val="none"/>
                <w:u w:val="none"/>
              </w:rPr>
              <w:t>　     /  　</w:t>
            </w:r>
            <w:r>
              <w:rPr>
                <w:rFonts w:hint="eastAsia" w:ascii="仿宋_GB2312" w:eastAsia="仿宋_GB2312"/>
                <w:color w:val="auto"/>
                <w:sz w:val="24"/>
                <w:highlight w:val="none"/>
              </w:rPr>
              <w:t>　</w:t>
            </w:r>
          </w:p>
        </w:tc>
      </w:tr>
      <w:tr w14:paraId="1D82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88" w:type="dxa"/>
            <w:noWrap w:val="0"/>
            <w:vAlign w:val="center"/>
          </w:tcPr>
          <w:p w14:paraId="33DAE49F">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8403" w:type="dxa"/>
            <w:gridSpan w:val="2"/>
            <w:noWrap w:val="0"/>
            <w:vAlign w:val="center"/>
          </w:tcPr>
          <w:p w14:paraId="19C11016">
            <w:pPr>
              <w:spacing w:line="360" w:lineRule="auto"/>
              <w:ind w:left="0" w:leftChars="0" w:firstLine="0" w:firstLineChars="0"/>
              <w:rPr>
                <w:rFonts w:hint="eastAsia" w:ascii="仿宋_GB2312" w:eastAsia="仿宋_GB2312"/>
                <w:color w:val="auto"/>
                <w:sz w:val="24"/>
                <w:highlight w:val="none"/>
              </w:rPr>
            </w:pPr>
            <w:r>
              <w:rPr>
                <w:rFonts w:hint="eastAsia" w:ascii="仿宋_GB2312" w:eastAsia="仿宋_GB2312" w:cs="Times New Roman"/>
                <w:color w:val="auto"/>
                <w:sz w:val="24"/>
                <w:highlight w:val="none"/>
                <w:lang w:val="en-US" w:eastAsia="zh-CN"/>
              </w:rPr>
              <w:t>投标单位资格要求：所持有的有效营业执照须包含工程造价咨询经营范围；</w:t>
            </w:r>
          </w:p>
        </w:tc>
      </w:tr>
      <w:tr w14:paraId="0E02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88" w:type="dxa"/>
            <w:noWrap w:val="0"/>
            <w:vAlign w:val="center"/>
          </w:tcPr>
          <w:p w14:paraId="3DB92357">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8403" w:type="dxa"/>
            <w:gridSpan w:val="2"/>
            <w:noWrap w:val="0"/>
            <w:vAlign w:val="center"/>
          </w:tcPr>
          <w:p w14:paraId="611BA7AA">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投标有效期：</w:t>
            </w:r>
            <w:r>
              <w:rPr>
                <w:rFonts w:hint="eastAsia" w:ascii="仿宋_GB2312" w:eastAsia="仿宋_GB2312"/>
                <w:color w:val="auto"/>
                <w:sz w:val="24"/>
                <w:highlight w:val="none"/>
                <w:u w:val="single"/>
              </w:rPr>
              <w:t>　90　</w:t>
            </w:r>
            <w:r>
              <w:rPr>
                <w:rFonts w:hint="eastAsia" w:ascii="仿宋_GB2312" w:eastAsia="仿宋_GB2312"/>
                <w:color w:val="auto"/>
                <w:sz w:val="24"/>
                <w:highlight w:val="none"/>
              </w:rPr>
              <w:t xml:space="preserve"> 天（日历天数），从投标截止之日起计算</w:t>
            </w:r>
          </w:p>
        </w:tc>
      </w:tr>
      <w:tr w14:paraId="4E09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88" w:type="dxa"/>
            <w:noWrap w:val="0"/>
            <w:vAlign w:val="center"/>
          </w:tcPr>
          <w:p w14:paraId="74A4C97B">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w:t>
            </w:r>
          </w:p>
        </w:tc>
        <w:tc>
          <w:tcPr>
            <w:tcW w:w="8403" w:type="dxa"/>
            <w:gridSpan w:val="2"/>
            <w:noWrap w:val="0"/>
            <w:vAlign w:val="center"/>
          </w:tcPr>
          <w:p w14:paraId="3D66CAA8">
            <w:pPr>
              <w:spacing w:line="360" w:lineRule="auto"/>
              <w:rPr>
                <w:rFonts w:ascii="仿宋_GB2312" w:eastAsia="仿宋_GB2312"/>
                <w:color w:val="auto"/>
                <w:sz w:val="24"/>
                <w:highlight w:val="none"/>
              </w:rPr>
            </w:pPr>
            <w:r>
              <w:rPr>
                <w:rFonts w:hint="eastAsia" w:ascii="仿宋_GB2312" w:eastAsia="仿宋_GB2312"/>
                <w:color w:val="auto"/>
                <w:sz w:val="24"/>
                <w:highlight w:val="none"/>
              </w:rPr>
              <w:t>投标保证金：/</w:t>
            </w:r>
          </w:p>
        </w:tc>
      </w:tr>
      <w:tr w14:paraId="33E8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88" w:type="dxa"/>
            <w:noWrap w:val="0"/>
            <w:vAlign w:val="center"/>
          </w:tcPr>
          <w:p w14:paraId="4D454BA3">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6</w:t>
            </w:r>
          </w:p>
        </w:tc>
        <w:tc>
          <w:tcPr>
            <w:tcW w:w="8403" w:type="dxa"/>
            <w:gridSpan w:val="2"/>
            <w:noWrap w:val="0"/>
            <w:vAlign w:val="center"/>
          </w:tcPr>
          <w:p w14:paraId="23BB429B">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投标文件份数</w:t>
            </w:r>
            <w:r>
              <w:rPr>
                <w:rFonts w:hint="eastAsia" w:ascii="仿宋_GB2312" w:hAnsi="仿宋_GB2312" w:eastAsia="仿宋_GB2312" w:cs="仿宋_GB2312"/>
                <w:color w:val="auto"/>
                <w:sz w:val="24"/>
                <w:highlight w:val="none"/>
              </w:rPr>
              <w:t>：正本壹份，副本贰份。</w:t>
            </w:r>
          </w:p>
        </w:tc>
      </w:tr>
      <w:tr w14:paraId="2091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988" w:type="dxa"/>
            <w:noWrap w:val="0"/>
            <w:vAlign w:val="center"/>
          </w:tcPr>
          <w:p w14:paraId="4C621100">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7</w:t>
            </w:r>
          </w:p>
        </w:tc>
        <w:tc>
          <w:tcPr>
            <w:tcW w:w="8403" w:type="dxa"/>
            <w:gridSpan w:val="2"/>
            <w:noWrap w:val="0"/>
            <w:vAlign w:val="center"/>
          </w:tcPr>
          <w:p w14:paraId="07A13254">
            <w:pPr>
              <w:spacing w:line="440" w:lineRule="exact"/>
              <w:rPr>
                <w:rFonts w:hint="eastAsia" w:ascii="仿宋_GB2312" w:eastAsia="仿宋_GB2312"/>
                <w:color w:val="auto"/>
                <w:sz w:val="24"/>
                <w:highlight w:val="none"/>
                <w:lang w:eastAsia="zh-CN"/>
              </w:rPr>
            </w:pPr>
            <w:r>
              <w:rPr>
                <w:rFonts w:hint="eastAsia" w:ascii="仿宋_GB2312" w:eastAsia="仿宋_GB2312"/>
                <w:color w:val="auto"/>
                <w:sz w:val="24"/>
                <w:highlight w:val="none"/>
              </w:rPr>
              <w:t>中标人在中标公示结束后合同签署前向招标人缴纳履约保证金（不计息），通过中标单位基本账户银行转账或电汇方式缴纳履约保证金，凭银行缴款凭证至店口镇人民政府财政办405办公室开具履约保证金收据。</w:t>
            </w:r>
            <w:r>
              <w:rPr>
                <w:rFonts w:hint="eastAsia" w:ascii="仿宋_GB2312" w:hAnsi="宋体" w:eastAsia="仿宋_GB2312"/>
                <w:color w:val="auto"/>
                <w:sz w:val="24"/>
                <w:highlight w:val="none"/>
                <w:lang w:val="en-US" w:eastAsia="zh-CN"/>
              </w:rPr>
              <w:t>招标</w:t>
            </w:r>
            <w:r>
              <w:rPr>
                <w:rFonts w:hint="eastAsia" w:ascii="仿宋_GB2312" w:hAnsi="宋体" w:eastAsia="仿宋_GB2312"/>
                <w:color w:val="auto"/>
                <w:sz w:val="24"/>
                <w:highlight w:val="none"/>
              </w:rPr>
              <w:t>人接受履约保证金的工程保函</w:t>
            </w:r>
            <w:r>
              <w:rPr>
                <w:rFonts w:hint="eastAsia" w:ascii="仿宋_GB2312" w:hAnsi="宋体" w:eastAsia="仿宋_GB2312"/>
                <w:color w:val="auto"/>
                <w:sz w:val="24"/>
                <w:highlight w:val="none"/>
                <w:lang w:eastAsia="zh-CN"/>
              </w:rPr>
              <w:t>。</w:t>
            </w:r>
          </w:p>
          <w:p w14:paraId="1256A2B2">
            <w:pPr>
              <w:spacing w:line="440" w:lineRule="exact"/>
              <w:rPr>
                <w:rFonts w:hint="eastAsia" w:ascii="仿宋_GB2312" w:eastAsia="仿宋_GB2312"/>
                <w:color w:val="auto"/>
                <w:sz w:val="24"/>
                <w:highlight w:val="none"/>
                <w:u w:val="single"/>
              </w:rPr>
            </w:pPr>
            <w:r>
              <w:rPr>
                <w:rFonts w:hint="eastAsia" w:ascii="仿宋_GB2312" w:eastAsia="仿宋_GB2312"/>
                <w:color w:val="auto"/>
                <w:sz w:val="24"/>
                <w:highlight w:val="none"/>
              </w:rPr>
              <w:t>合同履约保证金：</w:t>
            </w:r>
            <w:r>
              <w:rPr>
                <w:rFonts w:hint="eastAsia" w:ascii="仿宋_GB2312" w:eastAsia="仿宋_GB2312"/>
                <w:color w:val="auto"/>
                <w:sz w:val="24"/>
                <w:highlight w:val="none"/>
                <w:u w:val="single"/>
              </w:rPr>
              <w:t xml:space="preserve"> 壹万元</w:t>
            </w:r>
            <w:r>
              <w:rPr>
                <w:rFonts w:hint="eastAsia" w:ascii="仿宋_GB2312" w:eastAsia="仿宋_GB2312"/>
                <w:color w:val="auto"/>
                <w:sz w:val="24"/>
                <w:highlight w:val="none"/>
                <w:u w:val="single"/>
                <w:lang w:eastAsia="zh-CN"/>
              </w:rPr>
              <w:t>整</w:t>
            </w:r>
            <w:r>
              <w:rPr>
                <w:rFonts w:hint="eastAsia" w:ascii="仿宋_GB2312" w:eastAsia="仿宋_GB2312"/>
                <w:color w:val="auto"/>
                <w:sz w:val="24"/>
                <w:highlight w:val="none"/>
                <w:u w:val="single"/>
              </w:rPr>
              <w:t xml:space="preserve"> </w:t>
            </w:r>
          </w:p>
          <w:p w14:paraId="48B584EB">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收款单位：诸暨市店口集体资产经营公司  </w:t>
            </w:r>
          </w:p>
          <w:p w14:paraId="4A08EB76">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开户银行：诸暨农商银行店口支行 </w:t>
            </w:r>
          </w:p>
          <w:p w14:paraId="6B084725">
            <w:pPr>
              <w:spacing w:line="360" w:lineRule="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银行账号：201000032764701      </w:t>
            </w:r>
          </w:p>
        </w:tc>
      </w:tr>
      <w:tr w14:paraId="2D6F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988" w:type="dxa"/>
            <w:noWrap w:val="0"/>
            <w:vAlign w:val="center"/>
          </w:tcPr>
          <w:p w14:paraId="01B80DDF">
            <w:pPr>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8</w:t>
            </w:r>
          </w:p>
        </w:tc>
        <w:tc>
          <w:tcPr>
            <w:tcW w:w="8403" w:type="dxa"/>
            <w:gridSpan w:val="2"/>
            <w:noWrap w:val="0"/>
            <w:vAlign w:val="center"/>
          </w:tcPr>
          <w:p w14:paraId="3FCB7DC6">
            <w:pPr>
              <w:spacing w:line="360" w:lineRule="auto"/>
              <w:rPr>
                <w:rFonts w:hint="eastAsia" w:ascii="仿宋_GB2312" w:hAnsi="Times New Roman" w:eastAsia="仿宋_GB2312" w:cs="Times New Roman"/>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lang w:eastAsia="zh-CN"/>
              </w:rPr>
              <w:t>）</w:t>
            </w:r>
            <w:r>
              <w:rPr>
                <w:rFonts w:hint="eastAsia" w:ascii="仿宋_GB2312" w:eastAsia="仿宋_GB2312" w:cs="Times New Roman"/>
                <w:color w:val="auto"/>
                <w:sz w:val="24"/>
                <w:highlight w:val="none"/>
                <w:lang w:val="en-US" w:eastAsia="zh-CN"/>
              </w:rPr>
              <w:t>政府性投资项目年度服务费不超过30万元，村级项目根据施工合同上约定的</w:t>
            </w:r>
            <w:r>
              <w:rPr>
                <w:rFonts w:hint="eastAsia" w:ascii="仿宋_GB2312" w:eastAsia="仿宋_GB2312" w:cs="Times New Roman"/>
                <w:color w:val="auto"/>
                <w:sz w:val="24"/>
                <w:highlight w:val="none"/>
                <w:lang w:val="en-US" w:eastAsia="zh-CN"/>
              </w:rPr>
              <w:t>审核</w:t>
            </w:r>
            <w:r>
              <w:rPr>
                <w:rFonts w:hint="eastAsia" w:ascii="仿宋_GB2312" w:eastAsia="仿宋_GB2312" w:cs="Times New Roman"/>
                <w:color w:val="auto"/>
                <w:sz w:val="24"/>
                <w:highlight w:val="none"/>
                <w:lang w:val="en-US" w:eastAsia="zh-CN"/>
              </w:rPr>
              <w:t>费支付方支付。</w:t>
            </w:r>
          </w:p>
          <w:p w14:paraId="60A862CA">
            <w:pPr>
              <w:spacing w:line="360" w:lineRule="auto"/>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lang w:val="en-US" w:eastAsia="zh-CN"/>
              </w:rPr>
              <w:t>2</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rPr>
              <w:t>我镇将对中标单位结算审核服务进行日常考核，根据日常考核优劣调整工程审核分配指数。</w:t>
            </w:r>
          </w:p>
        </w:tc>
      </w:tr>
    </w:tbl>
    <w:p w14:paraId="25BFA999">
      <w:pPr>
        <w:rPr>
          <w:rFonts w:hint="eastAsia" w:ascii="仿宋_GB2312" w:eastAsia="仿宋_GB2312"/>
          <w:b/>
          <w:bCs/>
          <w:color w:val="auto"/>
          <w:sz w:val="32"/>
          <w:szCs w:val="44"/>
          <w:highlight w:val="none"/>
        </w:rPr>
      </w:pPr>
      <w:r>
        <w:rPr>
          <w:rFonts w:hint="eastAsia" w:ascii="仿宋_GB2312" w:eastAsia="仿宋_GB2312"/>
          <w:b/>
          <w:bCs/>
          <w:color w:val="auto"/>
          <w:sz w:val="32"/>
          <w:szCs w:val="44"/>
          <w:highlight w:val="none"/>
        </w:rPr>
        <w:br w:type="page"/>
      </w:r>
      <w:r>
        <w:rPr>
          <w:rFonts w:hint="eastAsia" w:ascii="仿宋_GB2312" w:eastAsia="仿宋_GB2312"/>
          <w:b/>
          <w:bCs/>
          <w:color w:val="auto"/>
          <w:sz w:val="32"/>
          <w:szCs w:val="44"/>
          <w:highlight w:val="none"/>
        </w:rPr>
        <w:t>前附表（二）</w:t>
      </w:r>
    </w:p>
    <w:tbl>
      <w:tblPr>
        <w:tblStyle w:val="8"/>
        <w:tblpPr w:leftFromText="180" w:rightFromText="180" w:vertAnchor="text" w:horzAnchor="margin" w:tblpY="626"/>
        <w:tblW w:w="96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8"/>
        <w:gridCol w:w="3472"/>
        <w:gridCol w:w="2768"/>
        <w:gridCol w:w="1595"/>
      </w:tblGrid>
      <w:tr w14:paraId="14B93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84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5321E053">
            <w:pPr>
              <w:spacing w:line="320" w:lineRule="exac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 xml:space="preserve">        </w:t>
            </w:r>
            <w:r>
              <w:rPr>
                <w:rFonts w:hint="eastAsia" w:ascii="仿宋_GB2312" w:eastAsia="仿宋_GB2312"/>
                <w:color w:val="auto"/>
                <w:sz w:val="22"/>
                <w:szCs w:val="22"/>
                <w:highlight w:val="none"/>
              </w:rPr>
              <w:t>安排</w:t>
            </w:r>
          </w:p>
          <w:p w14:paraId="121E90EE">
            <w:pPr>
              <w:spacing w:line="320" w:lineRule="exact"/>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程序</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3B9CED40">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时间</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60284FB">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地点</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4FA730EF">
            <w:pPr>
              <w:spacing w:line="320" w:lineRule="exact"/>
              <w:jc w:val="center"/>
              <w:rPr>
                <w:rFonts w:hint="eastAsia" w:ascii="仿宋" w:hAnsi="仿宋" w:eastAsia="仿宋"/>
                <w:color w:val="auto"/>
                <w:sz w:val="22"/>
                <w:szCs w:val="22"/>
                <w:highlight w:val="none"/>
              </w:rPr>
            </w:pPr>
            <w:r>
              <w:rPr>
                <w:rFonts w:hint="eastAsia" w:ascii="仿宋_GB2312" w:eastAsia="仿宋_GB2312"/>
                <w:color w:val="auto"/>
                <w:sz w:val="22"/>
                <w:szCs w:val="22"/>
                <w:highlight w:val="none"/>
              </w:rPr>
              <w:t>备注</w:t>
            </w:r>
          </w:p>
        </w:tc>
      </w:tr>
      <w:tr w14:paraId="6D3E7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14:paraId="6607C278">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信息发布</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511E05B5">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lang w:val="en-US" w:eastAsia="zh-CN"/>
              </w:rPr>
              <w:t>2025年2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20</w:t>
            </w:r>
            <w:r>
              <w:rPr>
                <w:rFonts w:hint="eastAsia" w:ascii="仿宋_GB2312" w:eastAsia="仿宋_GB2312"/>
                <w:color w:val="auto"/>
                <w:sz w:val="22"/>
                <w:szCs w:val="22"/>
                <w:highlight w:val="none"/>
              </w:rPr>
              <w:t>日8:30—</w:t>
            </w:r>
          </w:p>
          <w:p w14:paraId="2A4187A4">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 xml:space="preserve"> 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25</w:t>
            </w:r>
            <w:r>
              <w:rPr>
                <w:rFonts w:hint="eastAsia" w:ascii="仿宋_GB2312" w:eastAsia="仿宋_GB2312"/>
                <w:color w:val="auto"/>
                <w:sz w:val="22"/>
                <w:szCs w:val="22"/>
                <w:highlight w:val="none"/>
              </w:rPr>
              <w:t>日17:00止</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017272B">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诸暨市公共资源交易网</w:t>
            </w:r>
          </w:p>
          <w:p w14:paraId="364AF0B8">
            <w:pPr>
              <w:spacing w:line="320" w:lineRule="exact"/>
              <w:jc w:val="center"/>
              <w:rPr>
                <w:rFonts w:hint="eastAsia" w:ascii="仿宋_GB2312" w:eastAsia="仿宋_GB2312"/>
                <w:color w:val="auto"/>
                <w:sz w:val="22"/>
                <w:szCs w:val="22"/>
                <w:highlight w:val="none"/>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AD6BE2B">
            <w:pPr>
              <w:spacing w:line="320" w:lineRule="exact"/>
              <w:jc w:val="center"/>
              <w:rPr>
                <w:rFonts w:hint="eastAsia" w:ascii="仿宋_GB2312" w:eastAsia="仿宋_GB2312"/>
                <w:color w:val="auto"/>
                <w:sz w:val="22"/>
                <w:szCs w:val="22"/>
                <w:highlight w:val="none"/>
              </w:rPr>
            </w:pPr>
          </w:p>
        </w:tc>
      </w:tr>
      <w:tr w14:paraId="1C5C4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14:paraId="116325B7">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现场踏勘</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298153C6">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A4C8D0D">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79212CF7">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不集中组织，自行踏勘</w:t>
            </w:r>
          </w:p>
        </w:tc>
      </w:tr>
      <w:tr w14:paraId="2D8F5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3"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14:paraId="3DFD3DB3">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招标答疑</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147EDA28">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25</w:t>
            </w:r>
            <w:r>
              <w:rPr>
                <w:rFonts w:hint="eastAsia" w:ascii="仿宋_GB2312" w:eastAsia="仿宋_GB2312"/>
                <w:color w:val="auto"/>
                <w:sz w:val="22"/>
                <w:szCs w:val="22"/>
                <w:highlight w:val="none"/>
              </w:rPr>
              <w:t>日10:00止</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34CB41A9">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rPr>
              <w:t>如有疑问请以书面形式并加盖单位公章，传真到招标代理机构</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4C2D17D2">
            <w:pPr>
              <w:spacing w:line="320" w:lineRule="exact"/>
              <w:jc w:val="center"/>
              <w:rPr>
                <w:rFonts w:hint="eastAsia" w:ascii="仿宋_GB2312" w:hAnsi="Times New Roman" w:eastAsia="仿宋_GB2312" w:cs="Times New Roman"/>
                <w:color w:val="auto"/>
                <w:sz w:val="22"/>
                <w:szCs w:val="22"/>
                <w:highlight w:val="none"/>
              </w:rPr>
            </w:pPr>
          </w:p>
        </w:tc>
      </w:tr>
      <w:tr w14:paraId="20AC4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2"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14:paraId="5B36914B">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投标文件递交</w:t>
            </w:r>
          </w:p>
          <w:p w14:paraId="49E47285">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（投标截止时间）</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390D8D29">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26</w:t>
            </w:r>
            <w:r>
              <w:rPr>
                <w:rFonts w:hint="eastAsia" w:ascii="仿宋_GB2312" w:eastAsia="仿宋_GB2312"/>
                <w:color w:val="auto"/>
                <w:sz w:val="22"/>
                <w:szCs w:val="22"/>
                <w:highlight w:val="none"/>
              </w:rPr>
              <w:t>日</w:t>
            </w:r>
            <w:r>
              <w:rPr>
                <w:rFonts w:hint="eastAsia" w:ascii="仿宋_GB2312" w:eastAsia="仿宋_GB2312"/>
                <w:color w:val="auto"/>
                <w:sz w:val="22"/>
                <w:szCs w:val="22"/>
                <w:highlight w:val="none"/>
                <w:lang w:val="en-US" w:eastAsia="zh-CN"/>
              </w:rPr>
              <w:t>10: 30</w:t>
            </w:r>
            <w:r>
              <w:rPr>
                <w:rFonts w:hint="eastAsia" w:ascii="仿宋_GB2312" w:eastAsia="仿宋_GB2312"/>
                <w:color w:val="auto"/>
                <w:sz w:val="22"/>
                <w:szCs w:val="22"/>
                <w:highlight w:val="none"/>
              </w:rPr>
              <w:t>止</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D77BBAE">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诸暨市店口</w:t>
            </w:r>
            <w:bookmarkStart w:id="34" w:name="_GoBack"/>
            <w:bookmarkEnd w:id="34"/>
            <w:r>
              <w:rPr>
                <w:rFonts w:hint="eastAsia" w:ascii="仿宋_GB2312" w:hAnsi="Times New Roman" w:eastAsia="仿宋_GB2312" w:cs="Times New Roman"/>
                <w:color w:val="auto"/>
                <w:sz w:val="22"/>
                <w:szCs w:val="22"/>
                <w:highlight w:val="none"/>
                <w:lang w:val="en-US" w:eastAsia="zh-CN"/>
              </w:rPr>
              <w:t>镇开标室（镇政府门卫室旁）</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3951869C">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投标人</w:t>
            </w:r>
            <w:r>
              <w:rPr>
                <w:rFonts w:hint="eastAsia" w:ascii="仿宋_GB2312" w:hAnsi="Times New Roman" w:eastAsia="仿宋_GB2312" w:cs="Times New Roman"/>
                <w:color w:val="auto"/>
                <w:sz w:val="22"/>
                <w:szCs w:val="22"/>
                <w:highlight w:val="none"/>
              </w:rPr>
              <w:t>签到时现场递交，逾时视为弃权</w:t>
            </w:r>
          </w:p>
        </w:tc>
      </w:tr>
      <w:tr w14:paraId="3D58C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6" w:hRule="exact"/>
        </w:trPr>
        <w:tc>
          <w:tcPr>
            <w:tcW w:w="1848" w:type="dxa"/>
            <w:tcBorders>
              <w:top w:val="single" w:color="auto" w:sz="4" w:space="0"/>
              <w:left w:val="single" w:color="auto" w:sz="4" w:space="0"/>
              <w:bottom w:val="single" w:color="auto" w:sz="4" w:space="0"/>
              <w:right w:val="single" w:color="auto" w:sz="4" w:space="0"/>
            </w:tcBorders>
            <w:noWrap w:val="0"/>
            <w:vAlign w:val="center"/>
          </w:tcPr>
          <w:p w14:paraId="4762B890">
            <w:pPr>
              <w:spacing w:line="320" w:lineRule="exact"/>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开标</w:t>
            </w:r>
          </w:p>
        </w:tc>
        <w:tc>
          <w:tcPr>
            <w:tcW w:w="3472" w:type="dxa"/>
            <w:tcBorders>
              <w:top w:val="single" w:color="auto" w:sz="4" w:space="0"/>
              <w:left w:val="single" w:color="auto" w:sz="4" w:space="0"/>
              <w:bottom w:val="single" w:color="auto" w:sz="4" w:space="0"/>
              <w:right w:val="single" w:color="auto" w:sz="4" w:space="0"/>
            </w:tcBorders>
            <w:noWrap w:val="0"/>
            <w:vAlign w:val="center"/>
          </w:tcPr>
          <w:p w14:paraId="60FA7232">
            <w:pPr>
              <w:spacing w:line="320" w:lineRule="exact"/>
              <w:jc w:val="center"/>
              <w:rPr>
                <w:rFonts w:hint="default" w:ascii="仿宋_GB2312" w:eastAsia="仿宋_GB2312"/>
                <w:color w:val="auto"/>
                <w:sz w:val="22"/>
                <w:szCs w:val="22"/>
                <w:highlight w:val="none"/>
                <w:lang w:val="en-US"/>
              </w:rPr>
            </w:pPr>
            <w:r>
              <w:rPr>
                <w:rFonts w:hint="eastAsia" w:ascii="仿宋_GB2312" w:eastAsia="仿宋_GB2312"/>
                <w:color w:val="auto"/>
                <w:sz w:val="22"/>
                <w:szCs w:val="22"/>
                <w:highlight w:val="none"/>
              </w:rPr>
              <w:t>202</w:t>
            </w:r>
            <w:r>
              <w:rPr>
                <w:rFonts w:hint="eastAsia" w:ascii="仿宋_GB2312" w:eastAsia="仿宋_GB2312"/>
                <w:color w:val="auto"/>
                <w:sz w:val="22"/>
                <w:szCs w:val="22"/>
                <w:highlight w:val="none"/>
                <w:lang w:val="en-US" w:eastAsia="zh-CN"/>
              </w:rPr>
              <w:t>5</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2</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26</w:t>
            </w:r>
            <w:r>
              <w:rPr>
                <w:rFonts w:hint="eastAsia" w:ascii="仿宋_GB2312" w:eastAsia="仿宋_GB2312"/>
                <w:color w:val="auto"/>
                <w:sz w:val="22"/>
                <w:szCs w:val="22"/>
                <w:highlight w:val="none"/>
              </w:rPr>
              <w:t>日</w:t>
            </w:r>
            <w:r>
              <w:rPr>
                <w:rFonts w:hint="eastAsia" w:ascii="仿宋_GB2312" w:eastAsia="仿宋_GB2312"/>
                <w:color w:val="auto"/>
                <w:sz w:val="22"/>
                <w:szCs w:val="22"/>
                <w:highlight w:val="none"/>
                <w:lang w:val="en-US" w:eastAsia="zh-CN"/>
              </w:rPr>
              <w:t>10: 30时</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AE61DA9">
            <w:pPr>
              <w:spacing w:line="320" w:lineRule="exact"/>
              <w:jc w:val="center"/>
              <w:rPr>
                <w:rFonts w:hint="eastAsia" w:ascii="仿宋_GB2312" w:hAnsi="Times New Roman" w:eastAsia="仿宋_GB2312" w:cs="Times New Roman"/>
                <w:color w:val="auto"/>
                <w:sz w:val="22"/>
                <w:szCs w:val="22"/>
                <w:highlight w:val="none"/>
              </w:rPr>
            </w:pPr>
            <w:r>
              <w:rPr>
                <w:rFonts w:hint="eastAsia" w:ascii="仿宋_GB2312" w:hAnsi="Times New Roman" w:eastAsia="仿宋_GB2312" w:cs="Times New Roman"/>
                <w:color w:val="auto"/>
                <w:sz w:val="22"/>
                <w:szCs w:val="22"/>
                <w:highlight w:val="none"/>
                <w:lang w:val="en-US" w:eastAsia="zh-CN"/>
              </w:rPr>
              <w:t>诸暨市店口镇开标室（镇政府门卫室旁）</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0DC2B8C2">
            <w:pPr>
              <w:spacing w:line="320" w:lineRule="exact"/>
              <w:jc w:val="center"/>
              <w:rPr>
                <w:rFonts w:hint="eastAsia" w:ascii="仿宋_GB2312" w:hAnsi="Times New Roman" w:eastAsia="仿宋_GB2312" w:cs="Times New Roman"/>
                <w:color w:val="auto"/>
                <w:sz w:val="22"/>
                <w:szCs w:val="22"/>
                <w:highlight w:val="none"/>
              </w:rPr>
            </w:pPr>
          </w:p>
        </w:tc>
      </w:tr>
    </w:tbl>
    <w:p w14:paraId="39F613D2">
      <w:pPr>
        <w:jc w:val="center"/>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rPr>
        <w:t>日程安排表</w:t>
      </w:r>
    </w:p>
    <w:p w14:paraId="2F1019BD">
      <w:pPr>
        <w:spacing w:line="320" w:lineRule="exact"/>
        <w:rPr>
          <w:rFonts w:ascii="仿宋_GB2312" w:eastAsia="仿宋_GB2312"/>
          <w:color w:val="auto"/>
          <w:szCs w:val="21"/>
          <w:highlight w:val="none"/>
        </w:rPr>
      </w:pPr>
      <w:r>
        <w:rPr>
          <w:rFonts w:ascii="仿宋_GB2312" w:eastAsia="仿宋_GB2312"/>
          <w:color w:val="auto"/>
          <w:szCs w:val="21"/>
          <w:highlight w:val="none"/>
        </w:rPr>
        <w:t>注：本表日程如有变动，以</w:t>
      </w:r>
      <w:r>
        <w:rPr>
          <w:rFonts w:hint="eastAsia" w:ascii="仿宋_GB2312" w:eastAsia="仿宋_GB2312"/>
          <w:color w:val="auto"/>
          <w:szCs w:val="21"/>
          <w:highlight w:val="none"/>
        </w:rPr>
        <w:t>诸暨市</w:t>
      </w:r>
      <w:r>
        <w:rPr>
          <w:rFonts w:hint="eastAsia" w:ascii="仿宋_GB2312" w:eastAsia="仿宋_GB2312"/>
          <w:color w:val="auto"/>
          <w:szCs w:val="21"/>
          <w:highlight w:val="none"/>
          <w:lang w:eastAsia="zh-CN"/>
        </w:rPr>
        <w:t>店口镇</w:t>
      </w:r>
      <w:r>
        <w:rPr>
          <w:rFonts w:hint="eastAsia" w:ascii="仿宋_GB2312" w:eastAsia="仿宋_GB2312"/>
          <w:color w:val="auto"/>
          <w:szCs w:val="21"/>
          <w:highlight w:val="none"/>
          <w:lang w:eastAsia="zh-CN"/>
        </w:rPr>
        <w:t>项目交易办公室</w:t>
      </w:r>
      <w:r>
        <w:rPr>
          <w:rFonts w:ascii="仿宋_GB2312" w:eastAsia="仿宋_GB2312"/>
          <w:color w:val="auto"/>
          <w:szCs w:val="21"/>
          <w:highlight w:val="none"/>
        </w:rPr>
        <w:t>通知时间为准。</w:t>
      </w:r>
    </w:p>
    <w:p w14:paraId="5E979733">
      <w:pPr>
        <w:spacing w:line="320" w:lineRule="exact"/>
        <w:rPr>
          <w:rFonts w:hint="eastAsia" w:ascii="仿宋_GB2312" w:eastAsia="仿宋_GB2312"/>
          <w:color w:val="auto"/>
          <w:szCs w:val="21"/>
          <w:highlight w:val="none"/>
        </w:rPr>
      </w:pPr>
    </w:p>
    <w:p w14:paraId="5C61F06F">
      <w:pPr>
        <w:spacing w:line="400" w:lineRule="exact"/>
        <w:rPr>
          <w:rFonts w:hint="eastAsia" w:ascii="仿宋" w:hAnsi="仿宋" w:eastAsia="仿宋"/>
          <w:color w:val="auto"/>
          <w:sz w:val="24"/>
          <w:highlight w:val="none"/>
        </w:rPr>
      </w:pPr>
    </w:p>
    <w:p w14:paraId="0E4D9DDB">
      <w:pPr>
        <w:jc w:val="center"/>
        <w:rPr>
          <w:rFonts w:hint="eastAsia" w:ascii="仿宋_GB2312" w:eastAsia="仿宋_GB2312"/>
          <w:color w:val="auto"/>
          <w:sz w:val="44"/>
          <w:highlight w:val="none"/>
        </w:rPr>
      </w:pPr>
      <w:r>
        <w:rPr>
          <w:rFonts w:hint="eastAsia" w:ascii="仿宋_GB2312" w:eastAsia="仿宋_GB2312"/>
          <w:color w:val="auto"/>
          <w:sz w:val="44"/>
          <w:highlight w:val="none"/>
        </w:rPr>
        <w:t>第三章　投标须知</w:t>
      </w:r>
    </w:p>
    <w:p w14:paraId="0FD3B9D4">
      <w:pPr>
        <w:spacing w:line="440" w:lineRule="exact"/>
        <w:rPr>
          <w:rFonts w:hint="eastAsia" w:ascii="仿宋_GB2312" w:eastAsia="仿宋_GB2312"/>
          <w:b/>
          <w:bCs/>
          <w:color w:val="auto"/>
          <w:sz w:val="44"/>
          <w:highlight w:val="none"/>
        </w:rPr>
      </w:pPr>
    </w:p>
    <w:p w14:paraId="2AC1094E">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一、总则</w:t>
      </w:r>
    </w:p>
    <w:p w14:paraId="4DF19F5C">
      <w:pPr>
        <w:spacing w:line="360" w:lineRule="auto"/>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(一)项目说明</w:t>
      </w:r>
    </w:p>
    <w:p w14:paraId="41A36224">
      <w:pPr>
        <w:spacing w:line="360" w:lineRule="auto"/>
        <w:ind w:firstLine="564" w:firstLineChars="235"/>
        <w:rPr>
          <w:rFonts w:hint="eastAsia" w:ascii="仿宋_GB2312" w:hAnsi="宋体" w:eastAsia="仿宋_GB2312"/>
          <w:color w:val="auto"/>
          <w:sz w:val="24"/>
          <w:highlight w:val="none"/>
          <w:u w:val="single"/>
          <w:lang w:eastAsia="zh-CN"/>
        </w:rPr>
      </w:pPr>
      <w:r>
        <w:rPr>
          <w:rFonts w:hint="eastAsia" w:ascii="仿宋_GB2312" w:hAnsi="宋体" w:eastAsia="仿宋_GB2312"/>
          <w:color w:val="auto"/>
          <w:sz w:val="24"/>
          <w:highlight w:val="none"/>
          <w:u w:val="single"/>
        </w:rPr>
        <w:t>1、代理范围：</w:t>
      </w:r>
      <w:r>
        <w:rPr>
          <w:rFonts w:hint="eastAsia" w:ascii="仿宋_GB2312" w:hAnsi="宋体" w:eastAsia="仿宋_GB2312"/>
          <w:color w:val="auto"/>
          <w:sz w:val="24"/>
          <w:highlight w:val="none"/>
          <w:u w:val="single"/>
          <w:lang w:eastAsia="zh-CN"/>
        </w:rPr>
        <w:t>2025-2027年度</w:t>
      </w:r>
      <w:r>
        <w:rPr>
          <w:rFonts w:hint="eastAsia" w:ascii="仿宋_GB2312" w:eastAsia="仿宋_GB2312"/>
          <w:color w:val="auto"/>
          <w:sz w:val="24"/>
          <w:highlight w:val="none"/>
          <w:u w:val="single"/>
          <w:lang w:eastAsia="zh-CN"/>
        </w:rPr>
        <w:t>店口镇</w:t>
      </w:r>
      <w:r>
        <w:rPr>
          <w:rFonts w:hint="eastAsia" w:ascii="仿宋_GB2312" w:eastAsia="仿宋_GB2312"/>
          <w:color w:val="auto"/>
          <w:sz w:val="24"/>
          <w:highlight w:val="none"/>
          <w:u w:val="single"/>
        </w:rPr>
        <w:t>200万以下镇</w:t>
      </w:r>
      <w:r>
        <w:rPr>
          <w:rFonts w:hint="eastAsia" w:ascii="仿宋_GB2312" w:eastAsia="仿宋_GB2312"/>
          <w:bCs/>
          <w:color w:val="auto"/>
          <w:sz w:val="24"/>
          <w:highlight w:val="none"/>
          <w:u w:val="single"/>
        </w:rPr>
        <w:t>（村）级</w:t>
      </w:r>
      <w:r>
        <w:rPr>
          <w:rFonts w:hint="eastAsia" w:ascii="仿宋_GB2312" w:eastAsia="仿宋_GB2312"/>
          <w:color w:val="auto"/>
          <w:sz w:val="24"/>
          <w:highlight w:val="none"/>
          <w:u w:val="single"/>
        </w:rPr>
        <w:t>工程结算</w:t>
      </w:r>
      <w:r>
        <w:rPr>
          <w:rFonts w:hint="eastAsia" w:ascii="仿宋_GB2312" w:eastAsia="仿宋_GB2312"/>
          <w:color w:val="auto"/>
          <w:sz w:val="24"/>
          <w:highlight w:val="none"/>
          <w:u w:val="single"/>
          <w:lang w:eastAsia="zh-CN"/>
        </w:rPr>
        <w:t>审核</w:t>
      </w:r>
    </w:p>
    <w:p w14:paraId="582AA398">
      <w:pPr>
        <w:spacing w:line="360" w:lineRule="auto"/>
        <w:ind w:firstLine="564" w:firstLineChars="235"/>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2、本次招标单位为</w:t>
      </w:r>
      <w:r>
        <w:rPr>
          <w:rFonts w:hint="eastAsia" w:ascii="仿宋_GB2312" w:hAnsi="宋体" w:eastAsia="仿宋_GB2312"/>
          <w:color w:val="auto"/>
          <w:sz w:val="24"/>
          <w:highlight w:val="none"/>
          <w:u w:val="single"/>
          <w:lang w:eastAsia="zh-CN"/>
        </w:rPr>
        <w:t>诸暨市店口镇人民政府</w:t>
      </w:r>
    </w:p>
    <w:p w14:paraId="0BD170FB">
      <w:pPr>
        <w:spacing w:line="360" w:lineRule="auto"/>
        <w:ind w:firstLine="602" w:firstLineChars="250"/>
        <w:rPr>
          <w:rFonts w:hint="eastAsia" w:ascii="仿宋_GB2312" w:hAnsi="宋体" w:eastAsia="仿宋_GB2312"/>
          <w:b/>
          <w:bCs/>
          <w:color w:val="auto"/>
          <w:sz w:val="24"/>
          <w:highlight w:val="none"/>
          <w:u w:val="single"/>
        </w:rPr>
      </w:pPr>
      <w:r>
        <w:rPr>
          <w:rFonts w:hint="eastAsia" w:ascii="仿宋_GB2312" w:hAnsi="宋体" w:eastAsia="仿宋_GB2312"/>
          <w:b/>
          <w:bCs/>
          <w:color w:val="auto"/>
          <w:sz w:val="24"/>
          <w:highlight w:val="none"/>
          <w:u w:val="single"/>
        </w:rPr>
        <w:t>3、本次招标内容为</w:t>
      </w:r>
      <w:r>
        <w:rPr>
          <w:rFonts w:hint="eastAsia" w:ascii="仿宋_GB2312" w:hAnsi="宋体" w:eastAsia="仿宋_GB2312"/>
          <w:b/>
          <w:bCs/>
          <w:color w:val="auto"/>
          <w:sz w:val="24"/>
          <w:highlight w:val="none"/>
          <w:u w:val="single"/>
          <w:lang w:eastAsia="zh-CN"/>
        </w:rPr>
        <w:t>2025-2027年度</w:t>
      </w:r>
      <w:r>
        <w:rPr>
          <w:rFonts w:hint="eastAsia" w:ascii="仿宋_GB2312" w:hAnsi="宋体" w:eastAsia="仿宋_GB2312"/>
          <w:b/>
          <w:bCs/>
          <w:color w:val="auto"/>
          <w:sz w:val="24"/>
          <w:highlight w:val="none"/>
          <w:u w:val="single"/>
        </w:rPr>
        <w:t>内（自</w:t>
      </w:r>
      <w:r>
        <w:rPr>
          <w:rFonts w:hint="eastAsia" w:ascii="仿宋_GB2312" w:hAnsi="宋体" w:eastAsia="仿宋_GB2312"/>
          <w:b/>
          <w:bCs/>
          <w:color w:val="auto"/>
          <w:sz w:val="24"/>
          <w:highlight w:val="none"/>
          <w:u w:val="single"/>
          <w:lang w:eastAsia="zh-CN"/>
        </w:rPr>
        <w:t>合同签订之日起</w:t>
      </w:r>
      <w:r>
        <w:rPr>
          <w:rFonts w:hint="eastAsia" w:ascii="仿宋_GB2312" w:hAnsi="宋体" w:eastAsia="仿宋_GB2312"/>
          <w:b/>
          <w:bCs/>
          <w:color w:val="auto"/>
          <w:sz w:val="24"/>
          <w:highlight w:val="none"/>
          <w:u w:val="single"/>
          <w:lang w:val="en-US" w:eastAsia="zh-CN"/>
        </w:rPr>
        <w:t>两</w:t>
      </w:r>
      <w:r>
        <w:rPr>
          <w:rFonts w:hint="eastAsia" w:ascii="仿宋_GB2312" w:hAnsi="宋体" w:eastAsia="仿宋_GB2312"/>
          <w:b/>
          <w:bCs/>
          <w:color w:val="auto"/>
          <w:sz w:val="24"/>
          <w:highlight w:val="none"/>
          <w:u w:val="single"/>
          <w:lang w:eastAsia="zh-CN"/>
        </w:rPr>
        <w:t>年</w:t>
      </w:r>
      <w:r>
        <w:rPr>
          <w:rFonts w:hint="eastAsia" w:ascii="仿宋_GB2312" w:hAnsi="宋体" w:eastAsia="仿宋_GB2312"/>
          <w:b/>
          <w:bCs/>
          <w:color w:val="auto"/>
          <w:sz w:val="24"/>
          <w:highlight w:val="none"/>
          <w:u w:val="single"/>
        </w:rPr>
        <w:t>）店口镇200万以下镇（村）级工程结算</w:t>
      </w:r>
      <w:r>
        <w:rPr>
          <w:rFonts w:hint="eastAsia" w:ascii="仿宋_GB2312" w:hAnsi="宋体" w:eastAsia="仿宋_GB2312"/>
          <w:b/>
          <w:bCs/>
          <w:color w:val="auto"/>
          <w:sz w:val="24"/>
          <w:highlight w:val="none"/>
          <w:u w:val="single"/>
          <w:lang w:eastAsia="zh-CN"/>
        </w:rPr>
        <w:t>审核</w:t>
      </w:r>
      <w:r>
        <w:rPr>
          <w:rFonts w:hint="eastAsia" w:ascii="仿宋_GB2312" w:hAnsi="宋体" w:eastAsia="仿宋_GB2312"/>
          <w:b/>
          <w:bCs/>
          <w:color w:val="auto"/>
          <w:sz w:val="24"/>
          <w:highlight w:val="none"/>
          <w:u w:val="single"/>
        </w:rPr>
        <w:t>；</w:t>
      </w:r>
    </w:p>
    <w:p w14:paraId="3EB0099B">
      <w:pPr>
        <w:spacing w:line="360" w:lineRule="auto"/>
        <w:ind w:firstLine="602" w:firstLineChars="250"/>
        <w:rPr>
          <w:rFonts w:hint="eastAsia" w:ascii="仿宋_GB2312" w:hAnsi="宋体" w:eastAsia="仿宋_GB2312"/>
          <w:b/>
          <w:bCs/>
          <w:color w:val="auto"/>
          <w:sz w:val="24"/>
          <w:highlight w:val="none"/>
          <w:u w:val="single"/>
          <w:lang w:eastAsia="zh-CN"/>
        </w:rPr>
      </w:pPr>
      <w:r>
        <w:rPr>
          <w:rFonts w:hint="eastAsia" w:ascii="仿宋_GB2312" w:hAnsi="宋体" w:eastAsia="仿宋_GB2312"/>
          <w:b/>
          <w:bCs/>
          <w:color w:val="auto"/>
          <w:sz w:val="24"/>
          <w:highlight w:val="none"/>
          <w:u w:val="single"/>
          <w:lang w:val="en-US" w:eastAsia="zh-CN"/>
        </w:rPr>
        <w:t>根据《浙江省建设工程造价咨询服务项目及收费指引》（浙建价协〔2021〕13号），咨询服务费按上表计算不足2000元的按2000元计算，再乘以（1-下浮率），绩效收费同步下浮。收费标准为：（基本收费+绩效收费）*（1-下浮率），下浮率为65%。其中，20万（含）以下工程初审费500元/只（不下浮）。复审费用由基本费和核减（增）费组成。复审基本费为 500元/只（不下浮）。复审核减（增）费：综合误差率未超过2%，不计取复审核减（增）费；超过2%部分，按照超过金额×（1-下浮率）×7%计取复审核减（增）费（上限为该项目按规定支付给初审单位的费用），同时复审核减（增）费相应在初审单位扣减</w:t>
      </w:r>
      <w:r>
        <w:rPr>
          <w:rFonts w:hint="eastAsia" w:ascii="仿宋_GB2312" w:hAnsi="宋体" w:eastAsia="仿宋_GB2312"/>
          <w:b/>
          <w:bCs/>
          <w:color w:val="auto"/>
          <w:sz w:val="24"/>
          <w:highlight w:val="none"/>
          <w:u w:val="single"/>
          <w:lang w:eastAsia="zh-CN"/>
        </w:rPr>
        <w:t>。</w:t>
      </w:r>
    </w:p>
    <w:p w14:paraId="0B20F773">
      <w:pPr>
        <w:spacing w:line="360" w:lineRule="auto"/>
        <w:ind w:firstLine="602" w:firstLineChars="250"/>
        <w:rPr>
          <w:rFonts w:hint="eastAsia" w:ascii="仿宋_GB2312" w:hAnsi="宋体" w:eastAsia="仿宋_GB2312"/>
          <w:b/>
          <w:bCs/>
          <w:color w:val="auto"/>
          <w:sz w:val="24"/>
          <w:highlight w:val="none"/>
          <w:u w:val="single"/>
          <w:lang w:val="en-US" w:eastAsia="zh-CN"/>
        </w:rPr>
      </w:pPr>
      <w:r>
        <w:rPr>
          <w:rFonts w:hint="eastAsia" w:ascii="仿宋_GB2312" w:hAnsi="宋体" w:eastAsia="仿宋_GB2312"/>
          <w:b/>
          <w:bCs/>
          <w:color w:val="auto"/>
          <w:sz w:val="24"/>
          <w:highlight w:val="none"/>
          <w:u w:val="single"/>
          <w:lang w:eastAsia="zh-CN"/>
        </w:rPr>
        <w:t>政府性投资项目年度服务费不超过30万元，村级项目根据施工合同上约定的</w:t>
      </w:r>
      <w:r>
        <w:rPr>
          <w:rFonts w:hint="eastAsia" w:ascii="仿宋_GB2312" w:hAnsi="宋体" w:eastAsia="仿宋_GB2312"/>
          <w:b/>
          <w:bCs/>
          <w:color w:val="auto"/>
          <w:sz w:val="24"/>
          <w:highlight w:val="none"/>
          <w:u w:val="single"/>
          <w:lang w:eastAsia="zh-CN"/>
        </w:rPr>
        <w:t>审核</w:t>
      </w:r>
      <w:r>
        <w:rPr>
          <w:rFonts w:hint="eastAsia" w:ascii="仿宋_GB2312" w:hAnsi="宋体" w:eastAsia="仿宋_GB2312"/>
          <w:b/>
          <w:bCs/>
          <w:color w:val="auto"/>
          <w:sz w:val="24"/>
          <w:highlight w:val="none"/>
          <w:u w:val="single"/>
          <w:lang w:eastAsia="zh-CN"/>
        </w:rPr>
        <w:t>费支付方支付。</w:t>
      </w:r>
    </w:p>
    <w:p w14:paraId="32C9320F">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4</w:t>
      </w:r>
      <w:r>
        <w:rPr>
          <w:rFonts w:hint="eastAsia" w:ascii="仿宋_GB2312" w:hAnsi="宋体" w:eastAsia="仿宋_GB2312"/>
          <w:color w:val="auto"/>
          <w:sz w:val="24"/>
          <w:highlight w:val="none"/>
          <w:u w:val="single"/>
        </w:rPr>
        <w:t>、中标单位不得以单项工程量大小及其它各种理由为借口拒绝或推迟</w:t>
      </w:r>
      <w:r>
        <w:rPr>
          <w:rFonts w:hint="eastAsia" w:ascii="仿宋_GB2312" w:hAnsi="宋体" w:eastAsia="仿宋_GB2312"/>
          <w:color w:val="auto"/>
          <w:sz w:val="24"/>
          <w:highlight w:val="none"/>
          <w:u w:val="single"/>
          <w:lang w:eastAsia="zh-CN"/>
        </w:rPr>
        <w:t>审核</w:t>
      </w:r>
      <w:r>
        <w:rPr>
          <w:rFonts w:hint="eastAsia" w:ascii="仿宋_GB2312" w:hAnsi="宋体" w:eastAsia="仿宋_GB2312"/>
          <w:color w:val="auto"/>
          <w:sz w:val="24"/>
          <w:highlight w:val="none"/>
          <w:u w:val="single"/>
        </w:rPr>
        <w:t>，不得在</w:t>
      </w:r>
      <w:r>
        <w:rPr>
          <w:rFonts w:hint="eastAsia" w:ascii="仿宋_GB2312" w:hAnsi="宋体" w:eastAsia="仿宋_GB2312"/>
          <w:color w:val="auto"/>
          <w:sz w:val="24"/>
          <w:highlight w:val="none"/>
          <w:u w:val="single"/>
          <w:lang w:eastAsia="zh-CN"/>
        </w:rPr>
        <w:t>审核</w:t>
      </w:r>
      <w:r>
        <w:rPr>
          <w:rFonts w:hint="eastAsia" w:ascii="仿宋_GB2312" w:hAnsi="宋体" w:eastAsia="仿宋_GB2312"/>
          <w:color w:val="auto"/>
          <w:sz w:val="24"/>
          <w:highlight w:val="none"/>
          <w:u w:val="single"/>
        </w:rPr>
        <w:t>中出现失误，否则解除合同并没收合同履约保证金，上报相关单位直至追究相关责任。</w:t>
      </w:r>
    </w:p>
    <w:p w14:paraId="123C338B">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5</w:t>
      </w:r>
      <w:r>
        <w:rPr>
          <w:rFonts w:hint="eastAsia" w:ascii="仿宋_GB2312" w:hAnsi="宋体" w:eastAsia="仿宋_GB2312"/>
          <w:color w:val="auto"/>
          <w:sz w:val="24"/>
          <w:highlight w:val="none"/>
          <w:u w:val="single"/>
        </w:rPr>
        <w:t>、要求中标单位在招标人提供结算</w:t>
      </w:r>
      <w:r>
        <w:rPr>
          <w:rFonts w:hint="eastAsia" w:ascii="仿宋_GB2312" w:hAnsi="宋体" w:eastAsia="仿宋_GB2312"/>
          <w:color w:val="auto"/>
          <w:sz w:val="24"/>
          <w:highlight w:val="none"/>
          <w:u w:val="single"/>
          <w:lang w:eastAsia="zh-CN"/>
        </w:rPr>
        <w:t>审核</w:t>
      </w:r>
      <w:r>
        <w:rPr>
          <w:rFonts w:hint="eastAsia" w:ascii="仿宋_GB2312" w:hAnsi="宋体" w:eastAsia="仿宋_GB2312"/>
          <w:color w:val="auto"/>
          <w:sz w:val="24"/>
          <w:highlight w:val="none"/>
          <w:u w:val="single"/>
        </w:rPr>
        <w:t>资料后</w:t>
      </w:r>
      <w:r>
        <w:rPr>
          <w:rFonts w:hint="eastAsia" w:ascii="仿宋_GB2312" w:hAnsi="宋体" w:eastAsia="仿宋_GB2312"/>
          <w:color w:val="auto"/>
          <w:sz w:val="24"/>
          <w:highlight w:val="none"/>
          <w:u w:val="single"/>
          <w:lang w:val="en-US" w:eastAsia="zh-CN"/>
        </w:rPr>
        <w:t>5</w:t>
      </w:r>
      <w:r>
        <w:rPr>
          <w:rFonts w:hint="eastAsia" w:ascii="仿宋_GB2312" w:hAnsi="宋体" w:eastAsia="仿宋_GB2312"/>
          <w:color w:val="auto"/>
          <w:sz w:val="24"/>
          <w:highlight w:val="none"/>
          <w:u w:val="single"/>
        </w:rPr>
        <w:t>天内，配合完成相关</w:t>
      </w:r>
      <w:r>
        <w:rPr>
          <w:rFonts w:hint="eastAsia" w:ascii="仿宋_GB2312" w:hAnsi="宋体" w:eastAsia="仿宋_GB2312"/>
          <w:color w:val="auto"/>
          <w:sz w:val="24"/>
          <w:highlight w:val="none"/>
          <w:u w:val="single"/>
          <w:lang w:eastAsia="zh-CN"/>
        </w:rPr>
        <w:t>审核</w:t>
      </w:r>
      <w:r>
        <w:rPr>
          <w:rFonts w:hint="eastAsia" w:ascii="仿宋_GB2312" w:hAnsi="宋体" w:eastAsia="仿宋_GB2312"/>
          <w:color w:val="auto"/>
          <w:sz w:val="24"/>
          <w:highlight w:val="none"/>
          <w:u w:val="single"/>
        </w:rPr>
        <w:t>工作。（初审</w:t>
      </w:r>
      <w:r>
        <w:rPr>
          <w:rFonts w:hint="eastAsia" w:ascii="仿宋_GB2312" w:hAnsi="宋体" w:eastAsia="仿宋_GB2312"/>
          <w:color w:val="auto"/>
          <w:sz w:val="24"/>
          <w:highlight w:val="none"/>
          <w:u w:val="single"/>
          <w:lang w:val="en-US" w:eastAsia="zh-CN"/>
        </w:rPr>
        <w:t>15</w:t>
      </w:r>
      <w:r>
        <w:rPr>
          <w:rFonts w:hint="eastAsia" w:ascii="仿宋_GB2312" w:hAnsi="宋体" w:eastAsia="仿宋_GB2312"/>
          <w:color w:val="auto"/>
          <w:sz w:val="24"/>
          <w:highlight w:val="none"/>
          <w:u w:val="single"/>
        </w:rPr>
        <w:t>天，复审</w:t>
      </w:r>
      <w:r>
        <w:rPr>
          <w:rFonts w:hint="eastAsia" w:ascii="仿宋_GB2312" w:hAnsi="宋体" w:eastAsia="仿宋_GB2312"/>
          <w:color w:val="auto"/>
          <w:sz w:val="24"/>
          <w:highlight w:val="none"/>
          <w:u w:val="single"/>
          <w:lang w:val="en-US" w:eastAsia="zh-CN"/>
        </w:rPr>
        <w:t>5</w:t>
      </w:r>
      <w:r>
        <w:rPr>
          <w:rFonts w:hint="eastAsia" w:ascii="仿宋_GB2312" w:hAnsi="宋体" w:eastAsia="仿宋_GB2312"/>
          <w:color w:val="auto"/>
          <w:sz w:val="24"/>
          <w:highlight w:val="none"/>
          <w:u w:val="single"/>
        </w:rPr>
        <w:t>天）</w:t>
      </w:r>
    </w:p>
    <w:p w14:paraId="2AAD6A2B">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6</w:t>
      </w:r>
      <w:r>
        <w:rPr>
          <w:rFonts w:hint="eastAsia" w:ascii="仿宋_GB2312" w:hAnsi="宋体" w:eastAsia="仿宋_GB2312"/>
          <w:color w:val="auto"/>
          <w:sz w:val="24"/>
          <w:highlight w:val="none"/>
          <w:u w:val="single"/>
        </w:rPr>
        <w:t>、合同履约保证金在年度合同结束后7日内退还给中标人（无息）。</w:t>
      </w:r>
    </w:p>
    <w:p w14:paraId="3FD27E73">
      <w:pPr>
        <w:spacing w:line="360" w:lineRule="auto"/>
        <w:ind w:firstLine="600" w:firstLineChars="25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u w:val="single"/>
          <w:lang w:val="en-US" w:eastAsia="zh-CN"/>
        </w:rPr>
        <w:t>7</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审核</w:t>
      </w:r>
      <w:r>
        <w:rPr>
          <w:rFonts w:hint="eastAsia" w:ascii="仿宋_GB2312" w:hAnsi="宋体" w:eastAsia="仿宋_GB2312"/>
          <w:color w:val="auto"/>
          <w:sz w:val="24"/>
          <w:highlight w:val="none"/>
          <w:u w:val="single"/>
        </w:rPr>
        <w:t>单位应保质按时完成</w:t>
      </w:r>
      <w:r>
        <w:rPr>
          <w:rFonts w:hint="eastAsia" w:ascii="仿宋_GB2312" w:hAnsi="宋体" w:eastAsia="仿宋_GB2312"/>
          <w:color w:val="auto"/>
          <w:sz w:val="24"/>
          <w:highlight w:val="none"/>
          <w:u w:val="single"/>
          <w:lang w:eastAsia="zh-CN"/>
        </w:rPr>
        <w:t>审核</w:t>
      </w:r>
      <w:r>
        <w:rPr>
          <w:rFonts w:hint="eastAsia" w:ascii="仿宋_GB2312" w:hAnsi="宋体" w:eastAsia="仿宋_GB2312"/>
          <w:color w:val="auto"/>
          <w:sz w:val="24"/>
          <w:highlight w:val="none"/>
          <w:u w:val="single"/>
        </w:rPr>
        <w:t>工作，否则解除合同并没收合同履约保证金，取消</w:t>
      </w:r>
      <w:r>
        <w:rPr>
          <w:rFonts w:hint="eastAsia" w:ascii="仿宋_GB2312" w:hAnsi="宋体" w:eastAsia="仿宋_GB2312"/>
          <w:color w:val="auto"/>
          <w:sz w:val="24"/>
          <w:highlight w:val="none"/>
          <w:u w:val="single"/>
          <w:lang w:eastAsia="zh-CN"/>
        </w:rPr>
        <w:t>审核</w:t>
      </w:r>
      <w:r>
        <w:rPr>
          <w:rFonts w:hint="eastAsia" w:ascii="仿宋_GB2312" w:hAnsi="宋体" w:eastAsia="仿宋_GB2312"/>
          <w:color w:val="auto"/>
          <w:sz w:val="24"/>
          <w:highlight w:val="none"/>
          <w:u w:val="single"/>
        </w:rPr>
        <w:t>单位在我镇的</w:t>
      </w:r>
      <w:r>
        <w:rPr>
          <w:rFonts w:hint="eastAsia" w:ascii="仿宋_GB2312" w:hAnsi="宋体" w:eastAsia="仿宋_GB2312"/>
          <w:color w:val="auto"/>
          <w:sz w:val="24"/>
          <w:highlight w:val="none"/>
          <w:u w:val="single"/>
          <w:lang w:eastAsia="zh-CN"/>
        </w:rPr>
        <w:t>审核</w:t>
      </w:r>
      <w:r>
        <w:rPr>
          <w:rFonts w:hint="eastAsia" w:ascii="仿宋_GB2312" w:hAnsi="宋体" w:eastAsia="仿宋_GB2312"/>
          <w:color w:val="auto"/>
          <w:sz w:val="24"/>
          <w:highlight w:val="none"/>
          <w:u w:val="single"/>
        </w:rPr>
        <w:t>资格，并致函给诸暨市公共资源交易中心、诸暨市财政局；</w:t>
      </w:r>
    </w:p>
    <w:p w14:paraId="4111B708">
      <w:pPr>
        <w:spacing w:line="360" w:lineRule="auto"/>
        <w:ind w:firstLine="564" w:firstLineChars="23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其他信息详见招标公告和前附表。</w:t>
      </w:r>
    </w:p>
    <w:p w14:paraId="26C3224A">
      <w:pPr>
        <w:spacing w:line="360" w:lineRule="auto"/>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(二)</w:t>
      </w:r>
      <w:r>
        <w:rPr>
          <w:rFonts w:hint="eastAsia" w:ascii="仿宋_GB2312" w:hAnsi="宋体" w:eastAsia="仿宋_GB2312"/>
          <w:b/>
          <w:bCs/>
          <w:color w:val="auto"/>
          <w:sz w:val="24"/>
          <w:highlight w:val="none"/>
          <w:lang w:eastAsia="zh-CN"/>
        </w:rPr>
        <w:t>审核</w:t>
      </w:r>
      <w:r>
        <w:rPr>
          <w:rFonts w:hint="eastAsia" w:ascii="仿宋_GB2312" w:hAnsi="宋体" w:eastAsia="仿宋_GB2312"/>
          <w:b/>
          <w:bCs/>
          <w:color w:val="auto"/>
          <w:sz w:val="24"/>
          <w:highlight w:val="none"/>
        </w:rPr>
        <w:t>内容</w:t>
      </w:r>
    </w:p>
    <w:p w14:paraId="7513C94E">
      <w:pPr>
        <w:spacing w:line="360" w:lineRule="auto"/>
        <w:ind w:firstLine="540" w:firstLineChars="225"/>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eastAsia="zh-CN"/>
        </w:rPr>
        <w:t>2025-2027年度内店口镇200万以下镇（村）级工程结算审核工作</w:t>
      </w:r>
      <w:r>
        <w:rPr>
          <w:rFonts w:hint="eastAsia" w:ascii="仿宋_GB2312" w:hAnsi="宋体" w:eastAsia="仿宋_GB2312"/>
          <w:color w:val="auto"/>
          <w:sz w:val="24"/>
          <w:highlight w:val="none"/>
        </w:rPr>
        <w:t>。</w:t>
      </w:r>
    </w:p>
    <w:p w14:paraId="6A808E5E">
      <w:pPr>
        <w:spacing w:line="360" w:lineRule="auto"/>
        <w:ind w:firstLine="542" w:firstLineChars="225"/>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(三)</w:t>
      </w:r>
      <w:r>
        <w:rPr>
          <w:rFonts w:hint="eastAsia" w:ascii="仿宋_GB2312" w:eastAsia="仿宋_GB2312"/>
          <w:b/>
          <w:bCs/>
          <w:color w:val="auto"/>
          <w:sz w:val="24"/>
          <w:highlight w:val="none"/>
        </w:rPr>
        <w:t>招标方式</w:t>
      </w:r>
    </w:p>
    <w:p w14:paraId="3B767BE5">
      <w:pPr>
        <w:spacing w:line="360" w:lineRule="auto"/>
        <w:ind w:firstLine="540" w:firstLineChars="225"/>
        <w:rPr>
          <w:rFonts w:hint="eastAsia" w:ascii="仿宋_GB2312" w:hAnsi="宋体" w:eastAsia="仿宋_GB2312"/>
          <w:b/>
          <w:bCs/>
          <w:color w:val="auto"/>
          <w:sz w:val="24"/>
          <w:highlight w:val="none"/>
        </w:rPr>
      </w:pPr>
      <w:r>
        <w:rPr>
          <w:rFonts w:hint="eastAsia" w:ascii="仿宋_GB2312" w:eastAsia="仿宋_GB2312"/>
          <w:color w:val="auto"/>
          <w:sz w:val="24"/>
          <w:highlight w:val="none"/>
        </w:rPr>
        <w:t>本项目经诸暨市</w:t>
      </w:r>
      <w:r>
        <w:rPr>
          <w:rFonts w:hint="eastAsia" w:ascii="仿宋_GB2312" w:eastAsia="仿宋_GB2312"/>
          <w:color w:val="auto"/>
          <w:sz w:val="24"/>
          <w:highlight w:val="none"/>
          <w:lang w:eastAsia="zh-CN"/>
        </w:rPr>
        <w:t>店口镇监督管理委员会办公室</w:t>
      </w:r>
      <w:r>
        <w:rPr>
          <w:rFonts w:hint="eastAsia" w:ascii="仿宋_GB2312" w:eastAsia="仿宋_GB2312"/>
          <w:color w:val="auto"/>
          <w:sz w:val="24"/>
          <w:highlight w:val="none"/>
        </w:rPr>
        <w:t>（以下简称镇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）核准，采用</w:t>
      </w:r>
      <w:r>
        <w:rPr>
          <w:rFonts w:hint="eastAsia" w:ascii="仿宋_GB2312" w:eastAsia="仿宋_GB2312"/>
          <w:color w:val="auto"/>
          <w:sz w:val="24"/>
          <w:highlight w:val="none"/>
          <w:u w:val="single"/>
        </w:rPr>
        <w:t xml:space="preserve"> 公开 </w:t>
      </w:r>
      <w:r>
        <w:rPr>
          <w:rFonts w:hint="eastAsia" w:ascii="仿宋_GB2312" w:eastAsia="仿宋_GB2312"/>
          <w:color w:val="auto"/>
          <w:sz w:val="24"/>
          <w:highlight w:val="none"/>
        </w:rPr>
        <w:t>招标的方式，择优选定</w:t>
      </w:r>
      <w:r>
        <w:rPr>
          <w:rFonts w:hint="eastAsia" w:ascii="仿宋_GB2312" w:eastAsia="仿宋_GB2312"/>
          <w:color w:val="auto"/>
          <w:sz w:val="24"/>
          <w:highlight w:val="none"/>
          <w:lang w:eastAsia="zh-CN"/>
        </w:rPr>
        <w:t>审核</w:t>
      </w:r>
      <w:r>
        <w:rPr>
          <w:rFonts w:hint="eastAsia" w:ascii="仿宋_GB2312" w:eastAsia="仿宋_GB2312"/>
          <w:color w:val="auto"/>
          <w:sz w:val="24"/>
          <w:highlight w:val="none"/>
        </w:rPr>
        <w:t>机构。</w:t>
      </w:r>
    </w:p>
    <w:p w14:paraId="3C1D60D8">
      <w:pPr>
        <w:spacing w:line="360" w:lineRule="auto"/>
        <w:ind w:firstLine="482" w:firstLineChars="200"/>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hAnsi="宋体" w:eastAsia="仿宋_GB2312"/>
          <w:b/>
          <w:bCs/>
          <w:color w:val="auto"/>
          <w:sz w:val="24"/>
          <w:highlight w:val="none"/>
        </w:rPr>
        <w:t>投标费用</w:t>
      </w:r>
    </w:p>
    <w:p w14:paraId="70E1A7E1">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eastAsia="zh-CN"/>
        </w:rPr>
        <w:t>审核</w:t>
      </w:r>
      <w:r>
        <w:rPr>
          <w:rFonts w:hint="eastAsia" w:ascii="仿宋_GB2312" w:hAnsi="宋体" w:eastAsia="仿宋_GB2312"/>
          <w:color w:val="auto"/>
          <w:sz w:val="24"/>
          <w:highlight w:val="none"/>
        </w:rPr>
        <w:t>机构在投标过程中的一切费用，不论中标与否，均自行承担。</w:t>
      </w:r>
    </w:p>
    <w:p w14:paraId="1935D320">
      <w:pPr>
        <w:spacing w:line="360" w:lineRule="auto"/>
        <w:ind w:firstLine="482" w:firstLineChars="200"/>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(五)</w:t>
      </w:r>
      <w:r>
        <w:rPr>
          <w:rFonts w:hint="eastAsia" w:ascii="仿宋_GB2312" w:hAnsi="宋体" w:eastAsia="仿宋_GB2312"/>
          <w:b/>
          <w:bCs/>
          <w:color w:val="auto"/>
          <w:sz w:val="24"/>
          <w:highlight w:val="none"/>
        </w:rPr>
        <w:t>特别约定</w:t>
      </w:r>
    </w:p>
    <w:p w14:paraId="5F6F32AC">
      <w:pPr>
        <w:spacing w:line="360" w:lineRule="auto"/>
        <w:ind w:firstLine="480" w:firstLineChars="200"/>
        <w:rPr>
          <w:rFonts w:hint="eastAsia" w:ascii="仿宋_GB2312" w:eastAsia="仿宋_GB2312"/>
          <w:color w:val="auto"/>
          <w:sz w:val="24"/>
          <w:szCs w:val="28"/>
          <w:highlight w:val="none"/>
        </w:rPr>
      </w:pPr>
      <w:r>
        <w:rPr>
          <w:rFonts w:hint="eastAsia" w:ascii="仿宋_GB2312" w:hAnsi="宋体" w:eastAsia="仿宋_GB2312"/>
          <w:color w:val="auto"/>
          <w:sz w:val="24"/>
          <w:highlight w:val="none"/>
        </w:rPr>
        <w:t>1、</w:t>
      </w:r>
      <w:r>
        <w:rPr>
          <w:rFonts w:hint="eastAsia" w:ascii="仿宋_GB2312" w:eastAsia="仿宋_GB2312"/>
          <w:color w:val="auto"/>
          <w:sz w:val="24"/>
          <w:szCs w:val="28"/>
          <w:highlight w:val="none"/>
        </w:rPr>
        <w:t>合同违约金按</w:t>
      </w:r>
      <w:r>
        <w:rPr>
          <w:rFonts w:hint="eastAsia" w:ascii="仿宋_GB2312" w:eastAsia="仿宋_GB2312"/>
          <w:color w:val="auto"/>
          <w:sz w:val="24"/>
          <w:szCs w:val="28"/>
          <w:highlight w:val="none"/>
          <w:u w:val="single"/>
        </w:rPr>
        <w:t>壹</w:t>
      </w:r>
      <w:r>
        <w:rPr>
          <w:rFonts w:hint="eastAsia" w:ascii="仿宋_GB2312" w:eastAsia="仿宋_GB2312"/>
          <w:color w:val="auto"/>
          <w:sz w:val="24"/>
          <w:szCs w:val="28"/>
          <w:highlight w:val="none"/>
        </w:rPr>
        <w:t>万元计取。</w:t>
      </w:r>
    </w:p>
    <w:p w14:paraId="0598B7FB">
      <w:pPr>
        <w:spacing w:line="360" w:lineRule="auto"/>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二、招标文件</w:t>
      </w:r>
    </w:p>
    <w:p w14:paraId="53437207">
      <w:pPr>
        <w:spacing w:line="360" w:lineRule="auto"/>
        <w:ind w:firstLine="480" w:firstLineChars="200"/>
        <w:rPr>
          <w:rFonts w:hint="eastAsia" w:ascii="仿宋_GB2312" w:hAnsi="宋体" w:eastAsia="仿宋_GB2312"/>
          <w:color w:val="auto"/>
          <w:sz w:val="24"/>
          <w:highlight w:val="none"/>
        </w:rPr>
      </w:pPr>
      <w:r>
        <w:rPr>
          <w:rFonts w:hint="eastAsia" w:ascii="仿宋_GB2312" w:eastAsia="仿宋_GB2312"/>
          <w:color w:val="auto"/>
          <w:sz w:val="24"/>
          <w:highlight w:val="none"/>
        </w:rPr>
        <w:t>招标文件由招标公告、招标日程安排表、投标人须知、</w:t>
      </w:r>
      <w:r>
        <w:rPr>
          <w:rFonts w:hint="eastAsia" w:ascii="仿宋_GB2312" w:hAnsi="宋体" w:eastAsia="仿宋_GB2312"/>
          <w:color w:val="auto"/>
          <w:sz w:val="24"/>
          <w:highlight w:val="none"/>
        </w:rPr>
        <w:t>投标函（格式）和委托代理协议（格式）等组成。</w:t>
      </w:r>
    </w:p>
    <w:p w14:paraId="6850B53A">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投标人应认真阅读招标文件中的所有内容。如果投标函实质上不响应招标文件要求，其投标函将被招标人拒绝。</w:t>
      </w:r>
    </w:p>
    <w:p w14:paraId="5537C97F">
      <w:pPr>
        <w:spacing w:line="360" w:lineRule="auto"/>
        <w:jc w:val="center"/>
        <w:rPr>
          <w:rFonts w:hint="eastAsia" w:ascii="仿宋_GB2312" w:eastAsia="仿宋_GB2312"/>
          <w:b/>
          <w:bCs/>
          <w:color w:val="auto"/>
          <w:sz w:val="32"/>
          <w:highlight w:val="none"/>
        </w:rPr>
      </w:pPr>
      <w:bookmarkStart w:id="6" w:name="_Toc19790"/>
      <w:bookmarkStart w:id="7" w:name="_Toc3616"/>
      <w:bookmarkStart w:id="8" w:name="_Toc32406"/>
      <w:bookmarkStart w:id="9" w:name="_Toc4321"/>
      <w:bookmarkStart w:id="10" w:name="_Toc31952"/>
      <w:r>
        <w:rPr>
          <w:rFonts w:hint="eastAsia" w:ascii="仿宋_GB2312" w:eastAsia="仿宋_GB2312"/>
          <w:b/>
          <w:bCs/>
          <w:color w:val="auto"/>
          <w:sz w:val="32"/>
          <w:highlight w:val="none"/>
        </w:rPr>
        <w:t>三、投标函</w:t>
      </w:r>
    </w:p>
    <w:p w14:paraId="01512363">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(一) 投标函</w:t>
      </w:r>
    </w:p>
    <w:p w14:paraId="1CC36664">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投标函应按招标文件规定的格式填写并提交。</w:t>
      </w:r>
    </w:p>
    <w:p w14:paraId="4A1926A8">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四、</w:t>
      </w:r>
      <w:bookmarkStart w:id="11" w:name="_Toc6082"/>
      <w:bookmarkStart w:id="12" w:name="_Toc23803"/>
      <w:bookmarkStart w:id="13" w:name="_Toc16230"/>
      <w:bookmarkStart w:id="14" w:name="_Toc15431"/>
      <w:bookmarkStart w:id="15" w:name="_Toc14147"/>
      <w:r>
        <w:rPr>
          <w:rFonts w:hint="eastAsia" w:ascii="仿宋_GB2312" w:eastAsia="仿宋_GB2312"/>
          <w:b/>
          <w:bCs/>
          <w:color w:val="auto"/>
          <w:sz w:val="32"/>
          <w:highlight w:val="none"/>
        </w:rPr>
        <w:t>投标文件的编制和提交</w:t>
      </w:r>
    </w:p>
    <w:p w14:paraId="352E73F0">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（一）投标文件的密封和标记</w:t>
      </w:r>
      <w:bookmarkEnd w:id="11"/>
      <w:bookmarkEnd w:id="12"/>
      <w:bookmarkEnd w:id="13"/>
      <w:bookmarkEnd w:id="14"/>
      <w:bookmarkEnd w:id="15"/>
    </w:p>
    <w:p w14:paraId="439C2EA7">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1、投标人应将投标文件封装在A4纸大小的标函袋里，不密封的投标文件无效。</w:t>
      </w:r>
    </w:p>
    <w:p w14:paraId="7E3ED585">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2、在标函袋封面应标明：</w:t>
      </w:r>
    </w:p>
    <w:p w14:paraId="61001DD4">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（1）工程名称：</w:t>
      </w:r>
    </w:p>
    <w:p w14:paraId="1EB78A8A">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（2）招标人的名称：</w:t>
      </w:r>
    </w:p>
    <w:p w14:paraId="741F9C7D">
      <w:pPr>
        <w:pStyle w:val="6"/>
        <w:spacing w:line="360" w:lineRule="auto"/>
        <w:ind w:leftChars="1"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（3）投标人的名称：</w:t>
      </w:r>
    </w:p>
    <w:p w14:paraId="5C3694F5">
      <w:pPr>
        <w:pStyle w:val="6"/>
        <w:spacing w:line="360" w:lineRule="auto"/>
        <w:ind w:leftChars="1" w:firstLine="480" w:firstLineChars="200"/>
        <w:rPr>
          <w:rFonts w:hint="eastAsia" w:ascii="仿宋_GB2312" w:eastAsia="仿宋_GB2312"/>
          <w:color w:val="auto"/>
          <w:highlight w:val="none"/>
        </w:rPr>
      </w:pPr>
      <w:r>
        <w:rPr>
          <w:rFonts w:hint="eastAsia" w:ascii="仿宋_GB2312" w:eastAsia="仿宋_GB2312"/>
          <w:color w:val="auto"/>
          <w:highlight w:val="none"/>
        </w:rPr>
        <w:t>3、投标文件的标函袋的封口处应加盖投标人印章及经法定代表人或其委托代理人签字或盖章。</w:t>
      </w:r>
    </w:p>
    <w:p w14:paraId="7F0DDDB1">
      <w:pPr>
        <w:pStyle w:val="6"/>
        <w:spacing w:line="360" w:lineRule="auto"/>
        <w:ind w:leftChars="1"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（二）投标文件的递交</w:t>
      </w:r>
    </w:p>
    <w:p w14:paraId="3BB86AB6">
      <w:pPr>
        <w:pStyle w:val="6"/>
        <w:spacing w:line="360" w:lineRule="auto"/>
        <w:ind w:firstLine="559" w:firstLineChars="233"/>
        <w:rPr>
          <w:rFonts w:hint="eastAsia" w:ascii="仿宋_GB2312" w:eastAsia="仿宋_GB2312"/>
          <w:color w:val="auto"/>
          <w:highlight w:val="none"/>
        </w:rPr>
      </w:pPr>
      <w:r>
        <w:rPr>
          <w:rFonts w:hint="eastAsia" w:ascii="仿宋_GB2312" w:eastAsia="仿宋_GB2312"/>
          <w:color w:val="auto"/>
          <w:highlight w:val="none"/>
        </w:rPr>
        <w:t>投标人应按投标人须知前附表（二）日程安排表所规定的地点并在投标截止时间前将投标文件送达给招标人。</w:t>
      </w:r>
      <w:bookmarkStart w:id="16" w:name="_Toc18405"/>
      <w:bookmarkStart w:id="17" w:name="_Toc6038"/>
      <w:bookmarkStart w:id="18" w:name="_Toc9737"/>
      <w:bookmarkStart w:id="19" w:name="_Toc5648"/>
      <w:bookmarkStart w:id="20" w:name="_Toc13954"/>
    </w:p>
    <w:p w14:paraId="409947F7">
      <w:pPr>
        <w:pStyle w:val="6"/>
        <w:spacing w:line="360" w:lineRule="auto"/>
        <w:ind w:leftChars="1"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（三）投标文件的修改与撤回</w:t>
      </w:r>
      <w:bookmarkEnd w:id="16"/>
      <w:bookmarkEnd w:id="17"/>
      <w:bookmarkEnd w:id="18"/>
      <w:bookmarkEnd w:id="19"/>
      <w:bookmarkEnd w:id="20"/>
    </w:p>
    <w:p w14:paraId="3DA50CD0">
      <w:pPr>
        <w:pStyle w:val="6"/>
        <w:spacing w:line="360" w:lineRule="auto"/>
        <w:ind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1、投标人在递交投标文件以后，在规定的投标截止时间之前，可以书面形式补充修改或撤回已递交的投标文件，并通知招标人。补充、修改的内容为投标文件的组成部分。</w:t>
      </w:r>
    </w:p>
    <w:p w14:paraId="55C34920">
      <w:pPr>
        <w:pStyle w:val="6"/>
        <w:spacing w:line="360" w:lineRule="auto"/>
        <w:ind w:firstLine="480" w:firstLineChars="200"/>
        <w:rPr>
          <w:rFonts w:hint="eastAsia" w:ascii="仿宋_GB2312" w:hAnsi="仿宋_GB2312" w:eastAsia="仿宋_GB2312"/>
          <w:color w:val="auto"/>
          <w:highlight w:val="none"/>
        </w:rPr>
      </w:pPr>
      <w:r>
        <w:rPr>
          <w:rFonts w:hint="eastAsia" w:ascii="仿宋_GB2312" w:hAnsi="仿宋_GB2312" w:eastAsia="仿宋_GB2312"/>
          <w:color w:val="auto"/>
          <w:highlight w:val="none"/>
        </w:rPr>
        <w:t>2、投标人的补充、修改或撤回通知，应按有关规定密封、标记和递交并在投标文件标函袋上清楚标明“补充修改”或“撤回”字样。</w:t>
      </w:r>
    </w:p>
    <w:p w14:paraId="4CAD2C86">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3、在投标截止时间至投标人在投标文件中响应的投标有效期满之前的这段时间内，投标人不得撤回或修改其投标文件，否则其投标保证金将不予退还。</w:t>
      </w:r>
    </w:p>
    <w:p w14:paraId="5ED49E6D">
      <w:pPr>
        <w:pStyle w:val="6"/>
        <w:spacing w:line="360" w:lineRule="auto"/>
        <w:ind w:firstLine="643" w:firstLineChars="200"/>
        <w:jc w:val="center"/>
        <w:rPr>
          <w:rFonts w:hint="eastAsia" w:ascii="仿宋_GB2312" w:eastAsia="仿宋_GB2312"/>
          <w:b/>
          <w:bCs/>
          <w:color w:val="auto"/>
          <w:kern w:val="2"/>
          <w:sz w:val="32"/>
          <w:highlight w:val="none"/>
        </w:rPr>
      </w:pPr>
      <w:r>
        <w:rPr>
          <w:rFonts w:hint="eastAsia" w:ascii="仿宋_GB2312" w:eastAsia="仿宋_GB2312"/>
          <w:b/>
          <w:bCs/>
          <w:color w:val="auto"/>
          <w:kern w:val="2"/>
          <w:sz w:val="32"/>
          <w:highlight w:val="none"/>
        </w:rPr>
        <w:t>五、开标</w:t>
      </w:r>
      <w:bookmarkEnd w:id="6"/>
      <w:bookmarkEnd w:id="7"/>
      <w:bookmarkEnd w:id="8"/>
      <w:bookmarkEnd w:id="9"/>
      <w:bookmarkEnd w:id="10"/>
      <w:bookmarkStart w:id="21" w:name="_Toc28167"/>
      <w:bookmarkStart w:id="22" w:name="_Toc231"/>
      <w:bookmarkStart w:id="23" w:name="_Toc4568"/>
      <w:bookmarkStart w:id="24" w:name="_Toc5621"/>
      <w:bookmarkStart w:id="25" w:name="_Toc21847"/>
    </w:p>
    <w:p w14:paraId="06F91A31">
      <w:pPr>
        <w:pStyle w:val="6"/>
        <w:spacing w:line="360" w:lineRule="auto"/>
        <w:ind w:firstLine="482" w:firstLineChars="200"/>
        <w:rPr>
          <w:rFonts w:hint="eastAsia" w:ascii="仿宋_GB2312" w:eastAsia="仿宋_GB2312"/>
          <w:b/>
          <w:bCs/>
          <w:color w:val="auto"/>
          <w:kern w:val="2"/>
          <w:highlight w:val="none"/>
        </w:rPr>
      </w:pPr>
      <w:r>
        <w:rPr>
          <w:rFonts w:hint="eastAsia" w:ascii="仿宋_GB2312" w:eastAsia="仿宋_GB2312"/>
          <w:b/>
          <w:bCs/>
          <w:color w:val="auto"/>
          <w:kern w:val="2"/>
          <w:highlight w:val="none"/>
        </w:rPr>
        <w:t>（一）开标时间和地点</w:t>
      </w:r>
      <w:bookmarkEnd w:id="21"/>
      <w:bookmarkEnd w:id="22"/>
      <w:bookmarkEnd w:id="23"/>
      <w:bookmarkEnd w:id="24"/>
      <w:bookmarkEnd w:id="25"/>
    </w:p>
    <w:p w14:paraId="720F8760">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1、本项目招标人将按投标人须知前附表日程安排表所规定的时间和地点公开举行开标会议，邀请所有投标人代表参加开标会议，并接受镇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监督和指导。</w:t>
      </w:r>
    </w:p>
    <w:p w14:paraId="0A061A85">
      <w:pPr>
        <w:spacing w:line="360" w:lineRule="auto"/>
        <w:ind w:firstLine="552" w:firstLineChars="230"/>
        <w:rPr>
          <w:rFonts w:hint="eastAsia" w:ascii="仿宋_GB2312" w:hAnsi="仿宋_GB2312" w:eastAsia="仿宋_GB2312" w:cs="仿宋_GB2312"/>
          <w:color w:val="auto"/>
          <w:sz w:val="24"/>
          <w:highlight w:val="none"/>
          <w:lang w:eastAsia="zh-CN"/>
        </w:rPr>
      </w:pPr>
      <w:r>
        <w:rPr>
          <w:rFonts w:hint="eastAsia" w:ascii="仿宋_GB2312" w:eastAsia="仿宋_GB2312"/>
          <w:color w:val="auto"/>
          <w:sz w:val="24"/>
          <w:highlight w:val="none"/>
        </w:rPr>
        <w:t>2、投标人</w:t>
      </w:r>
      <w:r>
        <w:rPr>
          <w:rFonts w:hint="eastAsia" w:ascii="仿宋_GB2312" w:eastAsia="仿宋_GB2312"/>
          <w:b/>
          <w:bCs/>
          <w:color w:val="auto"/>
          <w:sz w:val="24"/>
          <w:highlight w:val="none"/>
          <w:u w:val="single"/>
        </w:rPr>
        <w:t xml:space="preserve"> 法定代表人或委托代理人</w:t>
      </w:r>
      <w:r>
        <w:rPr>
          <w:rFonts w:hint="eastAsia" w:ascii="仿宋_GB2312" w:eastAsia="仿宋_GB2312"/>
          <w:color w:val="auto"/>
          <w:sz w:val="24"/>
          <w:highlight w:val="none"/>
        </w:rPr>
        <w:t>必须随带身份证原件参加开标会议，否则视为自动弃权，</w:t>
      </w:r>
      <w:bookmarkStart w:id="26" w:name="_Toc29005"/>
      <w:bookmarkStart w:id="27" w:name="_Toc6806"/>
      <w:bookmarkStart w:id="28" w:name="_Toc10543"/>
      <w:bookmarkStart w:id="29" w:name="_Toc288"/>
      <w:bookmarkStart w:id="30" w:name="_Toc9296"/>
      <w:r>
        <w:rPr>
          <w:rFonts w:hint="eastAsia" w:ascii="仿宋_GB2312" w:eastAsia="仿宋_GB2312"/>
          <w:color w:val="auto"/>
          <w:sz w:val="24"/>
          <w:highlight w:val="none"/>
        </w:rPr>
        <w:t>并携带</w:t>
      </w:r>
      <w:r>
        <w:rPr>
          <w:rFonts w:hint="eastAsia" w:ascii="仿宋_GB2312" w:eastAsia="仿宋_GB2312"/>
          <w:b w:val="0"/>
          <w:bCs w:val="0"/>
          <w:color w:val="auto"/>
          <w:sz w:val="24"/>
          <w:highlight w:val="none"/>
          <w:lang w:eastAsia="zh-CN"/>
        </w:rPr>
        <w:t>企业营业执照原件、授权委托书原件，本项目所有拟派人员的相关证书原件及投标人为其连续缴纳的近三个月社保证明材料（拟派人员参保单位名称和投标单位名称必须一致），投标人代表身份证原件。（上述资料需提供原件的，同时提供一份加盖投标人印章的复印件，在资格审查时与原件一同递交，不盖章作废标处理）</w:t>
      </w:r>
    </w:p>
    <w:p w14:paraId="22EE814D">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（二）开标程序</w:t>
      </w:r>
      <w:bookmarkEnd w:id="26"/>
      <w:bookmarkEnd w:id="27"/>
      <w:bookmarkEnd w:id="28"/>
      <w:bookmarkEnd w:id="29"/>
      <w:bookmarkEnd w:id="30"/>
    </w:p>
    <w:p w14:paraId="3E954B6E">
      <w:pPr>
        <w:pStyle w:val="6"/>
        <w:spacing w:line="360" w:lineRule="auto"/>
        <w:ind w:firstLine="559" w:firstLineChars="233"/>
        <w:rPr>
          <w:rFonts w:hint="eastAsia" w:ascii="仿宋_GB2312" w:hAnsi="仿宋_GB2312" w:eastAsia="仿宋_GB2312"/>
          <w:color w:val="auto"/>
          <w:highlight w:val="none"/>
        </w:rPr>
      </w:pPr>
      <w:r>
        <w:rPr>
          <w:rFonts w:hint="eastAsia" w:ascii="仿宋_GB2312" w:hAnsi="仿宋_GB2312" w:eastAsia="仿宋_GB2312"/>
          <w:color w:val="auto"/>
          <w:highlight w:val="none"/>
        </w:rPr>
        <w:t>1、招标人在递交投标文件截止时间的同一时间，在诸暨市</w:t>
      </w:r>
      <w:r>
        <w:rPr>
          <w:rFonts w:hint="eastAsia" w:ascii="仿宋_GB2312" w:hAnsi="仿宋_GB2312" w:eastAsia="仿宋_GB2312"/>
          <w:color w:val="auto"/>
          <w:highlight w:val="none"/>
          <w:lang w:eastAsia="zh-CN"/>
        </w:rPr>
        <w:t>店口镇</w:t>
      </w:r>
      <w:r>
        <w:rPr>
          <w:rFonts w:hint="eastAsia" w:ascii="仿宋_GB2312" w:hAnsi="仿宋_GB2312" w:eastAsia="仿宋_GB2312"/>
          <w:color w:val="auto"/>
          <w:highlight w:val="none"/>
          <w:lang w:val="en-US" w:eastAsia="zh-CN"/>
        </w:rPr>
        <w:t>开标室</w:t>
      </w:r>
      <w:r>
        <w:rPr>
          <w:rFonts w:hint="eastAsia" w:ascii="仿宋_GB2312" w:hAnsi="仿宋_GB2312" w:eastAsia="仿宋_GB2312"/>
          <w:color w:val="auto"/>
          <w:highlight w:val="none"/>
        </w:rPr>
        <w:t>举行公开开标，开标由招标人主持。</w:t>
      </w:r>
    </w:p>
    <w:p w14:paraId="494DFFC8">
      <w:pPr>
        <w:pStyle w:val="6"/>
        <w:spacing w:line="360" w:lineRule="auto"/>
        <w:ind w:firstLine="559" w:firstLineChars="233"/>
        <w:rPr>
          <w:rFonts w:hint="eastAsia" w:ascii="仿宋_GB2312" w:hAnsi="仿宋_GB2312" w:eastAsia="仿宋_GB2312"/>
          <w:color w:val="auto"/>
          <w:highlight w:val="none"/>
        </w:rPr>
      </w:pPr>
      <w:r>
        <w:rPr>
          <w:rFonts w:hint="eastAsia" w:ascii="仿宋_GB2312" w:hAnsi="仿宋_GB2312" w:eastAsia="仿宋_GB2312"/>
          <w:color w:val="auto"/>
          <w:highlight w:val="none"/>
        </w:rPr>
        <w:t>2、主持人按下列程序进行开标：</w:t>
      </w:r>
    </w:p>
    <w:p w14:paraId="6F2820B4">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（1）宣布开标纪律；</w:t>
      </w:r>
    </w:p>
    <w:p w14:paraId="55BA6105">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（2）投标人在投标截止时间前递交投标文件撤回函的，招标人宣读撤回函；</w:t>
      </w:r>
    </w:p>
    <w:p w14:paraId="074E17E2">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（3）投标文件启封前，投标人代表检查投标文件的密封状况，招标人宣布密封情况；</w:t>
      </w:r>
    </w:p>
    <w:p w14:paraId="4596AC3F">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（4）招标人宣布各投标人的抽签号（法定代表人或委托代理人签到编号），招标人代表随机抽取</w:t>
      </w:r>
      <w:r>
        <w:rPr>
          <w:rFonts w:hint="eastAsia" w:ascii="仿宋_GB2312" w:hAnsi="仿宋_GB2312" w:eastAsia="仿宋_GB2312"/>
          <w:color w:val="auto"/>
          <w:kern w:val="16"/>
          <w:sz w:val="24"/>
          <w:highlight w:val="none"/>
          <w:lang w:val="en-US" w:eastAsia="zh-CN"/>
        </w:rPr>
        <w:t>5</w:t>
      </w:r>
      <w:r>
        <w:rPr>
          <w:rFonts w:hint="eastAsia" w:ascii="仿宋_GB2312" w:hAnsi="仿宋_GB2312" w:eastAsia="仿宋_GB2312"/>
          <w:color w:val="auto"/>
          <w:kern w:val="16"/>
          <w:sz w:val="24"/>
          <w:highlight w:val="none"/>
        </w:rPr>
        <w:t>家投标人</w:t>
      </w:r>
      <w:r>
        <w:rPr>
          <w:rFonts w:hint="eastAsia" w:ascii="仿宋_GB2312" w:hAnsi="仿宋_GB2312" w:eastAsia="仿宋_GB2312"/>
          <w:color w:val="auto"/>
          <w:kern w:val="16"/>
          <w:sz w:val="24"/>
          <w:highlight w:val="none"/>
          <w:lang w:eastAsia="zh-CN"/>
        </w:rPr>
        <w:t>（其中前面</w:t>
      </w:r>
      <w:r>
        <w:rPr>
          <w:rFonts w:hint="eastAsia" w:ascii="仿宋_GB2312" w:hAnsi="仿宋_GB2312" w:eastAsia="仿宋_GB2312"/>
          <w:color w:val="auto"/>
          <w:kern w:val="16"/>
          <w:sz w:val="24"/>
          <w:highlight w:val="none"/>
          <w:lang w:val="en-US" w:eastAsia="zh-CN"/>
        </w:rPr>
        <w:t>3家为初审单位，后面2家为复审单位</w:t>
      </w:r>
      <w:r>
        <w:rPr>
          <w:rFonts w:hint="eastAsia" w:ascii="仿宋_GB2312" w:hAnsi="仿宋_GB2312" w:eastAsia="仿宋_GB2312"/>
          <w:color w:val="auto"/>
          <w:kern w:val="16"/>
          <w:sz w:val="24"/>
          <w:highlight w:val="none"/>
          <w:lang w:eastAsia="zh-CN"/>
        </w:rPr>
        <w:t>）</w:t>
      </w:r>
      <w:r>
        <w:rPr>
          <w:rFonts w:hint="eastAsia" w:ascii="仿宋_GB2312" w:hAnsi="仿宋_GB2312" w:eastAsia="仿宋_GB2312"/>
          <w:color w:val="auto"/>
          <w:kern w:val="16"/>
          <w:sz w:val="24"/>
          <w:highlight w:val="none"/>
        </w:rPr>
        <w:t>；</w:t>
      </w:r>
    </w:p>
    <w:p w14:paraId="1C930A51">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（5）依据投标人标准对抽中投标人进行资格审查，并对其提交的投标文件进行评审；</w:t>
      </w:r>
    </w:p>
    <w:p w14:paraId="29790859">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（6）资格审查时有一项不符合评审标准的，或投标文件评审不通过，作无效标处理。由招标人代表重新抽取投标人，直至资格审查和投标文件评审通过为止；</w:t>
      </w:r>
    </w:p>
    <w:p w14:paraId="431C6D4F">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（7）招标人代表、监督人员、预中标人等有关工作人员在开标记录上签字确认；</w:t>
      </w:r>
    </w:p>
    <w:p w14:paraId="14CB93C2">
      <w:pPr>
        <w:spacing w:line="360" w:lineRule="auto"/>
        <w:ind w:firstLine="480" w:firstLineChars="200"/>
        <w:rPr>
          <w:rFonts w:hint="eastAsia" w:ascii="仿宋_GB2312" w:hAnsi="仿宋_GB2312" w:eastAsia="仿宋_GB2312"/>
          <w:color w:val="auto"/>
          <w:kern w:val="16"/>
          <w:sz w:val="24"/>
          <w:highlight w:val="none"/>
        </w:rPr>
      </w:pPr>
      <w:r>
        <w:rPr>
          <w:rFonts w:hint="eastAsia" w:ascii="仿宋_GB2312" w:hAnsi="仿宋_GB2312" w:eastAsia="仿宋_GB2312"/>
          <w:color w:val="auto"/>
          <w:kern w:val="16"/>
          <w:sz w:val="24"/>
          <w:highlight w:val="none"/>
        </w:rPr>
        <w:t>（8）开标结束。</w:t>
      </w:r>
    </w:p>
    <w:p w14:paraId="00FA4987">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xml:space="preserve"> (三) 开  标</w:t>
      </w:r>
    </w:p>
    <w:p w14:paraId="25843E08">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1、投标人法定代表人或委托代理人必须随带身份证原件按招标日程安排表规定的时间和地点参加开标会议，否则视为自动弃权。</w:t>
      </w:r>
    </w:p>
    <w:p w14:paraId="5BA6121A">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2、开标会议在镇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现场监督下，邀请与开标、评标有关人员参加，同时接受镇纪委的监督。</w:t>
      </w:r>
    </w:p>
    <w:p w14:paraId="6825D1BC">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xml:space="preserve"> (四) 投标函的鉴定和公布</w:t>
      </w:r>
    </w:p>
    <w:p w14:paraId="0AEB1253">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开标会现场当众宣布核查结果，并宣读有效投标的投标人名称、及招标人认为适当的其他内容。投标报价大小写不一致的，以大写为准。</w:t>
      </w:r>
    </w:p>
    <w:p w14:paraId="2762A51D">
      <w:pPr>
        <w:spacing w:line="360" w:lineRule="auto"/>
        <w:ind w:firstLine="562" w:firstLineChars="200"/>
        <w:rPr>
          <w:rFonts w:hint="eastAsia" w:ascii="仿宋_GB2312" w:eastAsia="仿宋_GB2312"/>
          <w:color w:val="auto"/>
          <w:sz w:val="24"/>
          <w:highlight w:val="none"/>
        </w:rPr>
      </w:pPr>
      <w:r>
        <w:rPr>
          <w:rFonts w:hint="eastAsia" w:ascii="仿宋_GB2312" w:eastAsia="仿宋_GB2312"/>
          <w:b/>
          <w:bCs/>
          <w:color w:val="auto"/>
          <w:sz w:val="28"/>
          <w:highlight w:val="none"/>
        </w:rPr>
        <w:t>(</w:t>
      </w:r>
      <w:r>
        <w:rPr>
          <w:rFonts w:hint="eastAsia" w:ascii="仿宋_GB2312" w:eastAsia="仿宋_GB2312"/>
          <w:b/>
          <w:bCs/>
          <w:color w:val="auto"/>
          <w:sz w:val="24"/>
          <w:highlight w:val="none"/>
        </w:rPr>
        <w:t>五) 唱标和记录</w:t>
      </w:r>
    </w:p>
    <w:p w14:paraId="333341EE">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唱标内容应做好记录，并由各有关单位人员签字确认。</w:t>
      </w:r>
    </w:p>
    <w:p w14:paraId="5F4A1357">
      <w:pPr>
        <w:spacing w:before="156" w:beforeLines="50" w:after="156" w:afterLines="50" w:line="360" w:lineRule="auto"/>
        <w:ind w:firstLine="284"/>
        <w:jc w:val="center"/>
        <w:rPr>
          <w:rFonts w:hint="eastAsia" w:ascii="仿宋_GB2312" w:hAnsi="宋体" w:eastAsia="仿宋_GB2312"/>
          <w:color w:val="auto"/>
          <w:sz w:val="32"/>
          <w:highlight w:val="none"/>
        </w:rPr>
      </w:pPr>
      <w:r>
        <w:rPr>
          <w:rFonts w:hint="eastAsia" w:ascii="仿宋_GB2312" w:hAnsi="宋体" w:eastAsia="仿宋_GB2312"/>
          <w:b/>
          <w:bCs/>
          <w:color w:val="auto"/>
          <w:sz w:val="32"/>
          <w:highlight w:val="none"/>
        </w:rPr>
        <w:t>六、评标办法</w:t>
      </w:r>
    </w:p>
    <w:p w14:paraId="523D5D07">
      <w:pPr>
        <w:spacing w:line="360" w:lineRule="auto"/>
        <w:ind w:firstLine="480" w:firstLineChars="200"/>
        <w:rPr>
          <w:rFonts w:hint="eastAsia" w:ascii="仿宋_GB2312" w:eastAsia="仿宋_GB2312"/>
          <w:b/>
          <w:bCs/>
          <w:color w:val="auto"/>
          <w:sz w:val="32"/>
          <w:highlight w:val="none"/>
        </w:rPr>
      </w:pPr>
      <w:r>
        <w:rPr>
          <w:rFonts w:hint="eastAsia" w:ascii="仿宋_GB2312" w:eastAsia="仿宋_GB2312"/>
          <w:color w:val="auto"/>
          <w:sz w:val="24"/>
          <w:highlight w:val="none"/>
        </w:rPr>
        <w:t>本项目</w:t>
      </w:r>
      <w:r>
        <w:rPr>
          <w:rFonts w:hint="eastAsia" w:ascii="仿宋_GB2312" w:eastAsia="仿宋_GB2312"/>
          <w:b/>
          <w:color w:val="auto"/>
          <w:sz w:val="24"/>
          <w:highlight w:val="none"/>
        </w:rPr>
        <w:t>评标方法采用</w:t>
      </w:r>
      <w:r>
        <w:rPr>
          <w:rFonts w:hint="eastAsia" w:ascii="仿宋_GB2312" w:eastAsia="仿宋_GB2312"/>
          <w:color w:val="auto"/>
          <w:sz w:val="24"/>
          <w:highlight w:val="none"/>
          <w:u w:val="single"/>
        </w:rPr>
        <w:t xml:space="preserve"> </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u w:val="single"/>
          <w:lang w:eastAsia="zh-CN"/>
        </w:rPr>
        <w:t>简易程序中标法</w:t>
      </w:r>
      <w:r>
        <w:rPr>
          <w:rFonts w:hint="eastAsia" w:ascii="仿宋_GB2312" w:eastAsia="仿宋_GB2312"/>
          <w:b/>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14:paraId="64736935">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七、定标方式</w:t>
      </w:r>
    </w:p>
    <w:p w14:paraId="2AB569FE">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bookmarkStart w:id="31" w:name="_Toc383163414"/>
      <w:bookmarkStart w:id="32" w:name="_Toc383165624"/>
      <w:bookmarkStart w:id="33" w:name="_Toc1918"/>
      <w:r>
        <w:rPr>
          <w:rFonts w:hint="eastAsia" w:ascii="仿宋_GB2312" w:hAnsi="宋体" w:eastAsia="仿宋_GB2312"/>
          <w:color w:val="auto"/>
          <w:sz w:val="24"/>
          <w:highlight w:val="none"/>
        </w:rPr>
        <w:t>评标委员会将对随机抽中投标人的投标文件和投标人资格进行审查，最先</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家通过审查的投标人为预中标人。</w:t>
      </w:r>
      <w:bookmarkEnd w:id="31"/>
      <w:bookmarkEnd w:id="32"/>
      <w:bookmarkEnd w:id="33"/>
    </w:p>
    <w:p w14:paraId="1E2277A8">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2、（预）</w:t>
      </w:r>
      <w:r>
        <w:rPr>
          <w:rFonts w:hint="eastAsia" w:ascii="仿宋_GB2312" w:eastAsia="仿宋_GB2312"/>
          <w:color w:val="auto"/>
          <w:sz w:val="24"/>
          <w:highlight w:val="none"/>
        </w:rPr>
        <w:t>中标人确定后，招标人应当在诸暨市公共资源交易中心网站上予以公示，接受社会监督，公示期限为三个工作日，公示期满后，无异议的准予核发《中标通知书》。</w:t>
      </w:r>
    </w:p>
    <w:p w14:paraId="185D9548">
      <w:pPr>
        <w:spacing w:line="360" w:lineRule="auto"/>
        <w:ind w:firstLine="480" w:firstLineChars="200"/>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3、若</w:t>
      </w:r>
      <w:r>
        <w:rPr>
          <w:rFonts w:hint="eastAsia" w:ascii="仿宋_GB2312" w:eastAsia="仿宋_GB2312"/>
          <w:color w:val="auto"/>
          <w:sz w:val="24"/>
          <w:highlight w:val="none"/>
        </w:rPr>
        <w:t>预中标人放弃中标资格，招标人将不再重新组织招标，择优选定。</w:t>
      </w:r>
      <w:r>
        <w:rPr>
          <w:rFonts w:hint="eastAsia" w:ascii="仿宋_GB2312" w:hAnsi="宋体" w:eastAsia="仿宋_GB2312"/>
          <w:color w:val="auto"/>
          <w:sz w:val="24"/>
          <w:highlight w:val="none"/>
        </w:rPr>
        <w:t>预中标人除投标保证金不予退还外，同时上报市公共资源交易监管办，市公共资源交易监管办将按</w:t>
      </w:r>
      <w:r>
        <w:rPr>
          <w:rFonts w:hint="eastAsia" w:ascii="仿宋_GB2312" w:hAnsi="宋体" w:eastAsia="仿宋_GB2312"/>
          <w:color w:val="auto"/>
          <w:sz w:val="24"/>
          <w:highlight w:val="none"/>
          <w:lang w:val="en-US" w:eastAsia="zh-CN"/>
        </w:rPr>
        <w:t>有关规定</w:t>
      </w:r>
      <w:r>
        <w:rPr>
          <w:rFonts w:hint="eastAsia" w:ascii="仿宋_GB2312" w:hAnsi="宋体" w:eastAsia="仿宋_GB2312"/>
          <w:color w:val="auto"/>
          <w:sz w:val="24"/>
          <w:highlight w:val="none"/>
        </w:rPr>
        <w:t>予以处理。</w:t>
      </w:r>
      <w:r>
        <w:rPr>
          <w:rFonts w:hint="eastAsia" w:ascii="仿宋_GB2312" w:hAnsi="宋体" w:eastAsia="仿宋_GB2312"/>
          <w:color w:val="auto"/>
          <w:sz w:val="24"/>
          <w:highlight w:val="none"/>
          <w:lang w:val="en-US" w:eastAsia="zh-CN"/>
        </w:rPr>
        <w:t>二年内不准参加店口镇各类年度投标。</w:t>
      </w:r>
    </w:p>
    <w:p w14:paraId="61DCF802">
      <w:pPr>
        <w:spacing w:before="156" w:beforeLines="50" w:after="156" w:afterLines="50" w:line="360" w:lineRule="auto"/>
        <w:ind w:firstLine="284"/>
        <w:jc w:val="center"/>
        <w:rPr>
          <w:rFonts w:hint="eastAsia" w:ascii="仿宋_GB2312" w:eastAsia="仿宋_GB2312"/>
          <w:b/>
          <w:bCs/>
          <w:color w:val="auto"/>
          <w:sz w:val="32"/>
          <w:highlight w:val="none"/>
        </w:rPr>
      </w:pPr>
      <w:r>
        <w:rPr>
          <w:rFonts w:hint="eastAsia" w:ascii="仿宋_GB2312" w:eastAsia="仿宋_GB2312"/>
          <w:b/>
          <w:bCs/>
          <w:color w:val="auto"/>
          <w:sz w:val="32"/>
          <w:highlight w:val="none"/>
        </w:rPr>
        <w:t>八、授予合同</w:t>
      </w:r>
    </w:p>
    <w:p w14:paraId="48603BD4">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 中标通知书</w:t>
      </w:r>
    </w:p>
    <w:p w14:paraId="135DFE15">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招标人根据镇</w:t>
      </w:r>
      <w:r>
        <w:rPr>
          <w:rFonts w:hint="eastAsia" w:ascii="仿宋_GB2312" w:eastAsia="仿宋_GB2312"/>
          <w:color w:val="auto"/>
          <w:highlight w:val="none"/>
          <w:lang w:eastAsia="zh-CN"/>
        </w:rPr>
        <w:t>监管办</w:t>
      </w:r>
      <w:r>
        <w:rPr>
          <w:rFonts w:hint="eastAsia" w:ascii="仿宋_GB2312" w:eastAsia="仿宋_GB2312"/>
          <w:color w:val="auto"/>
          <w:highlight w:val="none"/>
        </w:rPr>
        <w:t>管办核准的《中标通知书》通知中标人，《中标通知书》将成为合同的主要附件。</w:t>
      </w:r>
    </w:p>
    <w:p w14:paraId="4983E5B2">
      <w:pPr>
        <w:pStyle w:val="6"/>
        <w:spacing w:line="360" w:lineRule="auto"/>
        <w:ind w:firstLine="482" w:firstLineChars="200"/>
        <w:rPr>
          <w:rFonts w:hint="eastAsia" w:ascii="仿宋_GB2312" w:eastAsia="仿宋_GB2312"/>
          <w:b/>
          <w:bCs/>
          <w:color w:val="auto"/>
          <w:highlight w:val="none"/>
        </w:rPr>
      </w:pPr>
      <w:r>
        <w:rPr>
          <w:rFonts w:hint="eastAsia" w:ascii="仿宋_GB2312" w:eastAsia="仿宋_GB2312"/>
          <w:b/>
          <w:bCs/>
          <w:color w:val="auto"/>
          <w:highlight w:val="none"/>
        </w:rPr>
        <w:t>(二) 授标及废除授标</w:t>
      </w:r>
    </w:p>
    <w:p w14:paraId="0BE6C766">
      <w:pPr>
        <w:pStyle w:val="6"/>
        <w:spacing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招标人应把代理合同授予中标人。《中标通知书》发出之后，招标人若证实中标人存在下列行为之一，仍然可以废除授标：</w:t>
      </w:r>
    </w:p>
    <w:p w14:paraId="604237C0">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弄虚作假或与其他投标人串通骗取中标的；</w:t>
      </w:r>
    </w:p>
    <w:p w14:paraId="60EE486E">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于投标有效期终止之前撤回投标文件的；</w:t>
      </w:r>
    </w:p>
    <w:p w14:paraId="137A529C">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因中标人过错而未能按照规定与招标人签订合同的；</w:t>
      </w:r>
    </w:p>
    <w:p w14:paraId="44A3A10B">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因中标人过错而未能按照规定向招标人提交履约保证金的；</w:t>
      </w:r>
    </w:p>
    <w:p w14:paraId="1A4ED1D5">
      <w:pPr>
        <w:pStyle w:val="6"/>
        <w:numPr>
          <w:ilvl w:val="0"/>
          <w:numId w:val="2"/>
        </w:numPr>
        <w:tabs>
          <w:tab w:val="clear" w:pos="900"/>
          <w:tab w:val="clear" w:pos="1800"/>
        </w:tabs>
        <w:spacing w:line="360" w:lineRule="auto"/>
        <w:rPr>
          <w:rFonts w:hint="eastAsia" w:ascii="仿宋_GB2312" w:eastAsia="仿宋_GB2312"/>
          <w:color w:val="auto"/>
          <w:highlight w:val="none"/>
        </w:rPr>
      </w:pPr>
      <w:r>
        <w:rPr>
          <w:rFonts w:hint="eastAsia" w:ascii="仿宋_GB2312" w:eastAsia="仿宋_GB2312"/>
          <w:color w:val="auto"/>
          <w:highlight w:val="none"/>
        </w:rPr>
        <w:t>存在法律、法规规定的其它损害招标人利益和社会公共利益的情形的。</w:t>
      </w:r>
    </w:p>
    <w:p w14:paraId="1BC10ABE">
      <w:pPr>
        <w:spacing w:line="360" w:lineRule="auto"/>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(三) 签订合同</w:t>
      </w:r>
    </w:p>
    <w:p w14:paraId="647376F3">
      <w:pPr>
        <w:spacing w:line="360" w:lineRule="auto"/>
        <w:ind w:firstLine="480" w:firstLineChars="200"/>
        <w:rPr>
          <w:rFonts w:hint="eastAsia" w:ascii="仿宋_GB2312" w:eastAsia="仿宋_GB2312"/>
          <w:b/>
          <w:bCs/>
          <w:color w:val="auto"/>
          <w:sz w:val="24"/>
          <w:highlight w:val="none"/>
        </w:rPr>
      </w:pPr>
      <w:r>
        <w:rPr>
          <w:rFonts w:hint="eastAsia" w:ascii="仿宋_GB2312" w:eastAsia="仿宋_GB2312"/>
          <w:color w:val="auto"/>
          <w:sz w:val="24"/>
          <w:highlight w:val="none"/>
        </w:rPr>
        <w:t>中标人应当自收到《中标通知书》之日起</w:t>
      </w:r>
      <w:r>
        <w:rPr>
          <w:rFonts w:hint="eastAsia" w:ascii="仿宋_GB2312" w:eastAsia="仿宋_GB2312"/>
          <w:color w:val="auto"/>
          <w:sz w:val="24"/>
          <w:highlight w:val="none"/>
          <w:u w:val="single"/>
        </w:rPr>
        <w:t xml:space="preserve">  5  </w:t>
      </w:r>
      <w:r>
        <w:rPr>
          <w:rFonts w:hint="eastAsia" w:ascii="仿宋_GB2312" w:eastAsia="仿宋_GB2312"/>
          <w:color w:val="auto"/>
          <w:sz w:val="24"/>
          <w:highlight w:val="none"/>
        </w:rPr>
        <w:t>日内和招标人根据《中华人民共和国合同法》等有关规定，依据招标文件、投标文件签订委托</w:t>
      </w:r>
      <w:r>
        <w:rPr>
          <w:rFonts w:hint="eastAsia" w:ascii="仿宋_GB2312" w:eastAsia="仿宋_GB2312"/>
          <w:color w:val="auto"/>
          <w:sz w:val="24"/>
          <w:highlight w:val="none"/>
          <w:lang w:eastAsia="zh-CN"/>
        </w:rPr>
        <w:t>审核</w:t>
      </w:r>
      <w:r>
        <w:rPr>
          <w:rFonts w:hint="eastAsia" w:ascii="仿宋_GB2312" w:eastAsia="仿宋_GB2312"/>
          <w:color w:val="auto"/>
          <w:sz w:val="24"/>
          <w:highlight w:val="none"/>
        </w:rPr>
        <w:t>合同，同时将合同报镇</w:t>
      </w:r>
      <w:r>
        <w:rPr>
          <w:rFonts w:hint="eastAsia" w:ascii="仿宋_GB2312" w:eastAsia="仿宋_GB2312"/>
          <w:color w:val="auto"/>
          <w:sz w:val="24"/>
          <w:highlight w:val="none"/>
          <w:lang w:eastAsia="zh-CN"/>
        </w:rPr>
        <w:t>监管办</w:t>
      </w:r>
      <w:r>
        <w:rPr>
          <w:rFonts w:hint="eastAsia" w:ascii="仿宋_GB2312" w:eastAsia="仿宋_GB2312"/>
          <w:color w:val="auto"/>
          <w:sz w:val="24"/>
          <w:highlight w:val="none"/>
        </w:rPr>
        <w:t>备案。招标人和中标人不得再另外订立背离合同实质性内容的其它协议。</w:t>
      </w:r>
    </w:p>
    <w:p w14:paraId="7C7DCA70">
      <w:pPr>
        <w:rPr>
          <w:rFonts w:hint="eastAsia" w:ascii="仿宋_GB2312" w:eastAsia="仿宋_GB2312"/>
          <w:color w:val="auto"/>
          <w:sz w:val="32"/>
          <w:highlight w:val="none"/>
        </w:rPr>
      </w:pPr>
    </w:p>
    <w:p w14:paraId="762719E0">
      <w:pPr>
        <w:numPr>
          <w:ilvl w:val="0"/>
          <w:numId w:val="0"/>
        </w:numPr>
        <w:ind w:leftChars="0"/>
        <w:jc w:val="both"/>
        <w:rPr>
          <w:rFonts w:hint="eastAsia" w:ascii="仿宋_GB2312" w:eastAsia="仿宋_GB2312"/>
          <w:color w:val="auto"/>
          <w:sz w:val="44"/>
          <w:highlight w:val="none"/>
        </w:rPr>
      </w:pPr>
    </w:p>
    <w:p w14:paraId="6D47A049">
      <w:pPr>
        <w:numPr>
          <w:ilvl w:val="0"/>
          <w:numId w:val="0"/>
        </w:numPr>
        <w:ind w:leftChars="0"/>
        <w:jc w:val="center"/>
        <w:rPr>
          <w:rFonts w:hint="eastAsia" w:ascii="仿宋_GB2312" w:eastAsia="仿宋_GB2312"/>
          <w:color w:val="auto"/>
          <w:sz w:val="44"/>
          <w:highlight w:val="none"/>
          <w:lang w:val="en-US" w:eastAsia="zh-CN"/>
        </w:rPr>
      </w:pPr>
    </w:p>
    <w:p w14:paraId="4577C317">
      <w:pPr>
        <w:rPr>
          <w:rFonts w:hint="eastAsia" w:ascii="仿宋_GB2312" w:eastAsia="仿宋_GB2312"/>
          <w:color w:val="auto"/>
          <w:sz w:val="44"/>
          <w:highlight w:val="none"/>
          <w:lang w:val="en-US" w:eastAsia="zh-CN"/>
        </w:rPr>
      </w:pPr>
      <w:r>
        <w:rPr>
          <w:rFonts w:hint="eastAsia" w:ascii="仿宋_GB2312" w:eastAsia="仿宋_GB2312"/>
          <w:color w:val="auto"/>
          <w:sz w:val="44"/>
          <w:highlight w:val="none"/>
          <w:lang w:val="en-US" w:eastAsia="zh-CN"/>
        </w:rPr>
        <w:br w:type="page"/>
      </w:r>
    </w:p>
    <w:p w14:paraId="698F8DEE">
      <w:pPr>
        <w:numPr>
          <w:ilvl w:val="0"/>
          <w:numId w:val="0"/>
        </w:numPr>
        <w:ind w:leftChars="0"/>
        <w:jc w:val="center"/>
        <w:rPr>
          <w:rFonts w:hint="eastAsia" w:ascii="仿宋_GB2312" w:eastAsia="仿宋_GB2312"/>
          <w:color w:val="auto"/>
          <w:sz w:val="44"/>
          <w:highlight w:val="none"/>
        </w:rPr>
      </w:pPr>
      <w:r>
        <w:rPr>
          <w:rFonts w:hint="eastAsia" w:ascii="仿宋_GB2312" w:eastAsia="仿宋_GB2312"/>
          <w:color w:val="auto"/>
          <w:sz w:val="44"/>
          <w:highlight w:val="none"/>
          <w:lang w:val="en-US" w:eastAsia="zh-CN"/>
        </w:rPr>
        <w:t>第四章</w:t>
      </w:r>
      <w:r>
        <w:rPr>
          <w:rFonts w:hint="eastAsia" w:ascii="仿宋_GB2312" w:eastAsia="仿宋_GB2312"/>
          <w:color w:val="auto"/>
          <w:sz w:val="44"/>
          <w:highlight w:val="none"/>
        </w:rPr>
        <w:t xml:space="preserve"> 投标文件内容及附件</w:t>
      </w:r>
    </w:p>
    <w:p w14:paraId="63AEA27A">
      <w:pPr>
        <w:jc w:val="center"/>
        <w:rPr>
          <w:rFonts w:hint="eastAsia" w:ascii="仿宋_GB2312" w:eastAsia="仿宋_GB2312"/>
          <w:color w:val="auto"/>
          <w:sz w:val="32"/>
          <w:highlight w:val="none"/>
        </w:rPr>
      </w:pPr>
    </w:p>
    <w:p w14:paraId="4C9EEA87">
      <w:pPr>
        <w:jc w:val="center"/>
        <w:rPr>
          <w:rFonts w:hint="eastAsia" w:ascii="仿宋_GB2312" w:eastAsia="仿宋_GB2312"/>
          <w:color w:val="auto"/>
          <w:sz w:val="32"/>
          <w:highlight w:val="none"/>
        </w:rPr>
      </w:pPr>
    </w:p>
    <w:p w14:paraId="77D60E6D">
      <w:pPr>
        <w:rPr>
          <w:rFonts w:hint="eastAsia" w:ascii="仿宋_GB2312" w:eastAsia="仿宋_GB2312"/>
          <w:color w:val="auto"/>
          <w:sz w:val="32"/>
          <w:highlight w:val="none"/>
        </w:rPr>
      </w:pPr>
      <w:r>
        <w:rPr>
          <w:rFonts w:hint="eastAsia" w:ascii="仿宋_GB2312" w:eastAsia="仿宋_GB2312"/>
          <w:color w:val="auto"/>
          <w:sz w:val="32"/>
          <w:highlight w:val="none"/>
        </w:rPr>
        <w:t>本项目投标文件包括：</w:t>
      </w:r>
    </w:p>
    <w:p w14:paraId="783C0EB3">
      <w:pPr>
        <w:numPr>
          <w:ilvl w:val="0"/>
          <w:numId w:val="3"/>
        </w:numPr>
        <w:rPr>
          <w:rFonts w:hint="eastAsia" w:ascii="仿宋_GB2312" w:eastAsia="仿宋_GB2312"/>
          <w:color w:val="auto"/>
          <w:sz w:val="32"/>
          <w:highlight w:val="none"/>
        </w:rPr>
      </w:pPr>
      <w:r>
        <w:rPr>
          <w:rFonts w:hint="eastAsia" w:ascii="仿宋_GB2312" w:eastAsia="仿宋_GB2312"/>
          <w:color w:val="auto"/>
          <w:sz w:val="32"/>
          <w:highlight w:val="none"/>
        </w:rPr>
        <w:t>封面</w:t>
      </w:r>
    </w:p>
    <w:p w14:paraId="4A9BBC4B">
      <w:pPr>
        <w:rPr>
          <w:rFonts w:hint="eastAsia" w:ascii="仿宋_GB2312" w:eastAsia="仿宋_GB2312"/>
          <w:color w:val="auto"/>
          <w:sz w:val="32"/>
          <w:highlight w:val="none"/>
        </w:rPr>
      </w:pPr>
      <w:r>
        <w:rPr>
          <w:rFonts w:hint="eastAsia" w:ascii="仿宋_GB2312" w:eastAsia="仿宋_GB2312"/>
          <w:color w:val="auto"/>
          <w:sz w:val="32"/>
          <w:highlight w:val="none"/>
        </w:rPr>
        <w:t>二、授权委托书</w:t>
      </w:r>
    </w:p>
    <w:p w14:paraId="5D7EA8C4">
      <w:pPr>
        <w:rPr>
          <w:rFonts w:hint="eastAsia" w:ascii="仿宋_GB2312" w:eastAsia="仿宋_GB2312"/>
          <w:b/>
          <w:color w:val="auto"/>
          <w:sz w:val="32"/>
          <w:highlight w:val="none"/>
        </w:rPr>
      </w:pPr>
      <w:r>
        <w:rPr>
          <w:rFonts w:hint="eastAsia" w:ascii="仿宋_GB2312" w:eastAsia="仿宋_GB2312"/>
          <w:color w:val="auto"/>
          <w:sz w:val="32"/>
          <w:highlight w:val="none"/>
        </w:rPr>
        <w:t>三、投标函</w:t>
      </w:r>
    </w:p>
    <w:p w14:paraId="3381A5ED">
      <w:pPr>
        <w:rPr>
          <w:rFonts w:hint="eastAsia" w:ascii="仿宋_GB2312" w:eastAsia="仿宋_GB2312"/>
          <w:color w:val="auto"/>
          <w:sz w:val="32"/>
          <w:highlight w:val="none"/>
        </w:rPr>
      </w:pPr>
    </w:p>
    <w:p w14:paraId="6ED141EB">
      <w:pPr>
        <w:rPr>
          <w:rFonts w:hint="eastAsia" w:ascii="仿宋_GB2312" w:eastAsia="仿宋_GB2312"/>
          <w:color w:val="auto"/>
          <w:sz w:val="32"/>
          <w:highlight w:val="none"/>
        </w:rPr>
      </w:pPr>
    </w:p>
    <w:p w14:paraId="667A338B">
      <w:pPr>
        <w:rPr>
          <w:rFonts w:hint="eastAsia" w:ascii="仿宋_GB2312" w:eastAsia="仿宋_GB2312"/>
          <w:color w:val="auto"/>
          <w:sz w:val="32"/>
          <w:highlight w:val="none"/>
        </w:rPr>
      </w:pPr>
    </w:p>
    <w:p w14:paraId="6622915F">
      <w:pPr>
        <w:rPr>
          <w:rFonts w:hint="eastAsia" w:ascii="仿宋_GB2312" w:eastAsia="仿宋_GB2312"/>
          <w:color w:val="auto"/>
          <w:sz w:val="32"/>
          <w:highlight w:val="none"/>
        </w:rPr>
      </w:pPr>
    </w:p>
    <w:p w14:paraId="06E75AF7">
      <w:pPr>
        <w:rPr>
          <w:rFonts w:hint="eastAsia" w:ascii="仿宋_GB2312" w:eastAsia="仿宋_GB2312"/>
          <w:color w:val="auto"/>
          <w:sz w:val="32"/>
          <w:highlight w:val="none"/>
        </w:rPr>
      </w:pPr>
    </w:p>
    <w:p w14:paraId="68BE2570">
      <w:pPr>
        <w:rPr>
          <w:rFonts w:hint="eastAsia" w:ascii="仿宋_GB2312" w:eastAsia="仿宋_GB2312"/>
          <w:color w:val="auto"/>
          <w:sz w:val="32"/>
          <w:highlight w:val="none"/>
        </w:rPr>
      </w:pPr>
    </w:p>
    <w:p w14:paraId="46CDC40D">
      <w:pPr>
        <w:rPr>
          <w:rFonts w:hint="eastAsia" w:ascii="仿宋_GB2312" w:eastAsia="仿宋_GB2312"/>
          <w:color w:val="auto"/>
          <w:sz w:val="44"/>
          <w:highlight w:val="none"/>
        </w:rPr>
      </w:pPr>
    </w:p>
    <w:p w14:paraId="743D6247">
      <w:pPr>
        <w:rPr>
          <w:rFonts w:hint="eastAsia" w:ascii="仿宋_GB2312" w:eastAsia="仿宋_GB2312"/>
          <w:color w:val="auto"/>
          <w:sz w:val="44"/>
          <w:highlight w:val="none"/>
        </w:rPr>
      </w:pPr>
    </w:p>
    <w:p w14:paraId="17A0A6A1">
      <w:pPr>
        <w:ind w:firstLine="880" w:firstLineChars="200"/>
        <w:rPr>
          <w:rFonts w:hint="eastAsia" w:ascii="仿宋_GB2312" w:eastAsia="仿宋_GB2312"/>
          <w:color w:val="auto"/>
          <w:sz w:val="44"/>
          <w:highlight w:val="none"/>
        </w:rPr>
      </w:pPr>
    </w:p>
    <w:p w14:paraId="0B4D932C">
      <w:pPr>
        <w:rPr>
          <w:rFonts w:hint="eastAsia" w:ascii="仿宋_GB2312" w:eastAsia="仿宋_GB2312"/>
          <w:color w:val="auto"/>
          <w:sz w:val="44"/>
          <w:highlight w:val="none"/>
        </w:rPr>
      </w:pPr>
      <w:r>
        <w:rPr>
          <w:rFonts w:hint="eastAsia" w:ascii="仿宋_GB2312" w:eastAsia="仿宋_GB2312"/>
          <w:color w:val="auto"/>
          <w:sz w:val="44"/>
          <w:highlight w:val="none"/>
        </w:rPr>
        <w:br w:type="page"/>
      </w:r>
    </w:p>
    <w:p w14:paraId="50B42ADB">
      <w:pPr>
        <w:ind w:firstLine="880" w:firstLineChars="200"/>
        <w:rPr>
          <w:rFonts w:hint="eastAsia" w:ascii="仿宋_GB2312" w:eastAsia="仿宋_GB2312"/>
          <w:color w:val="auto"/>
          <w:sz w:val="44"/>
          <w:highlight w:val="none"/>
        </w:rPr>
      </w:pPr>
      <w:r>
        <w:rPr>
          <w:rFonts w:hint="eastAsia" w:ascii="仿宋_GB2312" w:eastAsia="仿宋_GB2312"/>
          <w:color w:val="auto"/>
          <w:sz w:val="44"/>
          <w:highlight w:val="none"/>
        </w:rPr>
        <w:t>一、封面</w:t>
      </w:r>
    </w:p>
    <w:p w14:paraId="28AF391E">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rPr>
        <w:t xml:space="preserve">                                正本(或副本)</w:t>
      </w:r>
    </w:p>
    <w:p w14:paraId="799B55CC">
      <w:pPr>
        <w:ind w:firstLine="564" w:firstLineChars="235"/>
        <w:rPr>
          <w:rFonts w:hint="eastAsia" w:ascii="仿宋_GB2312" w:eastAsia="仿宋_GB2312"/>
          <w:color w:val="auto"/>
          <w:sz w:val="24"/>
          <w:highlight w:val="none"/>
        </w:rPr>
      </w:pPr>
    </w:p>
    <w:p w14:paraId="2877B3BA">
      <w:pPr>
        <w:ind w:firstLine="564" w:firstLineChars="235"/>
        <w:rPr>
          <w:rFonts w:hint="eastAsia" w:ascii="仿宋_GB2312" w:eastAsia="仿宋_GB2312"/>
          <w:color w:val="auto"/>
          <w:sz w:val="24"/>
          <w:highlight w:val="none"/>
        </w:rPr>
      </w:pPr>
    </w:p>
    <w:p w14:paraId="2D5F2AE2">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u w:val="single"/>
        </w:rPr>
        <w:t xml:space="preserve">          （项目名称）           </w:t>
      </w:r>
      <w:r>
        <w:rPr>
          <w:rFonts w:hint="eastAsia" w:ascii="仿宋_GB2312" w:eastAsia="仿宋_GB2312"/>
          <w:color w:val="auto"/>
          <w:sz w:val="32"/>
          <w:highlight w:val="none"/>
        </w:rPr>
        <w:t>机构招标</w:t>
      </w:r>
    </w:p>
    <w:p w14:paraId="50A08631">
      <w:pPr>
        <w:ind w:firstLine="658" w:firstLineChars="235"/>
        <w:rPr>
          <w:rFonts w:hint="eastAsia" w:ascii="仿宋_GB2312" w:eastAsia="仿宋_GB2312"/>
          <w:color w:val="auto"/>
          <w:sz w:val="28"/>
          <w:highlight w:val="none"/>
        </w:rPr>
      </w:pPr>
    </w:p>
    <w:p w14:paraId="4593F3DA">
      <w:pPr>
        <w:ind w:firstLine="658" w:firstLineChars="235"/>
        <w:rPr>
          <w:rFonts w:hint="eastAsia" w:ascii="仿宋_GB2312" w:eastAsia="仿宋_GB2312"/>
          <w:color w:val="auto"/>
          <w:sz w:val="28"/>
          <w:highlight w:val="none"/>
        </w:rPr>
      </w:pPr>
    </w:p>
    <w:p w14:paraId="088EC784">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投</w:t>
      </w:r>
    </w:p>
    <w:p w14:paraId="3734CE97">
      <w:pPr>
        <w:spacing w:line="400" w:lineRule="exact"/>
        <w:jc w:val="center"/>
        <w:rPr>
          <w:rFonts w:hint="eastAsia" w:ascii="仿宋_GB2312" w:eastAsia="仿宋_GB2312"/>
          <w:color w:val="auto"/>
          <w:sz w:val="24"/>
          <w:highlight w:val="none"/>
        </w:rPr>
      </w:pPr>
    </w:p>
    <w:p w14:paraId="2625EDE9">
      <w:pPr>
        <w:spacing w:line="400" w:lineRule="exact"/>
        <w:jc w:val="center"/>
        <w:rPr>
          <w:rFonts w:hint="eastAsia" w:ascii="仿宋_GB2312" w:eastAsia="仿宋_GB2312"/>
          <w:color w:val="auto"/>
          <w:sz w:val="24"/>
          <w:highlight w:val="none"/>
        </w:rPr>
      </w:pPr>
    </w:p>
    <w:p w14:paraId="1188AD05">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标</w:t>
      </w:r>
    </w:p>
    <w:p w14:paraId="45DA7011">
      <w:pPr>
        <w:spacing w:line="400" w:lineRule="exact"/>
        <w:jc w:val="center"/>
        <w:rPr>
          <w:rFonts w:hint="eastAsia" w:ascii="仿宋_GB2312" w:eastAsia="仿宋_GB2312"/>
          <w:color w:val="auto"/>
          <w:sz w:val="24"/>
          <w:highlight w:val="none"/>
        </w:rPr>
      </w:pPr>
    </w:p>
    <w:p w14:paraId="52761F73">
      <w:pPr>
        <w:spacing w:line="400" w:lineRule="exact"/>
        <w:jc w:val="center"/>
        <w:rPr>
          <w:rFonts w:hint="eastAsia" w:ascii="仿宋_GB2312" w:eastAsia="仿宋_GB2312"/>
          <w:color w:val="auto"/>
          <w:sz w:val="24"/>
          <w:highlight w:val="none"/>
        </w:rPr>
      </w:pPr>
    </w:p>
    <w:p w14:paraId="4E36D7FD">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文</w:t>
      </w:r>
    </w:p>
    <w:p w14:paraId="14A7919D">
      <w:pPr>
        <w:spacing w:line="400" w:lineRule="exact"/>
        <w:jc w:val="center"/>
        <w:rPr>
          <w:rFonts w:hint="eastAsia" w:ascii="仿宋_GB2312" w:eastAsia="仿宋_GB2312"/>
          <w:color w:val="auto"/>
          <w:sz w:val="24"/>
          <w:highlight w:val="none"/>
        </w:rPr>
      </w:pPr>
    </w:p>
    <w:p w14:paraId="480B62B4">
      <w:pPr>
        <w:spacing w:line="400" w:lineRule="exact"/>
        <w:jc w:val="center"/>
        <w:rPr>
          <w:rFonts w:hint="eastAsia" w:ascii="仿宋_GB2312" w:eastAsia="仿宋_GB2312"/>
          <w:color w:val="auto"/>
          <w:sz w:val="24"/>
          <w:highlight w:val="none"/>
        </w:rPr>
      </w:pPr>
    </w:p>
    <w:p w14:paraId="4F25B7AE">
      <w:pPr>
        <w:spacing w:line="700" w:lineRule="exact"/>
        <w:jc w:val="center"/>
        <w:rPr>
          <w:rFonts w:hint="eastAsia" w:ascii="仿宋_GB2312" w:eastAsia="仿宋_GB2312"/>
          <w:color w:val="auto"/>
          <w:sz w:val="72"/>
          <w:highlight w:val="none"/>
        </w:rPr>
      </w:pPr>
      <w:r>
        <w:rPr>
          <w:rFonts w:hint="eastAsia" w:ascii="仿宋_GB2312" w:eastAsia="仿宋_GB2312"/>
          <w:color w:val="auto"/>
          <w:sz w:val="72"/>
          <w:highlight w:val="none"/>
        </w:rPr>
        <w:t>件</w:t>
      </w:r>
    </w:p>
    <w:p w14:paraId="4B51BE03">
      <w:pPr>
        <w:spacing w:line="700" w:lineRule="exact"/>
        <w:rPr>
          <w:rFonts w:hint="eastAsia" w:ascii="仿宋_GB2312" w:eastAsia="仿宋_GB2312"/>
          <w:b/>
          <w:bCs/>
          <w:color w:val="auto"/>
          <w:sz w:val="52"/>
          <w:highlight w:val="none"/>
        </w:rPr>
      </w:pPr>
    </w:p>
    <w:p w14:paraId="6967E975">
      <w:pPr>
        <w:ind w:firstLine="1227" w:firstLineChars="235"/>
        <w:rPr>
          <w:rFonts w:hint="eastAsia" w:ascii="仿宋_GB2312" w:eastAsia="仿宋_GB2312"/>
          <w:b/>
          <w:bCs/>
          <w:color w:val="auto"/>
          <w:sz w:val="52"/>
          <w:highlight w:val="none"/>
        </w:rPr>
      </w:pPr>
    </w:p>
    <w:p w14:paraId="419DB444">
      <w:pPr>
        <w:ind w:firstLine="658" w:firstLineChars="235"/>
        <w:rPr>
          <w:rFonts w:hint="eastAsia" w:ascii="仿宋_GB2312" w:eastAsia="仿宋_GB2312"/>
          <w:color w:val="auto"/>
          <w:sz w:val="28"/>
          <w:highlight w:val="none"/>
          <w:u w:val="single"/>
        </w:rPr>
      </w:pPr>
      <w:r>
        <w:rPr>
          <w:rFonts w:hint="eastAsia" w:ascii="仿宋_GB2312" w:eastAsia="仿宋_GB2312"/>
          <w:color w:val="auto"/>
          <w:sz w:val="28"/>
          <w:highlight w:val="none"/>
        </w:rPr>
        <w:t>招标人：</w:t>
      </w:r>
      <w:r>
        <w:rPr>
          <w:rFonts w:hint="eastAsia" w:ascii="仿宋_GB2312" w:eastAsia="仿宋_GB2312"/>
          <w:color w:val="auto"/>
          <w:sz w:val="28"/>
          <w:highlight w:val="none"/>
          <w:u w:val="single"/>
        </w:rPr>
        <w:t xml:space="preserve">                                </w:t>
      </w:r>
    </w:p>
    <w:p w14:paraId="3A7D0686">
      <w:pPr>
        <w:ind w:firstLine="800" w:firstLineChars="250"/>
        <w:rPr>
          <w:rFonts w:hint="eastAsia" w:ascii="仿宋_GB2312" w:eastAsia="仿宋_GB2312"/>
          <w:color w:val="auto"/>
          <w:sz w:val="32"/>
          <w:highlight w:val="none"/>
          <w:u w:val="single"/>
        </w:rPr>
      </w:pPr>
      <w:r>
        <w:rPr>
          <w:rFonts w:hint="eastAsia" w:ascii="仿宋_GB2312" w:eastAsia="仿宋_GB2312"/>
          <w:color w:val="auto"/>
          <w:sz w:val="32"/>
          <w:highlight w:val="none"/>
        </w:rPr>
        <w:t>造价咨询</w:t>
      </w:r>
      <w:r>
        <w:rPr>
          <w:rFonts w:hint="eastAsia" w:ascii="仿宋_GB2312" w:eastAsia="仿宋_GB2312"/>
          <w:color w:val="auto"/>
          <w:sz w:val="28"/>
          <w:highlight w:val="none"/>
        </w:rPr>
        <w:t>机构</w:t>
      </w:r>
      <w:r>
        <w:rPr>
          <w:rFonts w:hint="eastAsia" w:ascii="仿宋_GB2312" w:eastAsia="仿宋_GB2312"/>
          <w:color w:val="auto"/>
          <w:sz w:val="28"/>
          <w:highlight w:val="none"/>
          <w:u w:val="single"/>
        </w:rPr>
        <w:t xml:space="preserve">：（全称并加盖企业法人公章） </w:t>
      </w:r>
    </w:p>
    <w:p w14:paraId="20EA65CF">
      <w:pPr>
        <w:ind w:firstLine="752" w:firstLineChars="235"/>
        <w:rPr>
          <w:rFonts w:hint="eastAsia" w:ascii="仿宋_GB2312" w:eastAsia="仿宋_GB2312"/>
          <w:color w:val="auto"/>
          <w:sz w:val="28"/>
          <w:highlight w:val="none"/>
          <w:u w:val="single"/>
        </w:rPr>
      </w:pPr>
      <w:r>
        <w:rPr>
          <w:rFonts w:hint="eastAsia" w:ascii="仿宋_GB2312" w:eastAsia="仿宋_GB2312"/>
          <w:color w:val="auto"/>
          <w:sz w:val="32"/>
          <w:highlight w:val="none"/>
        </w:rPr>
        <w:t>造价咨询</w:t>
      </w:r>
      <w:r>
        <w:rPr>
          <w:rFonts w:hint="eastAsia" w:ascii="仿宋_GB2312" w:eastAsia="仿宋_GB2312"/>
          <w:color w:val="auto"/>
          <w:sz w:val="28"/>
          <w:highlight w:val="none"/>
        </w:rPr>
        <w:t>机构法定代表人或委托代理人</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14:paraId="43E83BDE">
      <w:pPr>
        <w:ind w:firstLine="752" w:firstLineChars="235"/>
        <w:rPr>
          <w:rFonts w:hint="eastAsia" w:ascii="仿宋_GB2312" w:eastAsia="仿宋_GB2312"/>
          <w:color w:val="auto"/>
          <w:sz w:val="32"/>
          <w:highlight w:val="none"/>
        </w:rPr>
      </w:pPr>
      <w:r>
        <w:rPr>
          <w:rFonts w:hint="eastAsia" w:ascii="仿宋_GB2312" w:eastAsia="仿宋_GB2312"/>
          <w:color w:val="auto"/>
          <w:sz w:val="32"/>
          <w:highlight w:val="none"/>
        </w:rPr>
        <w:t xml:space="preserve">                  </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年</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月</w:t>
      </w:r>
      <w:r>
        <w:rPr>
          <w:rFonts w:hint="eastAsia" w:ascii="仿宋_GB2312" w:eastAsia="仿宋_GB2312"/>
          <w:color w:val="auto"/>
          <w:sz w:val="32"/>
          <w:highlight w:val="none"/>
          <w:u w:val="single"/>
        </w:rPr>
        <w:t xml:space="preserve">   </w:t>
      </w:r>
      <w:r>
        <w:rPr>
          <w:rFonts w:hint="eastAsia" w:ascii="仿宋_GB2312" w:eastAsia="仿宋_GB2312"/>
          <w:color w:val="auto"/>
          <w:sz w:val="32"/>
          <w:highlight w:val="none"/>
        </w:rPr>
        <w:t>日</w:t>
      </w:r>
    </w:p>
    <w:p w14:paraId="50E955E2">
      <w:pPr>
        <w:jc w:val="center"/>
        <w:rPr>
          <w:rFonts w:hint="eastAsia" w:ascii="仿宋_GB2312" w:eastAsia="仿宋_GB2312"/>
          <w:color w:val="auto"/>
          <w:sz w:val="44"/>
          <w:highlight w:val="none"/>
        </w:rPr>
      </w:pPr>
    </w:p>
    <w:p w14:paraId="661FD833">
      <w:pPr>
        <w:jc w:val="center"/>
        <w:rPr>
          <w:rFonts w:hint="eastAsia" w:ascii="仿宋_GB2312" w:eastAsia="仿宋_GB2312"/>
          <w:color w:val="auto"/>
          <w:sz w:val="32"/>
          <w:highlight w:val="none"/>
        </w:rPr>
      </w:pPr>
      <w:r>
        <w:rPr>
          <w:rFonts w:hint="eastAsia" w:ascii="仿宋_GB2312" w:eastAsia="仿宋_GB2312"/>
          <w:color w:val="auto"/>
          <w:sz w:val="44"/>
          <w:highlight w:val="none"/>
        </w:rPr>
        <w:t>二、法定代表人授权书</w:t>
      </w:r>
    </w:p>
    <w:p w14:paraId="7447D336">
      <w:pPr>
        <w:ind w:firstLine="566" w:firstLineChars="235"/>
        <w:jc w:val="center"/>
        <w:rPr>
          <w:rFonts w:hint="eastAsia" w:ascii="仿宋_GB2312" w:eastAsia="仿宋_GB2312"/>
          <w:b/>
          <w:bCs/>
          <w:color w:val="auto"/>
          <w:sz w:val="24"/>
          <w:highlight w:val="none"/>
        </w:rPr>
      </w:pPr>
    </w:p>
    <w:p w14:paraId="295BEF92">
      <w:pPr>
        <w:ind w:firstLine="566" w:firstLineChars="235"/>
        <w:jc w:val="center"/>
        <w:rPr>
          <w:rFonts w:hint="eastAsia" w:ascii="仿宋_GB2312" w:eastAsia="仿宋_GB2312"/>
          <w:b/>
          <w:bCs/>
          <w:color w:val="auto"/>
          <w:sz w:val="24"/>
          <w:highlight w:val="none"/>
        </w:rPr>
      </w:pPr>
    </w:p>
    <w:p w14:paraId="083D7E25">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本授权委托书声明：我</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（姓名）系</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w:t>
      </w:r>
      <w:r>
        <w:rPr>
          <w:rFonts w:hint="eastAsia" w:ascii="仿宋_GB2312" w:eastAsia="仿宋_GB2312"/>
          <w:color w:val="auto"/>
          <w:sz w:val="30"/>
          <w:highlight w:val="none"/>
          <w:lang w:eastAsia="zh-CN"/>
        </w:rPr>
        <w:t>审核</w:t>
      </w:r>
      <w:r>
        <w:rPr>
          <w:rFonts w:hint="eastAsia" w:ascii="仿宋_GB2312" w:eastAsia="仿宋_GB2312"/>
          <w:color w:val="auto"/>
          <w:sz w:val="30"/>
          <w:highlight w:val="none"/>
        </w:rPr>
        <w:t>机构）的法定代表人，现授权</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（姓名）为我公司委托代理人，以本公司的名义参加</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（招标人）的</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（项目名称）的招标活动。委托代理人在</w:t>
      </w:r>
      <w:r>
        <w:rPr>
          <w:rFonts w:hint="eastAsia" w:ascii="仿宋_GB2312" w:eastAsia="仿宋_GB2312"/>
          <w:color w:val="auto"/>
          <w:sz w:val="30"/>
          <w:highlight w:val="none"/>
          <w:lang w:eastAsia="zh-CN"/>
        </w:rPr>
        <w:t>审核</w:t>
      </w:r>
      <w:r>
        <w:rPr>
          <w:rFonts w:hint="eastAsia" w:ascii="仿宋_GB2312" w:eastAsia="仿宋_GB2312"/>
          <w:color w:val="auto"/>
          <w:sz w:val="30"/>
          <w:highlight w:val="none"/>
        </w:rPr>
        <w:t>机构招标活动和委托</w:t>
      </w:r>
      <w:r>
        <w:rPr>
          <w:rFonts w:hint="eastAsia" w:ascii="仿宋_GB2312" w:eastAsia="仿宋_GB2312"/>
          <w:color w:val="auto"/>
          <w:sz w:val="30"/>
          <w:highlight w:val="none"/>
          <w:lang w:eastAsia="zh-CN"/>
        </w:rPr>
        <w:t>审核</w:t>
      </w:r>
      <w:r>
        <w:rPr>
          <w:rFonts w:hint="eastAsia" w:ascii="仿宋_GB2312" w:eastAsia="仿宋_GB2312"/>
          <w:color w:val="auto"/>
          <w:sz w:val="30"/>
          <w:highlight w:val="none"/>
        </w:rPr>
        <w:t>合同谈判过程中所签署的一切文件和处理与之有关的一切事务，我及我公司均予以承认并全部承担其产生的所有权利和义务。</w:t>
      </w:r>
    </w:p>
    <w:p w14:paraId="5C137C80">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委托代理人无转委权。特此委托。</w:t>
      </w:r>
    </w:p>
    <w:p w14:paraId="2C668F29">
      <w:pPr>
        <w:ind w:firstLine="600" w:firstLineChars="200"/>
        <w:rPr>
          <w:rFonts w:hint="eastAsia" w:ascii="仿宋_GB2312" w:eastAsia="仿宋_GB2312"/>
          <w:color w:val="auto"/>
          <w:sz w:val="30"/>
          <w:highlight w:val="none"/>
        </w:rPr>
      </w:pPr>
    </w:p>
    <w:p w14:paraId="54E3D101">
      <w:pPr>
        <w:ind w:firstLine="600" w:firstLineChars="200"/>
        <w:rPr>
          <w:rFonts w:hint="eastAsia" w:ascii="仿宋_GB2312" w:eastAsia="仿宋_GB2312"/>
          <w:color w:val="auto"/>
          <w:sz w:val="30"/>
          <w:highlight w:val="none"/>
        </w:rPr>
      </w:pPr>
    </w:p>
    <w:p w14:paraId="2002573A">
      <w:pPr>
        <w:ind w:firstLine="600" w:firstLineChars="200"/>
        <w:rPr>
          <w:rFonts w:hint="eastAsia" w:ascii="仿宋_GB2312" w:eastAsia="仿宋_GB2312"/>
          <w:color w:val="auto"/>
          <w:sz w:val="30"/>
          <w:highlight w:val="none"/>
          <w:u w:val="single"/>
        </w:rPr>
      </w:pPr>
      <w:r>
        <w:rPr>
          <w:rFonts w:hint="eastAsia" w:ascii="仿宋_GB2312" w:eastAsia="仿宋_GB2312"/>
          <w:color w:val="auto"/>
          <w:sz w:val="30"/>
          <w:highlight w:val="none"/>
        </w:rPr>
        <w:t>委托代理人</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（签字）性别</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年龄</w:t>
      </w:r>
      <w:r>
        <w:rPr>
          <w:rFonts w:hint="eastAsia" w:ascii="仿宋_GB2312" w:eastAsia="仿宋_GB2312"/>
          <w:color w:val="auto"/>
          <w:sz w:val="30"/>
          <w:highlight w:val="none"/>
          <w:u w:val="single"/>
        </w:rPr>
        <w:t xml:space="preserve">：     </w:t>
      </w:r>
    </w:p>
    <w:p w14:paraId="1DFC2D67">
      <w:pPr>
        <w:ind w:firstLine="600" w:firstLineChars="200"/>
        <w:rPr>
          <w:rFonts w:hint="eastAsia" w:ascii="仿宋_GB2312" w:eastAsia="仿宋_GB2312"/>
          <w:color w:val="auto"/>
          <w:sz w:val="30"/>
          <w:highlight w:val="none"/>
        </w:rPr>
      </w:pPr>
      <w:r>
        <w:rPr>
          <w:rFonts w:hint="eastAsia" w:ascii="仿宋_GB2312" w:eastAsia="仿宋_GB2312"/>
          <w:color w:val="auto"/>
          <w:sz w:val="30"/>
          <w:highlight w:val="none"/>
        </w:rPr>
        <w:t>委托代理人部门</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职务</w:t>
      </w:r>
      <w:r>
        <w:rPr>
          <w:rFonts w:hint="eastAsia" w:ascii="仿宋_GB2312" w:eastAsia="仿宋_GB2312"/>
          <w:color w:val="auto"/>
          <w:sz w:val="30"/>
          <w:highlight w:val="none"/>
          <w:u w:val="single"/>
        </w:rPr>
        <w:t xml:space="preserve">：        </w:t>
      </w:r>
    </w:p>
    <w:p w14:paraId="2A7384FD">
      <w:pPr>
        <w:ind w:firstLine="600" w:firstLineChars="200"/>
        <w:rPr>
          <w:rFonts w:hint="eastAsia" w:ascii="仿宋_GB2312" w:eastAsia="仿宋_GB2312"/>
          <w:color w:val="auto"/>
          <w:sz w:val="30"/>
          <w:highlight w:val="none"/>
          <w:u w:val="single"/>
        </w:rPr>
      </w:pPr>
      <w:r>
        <w:rPr>
          <w:rFonts w:hint="eastAsia" w:ascii="仿宋_GB2312" w:eastAsia="仿宋_GB2312"/>
          <w:color w:val="auto"/>
          <w:sz w:val="30"/>
          <w:highlight w:val="none"/>
        </w:rPr>
        <w:t>委托代理人(电话)</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（手机）</w:t>
      </w:r>
      <w:r>
        <w:rPr>
          <w:rFonts w:hint="eastAsia" w:ascii="仿宋_GB2312" w:eastAsia="仿宋_GB2312"/>
          <w:color w:val="auto"/>
          <w:sz w:val="30"/>
          <w:highlight w:val="none"/>
          <w:u w:val="single"/>
        </w:rPr>
        <w:t xml:space="preserve">          </w:t>
      </w:r>
    </w:p>
    <w:p w14:paraId="30C023F5">
      <w:pPr>
        <w:ind w:firstLine="600" w:firstLineChars="200"/>
        <w:rPr>
          <w:rFonts w:hint="eastAsia" w:ascii="仿宋_GB2312" w:eastAsia="仿宋_GB2312"/>
          <w:color w:val="auto"/>
          <w:sz w:val="30"/>
          <w:highlight w:val="none"/>
        </w:rPr>
      </w:pPr>
    </w:p>
    <w:p w14:paraId="35A086BA">
      <w:pPr>
        <w:ind w:firstLine="600" w:firstLineChars="200"/>
        <w:rPr>
          <w:rFonts w:hint="eastAsia" w:ascii="仿宋_GB2312" w:eastAsia="仿宋_GB2312"/>
          <w:color w:val="auto"/>
          <w:sz w:val="30"/>
          <w:highlight w:val="none"/>
        </w:rPr>
      </w:pPr>
    </w:p>
    <w:p w14:paraId="59FF0D84">
      <w:pPr>
        <w:ind w:firstLine="3000" w:firstLineChars="1000"/>
        <w:rPr>
          <w:rFonts w:hint="eastAsia" w:ascii="仿宋_GB2312" w:eastAsia="仿宋_GB2312"/>
          <w:color w:val="auto"/>
          <w:sz w:val="30"/>
          <w:highlight w:val="none"/>
        </w:rPr>
      </w:pPr>
      <w:r>
        <w:rPr>
          <w:rFonts w:hint="eastAsia" w:ascii="仿宋_GB2312" w:eastAsia="仿宋_GB2312"/>
          <w:color w:val="auto"/>
          <w:sz w:val="30"/>
          <w:highlight w:val="none"/>
        </w:rPr>
        <w:t>授权人(法定代表人)</w:t>
      </w:r>
      <w:r>
        <w:rPr>
          <w:rFonts w:hint="eastAsia" w:ascii="仿宋_GB2312" w:eastAsia="仿宋_GB2312"/>
          <w:color w:val="auto"/>
          <w:sz w:val="30"/>
          <w:highlight w:val="none"/>
          <w:u w:val="single"/>
        </w:rPr>
        <w:t xml:space="preserve">：                </w:t>
      </w:r>
    </w:p>
    <w:p w14:paraId="6E8B6C2D">
      <w:pPr>
        <w:ind w:firstLine="705" w:firstLineChars="235"/>
        <w:rPr>
          <w:rFonts w:hint="eastAsia" w:ascii="仿宋_GB2312" w:eastAsia="仿宋_GB2312"/>
          <w:color w:val="auto"/>
          <w:sz w:val="30"/>
          <w:highlight w:val="none"/>
          <w:u w:val="single"/>
        </w:rPr>
      </w:pPr>
      <w:r>
        <w:rPr>
          <w:rFonts w:hint="eastAsia" w:ascii="仿宋_GB2312" w:eastAsia="仿宋_GB2312"/>
          <w:color w:val="auto"/>
          <w:sz w:val="30"/>
          <w:highlight w:val="none"/>
        </w:rPr>
        <w:t xml:space="preserve">     　　　造价咨询机构：</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（全称并加盖公章）</w:t>
      </w:r>
    </w:p>
    <w:p w14:paraId="2AE5597C">
      <w:pPr>
        <w:ind w:firstLine="705" w:firstLineChars="235"/>
        <w:rPr>
          <w:rFonts w:hint="eastAsia" w:ascii="仿宋_GB2312" w:eastAsia="仿宋_GB2312"/>
          <w:color w:val="auto"/>
          <w:sz w:val="32"/>
          <w:highlight w:val="none"/>
        </w:rPr>
      </w:pPr>
      <w:r>
        <w:rPr>
          <w:rFonts w:hint="eastAsia" w:ascii="仿宋_GB2312" w:eastAsia="仿宋_GB2312"/>
          <w:color w:val="auto"/>
          <w:sz w:val="30"/>
          <w:highlight w:val="none"/>
        </w:rPr>
        <w:t xml:space="preserve">                        日 期：</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年</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月</w:t>
      </w:r>
      <w:r>
        <w:rPr>
          <w:rFonts w:hint="eastAsia" w:ascii="仿宋_GB2312" w:eastAsia="仿宋_GB2312"/>
          <w:color w:val="auto"/>
          <w:sz w:val="30"/>
          <w:highlight w:val="none"/>
          <w:u w:val="single"/>
        </w:rPr>
        <w:t xml:space="preserve">   </w:t>
      </w:r>
      <w:r>
        <w:rPr>
          <w:rFonts w:hint="eastAsia" w:ascii="仿宋_GB2312" w:eastAsia="仿宋_GB2312"/>
          <w:color w:val="auto"/>
          <w:sz w:val="30"/>
          <w:highlight w:val="none"/>
        </w:rPr>
        <w:t>日</w:t>
      </w:r>
    </w:p>
    <w:p w14:paraId="53048966">
      <w:pPr>
        <w:rPr>
          <w:rFonts w:hint="eastAsia" w:ascii="仿宋_GB2312" w:eastAsia="仿宋_GB2312"/>
          <w:b/>
          <w:bCs/>
          <w:color w:val="auto"/>
          <w:sz w:val="44"/>
          <w:highlight w:val="none"/>
        </w:rPr>
      </w:pPr>
    </w:p>
    <w:p w14:paraId="7A7627D3">
      <w:pPr>
        <w:rPr>
          <w:rFonts w:hint="eastAsia" w:ascii="仿宋" w:hAnsi="仿宋" w:eastAsia="仿宋" w:cs="仿宋"/>
          <w:color w:val="auto"/>
          <w:sz w:val="44"/>
          <w:highlight w:val="none"/>
        </w:rPr>
      </w:pPr>
      <w:r>
        <w:rPr>
          <w:rFonts w:hint="eastAsia" w:ascii="仿宋" w:hAnsi="仿宋" w:eastAsia="仿宋" w:cs="仿宋"/>
          <w:color w:val="auto"/>
          <w:sz w:val="44"/>
          <w:highlight w:val="none"/>
        </w:rPr>
        <w:br w:type="page"/>
      </w:r>
    </w:p>
    <w:p w14:paraId="3D3F800D">
      <w:pPr>
        <w:spacing w:line="360" w:lineRule="auto"/>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t>三、投标函</w:t>
      </w:r>
    </w:p>
    <w:p w14:paraId="36D83B11">
      <w:pPr>
        <w:spacing w:line="360" w:lineRule="auto"/>
        <w:rPr>
          <w:rFonts w:hint="eastAsia" w:ascii="仿宋" w:hAnsi="仿宋" w:eastAsia="仿宋" w:cs="仿宋"/>
          <w:color w:val="auto"/>
          <w:sz w:val="28"/>
          <w:szCs w:val="28"/>
          <w:highlight w:val="none"/>
          <w:u w:val="single"/>
        </w:rPr>
      </w:pPr>
    </w:p>
    <w:p w14:paraId="031375C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（招标人名称）:</w:t>
      </w:r>
    </w:p>
    <w:p w14:paraId="2E19CD27">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1、我方已全面阅读和研究了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的招标文件和招标补充文件，已充分理解并掌握了本项目的全部有关情况。同意接受招标文件的全部内容和条件，并按此确定本项目投标的要约内容，以本投标函进行投标。</w:t>
      </w:r>
    </w:p>
    <w:p w14:paraId="3F79608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2、我方承诺在投标有效期内不修改、撤销投标函。</w:t>
      </w:r>
    </w:p>
    <w:p w14:paraId="49CFD75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3、一旦我方中标，我方保证在招标文件规定的时间内与你方签订合同，并按期完成招标文件中规定的所有代理内容。</w:t>
      </w:r>
    </w:p>
    <w:p w14:paraId="6534851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4、我公司如违反上述条款，愿无条件接受你方解除合同的处理，并赔偿由此造成的一切损失，同时接受招投标监管部门的处理。</w:t>
      </w:r>
    </w:p>
    <w:p w14:paraId="5D99CB09">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w:t>
      </w:r>
      <w:r>
        <w:rPr>
          <w:rFonts w:hint="eastAsia" w:ascii="仿宋" w:hAnsi="仿宋" w:eastAsia="仿宋" w:cs="仿宋"/>
          <w:color w:val="auto"/>
          <w:sz w:val="28"/>
          <w:szCs w:val="28"/>
          <w:highlight w:val="none"/>
          <w:u w:val="single"/>
        </w:rPr>
        <w:t xml:space="preserve">                         （盖章）</w:t>
      </w:r>
    </w:p>
    <w:p w14:paraId="771F1C3C">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投标人地址：</w:t>
      </w:r>
      <w:r>
        <w:rPr>
          <w:rFonts w:hint="eastAsia" w:ascii="仿宋" w:hAnsi="仿宋" w:eastAsia="仿宋" w:cs="仿宋"/>
          <w:color w:val="auto"/>
          <w:sz w:val="28"/>
          <w:szCs w:val="28"/>
          <w:highlight w:val="none"/>
          <w:u w:val="single"/>
        </w:rPr>
        <w:t xml:space="preserve">                                  </w:t>
      </w:r>
    </w:p>
    <w:p w14:paraId="72C56551">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法定代表人或委托代理人：</w:t>
      </w:r>
      <w:r>
        <w:rPr>
          <w:rFonts w:hint="eastAsia" w:ascii="仿宋" w:hAnsi="仿宋" w:eastAsia="仿宋" w:cs="仿宋"/>
          <w:color w:val="auto"/>
          <w:sz w:val="28"/>
          <w:szCs w:val="28"/>
          <w:highlight w:val="none"/>
          <w:u w:val="single"/>
        </w:rPr>
        <w:t xml:space="preserve">                         （签字）</w:t>
      </w:r>
    </w:p>
    <w:p w14:paraId="1F65C462">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法定代表人或委托代理人联系电话：</w:t>
      </w:r>
      <w:r>
        <w:rPr>
          <w:rFonts w:hint="eastAsia" w:ascii="仿宋" w:hAnsi="仿宋" w:eastAsia="仿宋" w:cs="仿宋"/>
          <w:color w:val="auto"/>
          <w:sz w:val="28"/>
          <w:szCs w:val="28"/>
          <w:highlight w:val="none"/>
          <w:u w:val="single"/>
        </w:rPr>
        <w:t xml:space="preserve">             　　</w:t>
      </w:r>
    </w:p>
    <w:p w14:paraId="304C4EFF">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p>
    <w:p w14:paraId="56C3EB66">
      <w:pPr>
        <w:adjustRightInd w:val="0"/>
        <w:snapToGrid w:val="0"/>
        <w:spacing w:line="360" w:lineRule="auto"/>
        <w:ind w:left="718" w:leftChars="34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14:paraId="530A081B">
      <w:pPr>
        <w:adjustRightInd w:val="0"/>
        <w:snapToGrid w:val="0"/>
        <w:spacing w:line="360" w:lineRule="auto"/>
        <w:ind w:left="718" w:leftChars="34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14:paraId="77D92586">
      <w:pPr>
        <w:spacing w:line="360" w:lineRule="auto"/>
        <w:rPr>
          <w:rFonts w:hint="eastAsia" w:ascii="仿宋" w:hAnsi="仿宋" w:eastAsia="仿宋" w:cs="仿宋"/>
          <w:color w:val="auto"/>
          <w:sz w:val="32"/>
          <w:highlight w:val="none"/>
        </w:rPr>
      </w:pPr>
      <w:r>
        <w:rPr>
          <w:rFonts w:hint="eastAsia" w:ascii="仿宋" w:hAnsi="仿宋" w:eastAsia="仿宋" w:cs="仿宋"/>
          <w:color w:val="auto"/>
          <w:sz w:val="28"/>
          <w:szCs w:val="28"/>
          <w:highlight w:val="none"/>
        </w:rPr>
        <w:t xml:space="preserve">                               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30C0DF6">
      <w:pPr>
        <w:rPr>
          <w:rFonts w:hint="eastAsia" w:ascii="仿宋_GB2312" w:eastAsia="仿宋_GB2312"/>
          <w:color w:val="auto"/>
          <w:sz w:val="30"/>
          <w:szCs w:val="20"/>
          <w:highlight w:val="none"/>
        </w:rPr>
      </w:pPr>
      <w:r>
        <w:rPr>
          <w:rFonts w:hint="eastAsia" w:ascii="仿宋_GB2312" w:eastAsia="仿宋_GB2312"/>
          <w:color w:val="auto"/>
          <w:sz w:val="30"/>
          <w:szCs w:val="20"/>
          <w:highlight w:val="none"/>
        </w:rPr>
        <w:br w:type="page"/>
      </w:r>
    </w:p>
    <w:p w14:paraId="55B49B7D">
      <w:pPr>
        <w:numPr>
          <w:ilvl w:val="0"/>
          <w:numId w:val="0"/>
        </w:numPr>
        <w:ind w:leftChars="0"/>
        <w:jc w:val="center"/>
        <w:rPr>
          <w:rFonts w:hint="eastAsia" w:ascii="仿宋_GB2312" w:hAnsi="Times New Roman" w:eastAsia="仿宋_GB2312" w:cs="Times New Roman"/>
          <w:color w:val="auto"/>
          <w:sz w:val="44"/>
          <w:highlight w:val="none"/>
          <w:lang w:val="en-US" w:eastAsia="zh-CN"/>
        </w:rPr>
      </w:pPr>
      <w:r>
        <w:rPr>
          <w:rFonts w:hint="eastAsia" w:ascii="仿宋_GB2312" w:hAnsi="Times New Roman" w:eastAsia="仿宋_GB2312" w:cs="Times New Roman"/>
          <w:color w:val="auto"/>
          <w:sz w:val="44"/>
          <w:highlight w:val="none"/>
          <w:lang w:val="en-US" w:eastAsia="zh-CN"/>
        </w:rPr>
        <w:t>第五章　委托审核协议(格式)</w:t>
      </w:r>
    </w:p>
    <w:p w14:paraId="70DFD201">
      <w:pPr>
        <w:autoSpaceDE w:val="0"/>
        <w:autoSpaceDN w:val="0"/>
        <w:adjustRightInd w:val="0"/>
        <w:snapToGrid w:val="0"/>
        <w:spacing w:line="360" w:lineRule="auto"/>
        <w:ind w:right="-109" w:rightChars="-52"/>
        <w:jc w:val="left"/>
        <w:rPr>
          <w:rFonts w:hint="eastAsia" w:ascii="仿宋" w:hAnsi="仿宋" w:eastAsia="仿宋" w:cs="仿宋"/>
          <w:color w:val="auto"/>
          <w:kern w:val="0"/>
          <w:sz w:val="28"/>
          <w:szCs w:val="28"/>
          <w:highlight w:val="none"/>
        </w:rPr>
      </w:pPr>
    </w:p>
    <w:p w14:paraId="73311345">
      <w:pPr>
        <w:autoSpaceDE w:val="0"/>
        <w:autoSpaceDN w:val="0"/>
        <w:adjustRightInd w:val="0"/>
        <w:snapToGrid w:val="0"/>
        <w:spacing w:line="360" w:lineRule="auto"/>
        <w:ind w:right="-109" w:rightChars="-52"/>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甲方（委托单位）：</w:t>
      </w:r>
      <w:r>
        <w:rPr>
          <w:rFonts w:hint="eastAsia" w:ascii="仿宋" w:hAnsi="仿宋" w:eastAsia="仿宋" w:cs="仿宋"/>
          <w:color w:val="auto"/>
          <w:kern w:val="0"/>
          <w:sz w:val="28"/>
          <w:szCs w:val="28"/>
          <w:highlight w:val="none"/>
          <w:u w:val="single"/>
          <w:lang w:eastAsia="zh-CN"/>
        </w:rPr>
        <w:t>诸暨市店口镇人民政府</w:t>
      </w:r>
    </w:p>
    <w:p w14:paraId="0075510A">
      <w:pPr>
        <w:tabs>
          <w:tab w:val="left" w:pos="3735"/>
        </w:tabs>
        <w:autoSpaceDE w:val="0"/>
        <w:autoSpaceDN w:val="0"/>
        <w:adjustRightInd w:val="0"/>
        <w:snapToGrid w:val="0"/>
        <w:spacing w:line="360" w:lineRule="auto"/>
        <w:ind w:right="-109" w:rightChars="-52"/>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（协审单位）：</w:t>
      </w:r>
      <w:r>
        <w:rPr>
          <w:rFonts w:hint="eastAsia" w:ascii="仿宋" w:hAnsi="仿宋" w:eastAsia="仿宋" w:cs="仿宋"/>
          <w:color w:val="auto"/>
          <w:kern w:val="0"/>
          <w:sz w:val="28"/>
          <w:szCs w:val="28"/>
          <w:highlight w:val="none"/>
          <w:u w:val="single"/>
          <w:lang w:val="en-US" w:eastAsia="zh-CN"/>
        </w:rPr>
        <w:t xml:space="preserve">                     </w:t>
      </w:r>
    </w:p>
    <w:p w14:paraId="20C691E6">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p>
    <w:p w14:paraId="3C25F366">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为明确双方之权利义务关系，依照《中华人民共和国民法典》及相关法律法规的规定，经双方充分协商，订立本委托合同。</w:t>
      </w:r>
    </w:p>
    <w:p w14:paraId="3F710E0B">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第一条 服务范围</w:t>
      </w:r>
    </w:p>
    <w:p w14:paraId="3D00A138">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2025-2027年度内店口镇200万以下镇（村）级工程结算审核工作</w:t>
      </w:r>
      <w:r>
        <w:rPr>
          <w:rFonts w:hint="eastAsia" w:ascii="仿宋" w:hAnsi="仿宋" w:eastAsia="仿宋" w:cs="仿宋"/>
          <w:color w:val="auto"/>
          <w:kern w:val="0"/>
          <w:sz w:val="28"/>
          <w:szCs w:val="28"/>
          <w:highlight w:val="none"/>
        </w:rPr>
        <w:t xml:space="preserve">  </w:t>
      </w:r>
    </w:p>
    <w:p w14:paraId="0FD45367">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第二条 服务期限及质量要求</w:t>
      </w:r>
    </w:p>
    <w:p w14:paraId="77456AE2">
      <w:pPr>
        <w:autoSpaceDE w:val="0"/>
        <w:autoSpaceDN w:val="0"/>
        <w:adjustRightInd w:val="0"/>
        <w:snapToGrid w:val="0"/>
        <w:spacing w:line="360" w:lineRule="auto"/>
        <w:ind w:right="-109" w:rightChars="-52" w:firstLine="560" w:firstLineChars="200"/>
        <w:rPr>
          <w:rFonts w:hint="default"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1、服务期限:</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u w:val="none"/>
          <w:lang w:val="en-US" w:eastAsia="zh-CN"/>
        </w:rPr>
        <w:t>合同签订之日</w:t>
      </w:r>
      <w:r>
        <w:rPr>
          <w:rFonts w:hint="eastAsia" w:ascii="仿宋" w:hAnsi="仿宋" w:eastAsia="仿宋" w:cs="仿宋"/>
          <w:color w:val="auto"/>
          <w:kern w:val="0"/>
          <w:sz w:val="28"/>
          <w:szCs w:val="28"/>
          <w:highlight w:val="none"/>
          <w:u w:val="none"/>
          <w:lang w:val="en-US" w:eastAsia="zh-CN"/>
        </w:rPr>
        <w:t>起两年</w:t>
      </w:r>
    </w:p>
    <w:p w14:paraId="2AF43DB4">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2、服务质量:乙方应依据认真履行好职责，向甲方提供高质量高效率的服务，服务内容及程序符合国家质量标准和市审核中心等相关规定，包括但不限于以下内容:</w:t>
      </w:r>
    </w:p>
    <w:p w14:paraId="79E2FBE1">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(1)对送审结算资料是否齐全;</w:t>
      </w:r>
    </w:p>
    <w:p w14:paraId="084F133E">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(2)对定额套用、工程量计算、信息价套用是否有误，材料及综合签证价是否合理;</w:t>
      </w:r>
    </w:p>
    <w:p w14:paraId="2CBB37FA">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(3)组织现场踏勘、工程量、价核对;</w:t>
      </w:r>
    </w:p>
    <w:p w14:paraId="044E68AE">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(4)要求</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甲方</w:t>
      </w:r>
      <w:r>
        <w:rPr>
          <w:rFonts w:hint="eastAsia" w:ascii="仿宋" w:hAnsi="仿宋" w:eastAsia="仿宋" w:cs="仿宋"/>
          <w:color w:val="auto"/>
          <w:kern w:val="0"/>
          <w:sz w:val="28"/>
          <w:szCs w:val="28"/>
          <w:highlight w:val="none"/>
        </w:rPr>
        <w:t>提供结算</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资料后，初审15天内、复审5天内配合完成相关</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工作。</w:t>
      </w:r>
    </w:p>
    <w:p w14:paraId="742141D3">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(5)依法依规开展业务工作，以甲方的体利益为出发点，服从甲方统一管理，若在业务上存在大纰漏或工作态度消极、服务质量差、进度滞后等现象，</w:t>
      </w:r>
      <w:r>
        <w:rPr>
          <w:rFonts w:hint="eastAsia" w:ascii="仿宋" w:hAnsi="仿宋" w:eastAsia="仿宋" w:cs="仿宋"/>
          <w:color w:val="auto"/>
          <w:kern w:val="0"/>
          <w:sz w:val="28"/>
          <w:szCs w:val="28"/>
          <w:highlight w:val="none"/>
          <w:lang w:val="en-US" w:eastAsia="zh-CN"/>
        </w:rPr>
        <w:t>并给业主带来损失，甲方有权随时终止合作并追究相关责任，同时对于造成业主损失的依法由乙方承担赔偿损失。</w:t>
      </w:r>
    </w:p>
    <w:p w14:paraId="7F24E38D">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第三条 服务费用</w:t>
      </w:r>
    </w:p>
    <w:tbl>
      <w:tblPr>
        <w:tblStyle w:val="8"/>
        <w:tblpPr w:leftFromText="180" w:rightFromText="180" w:vertAnchor="text" w:horzAnchor="margin" w:tblpXSpec="center" w:tblpY="2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851"/>
        <w:gridCol w:w="850"/>
        <w:gridCol w:w="851"/>
        <w:gridCol w:w="850"/>
        <w:gridCol w:w="851"/>
        <w:gridCol w:w="850"/>
        <w:gridCol w:w="851"/>
      </w:tblGrid>
      <w:tr w14:paraId="3AC2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97" w:type="dxa"/>
            <w:gridSpan w:val="9"/>
            <w:noWrap w:val="0"/>
            <w:vAlign w:val="center"/>
          </w:tcPr>
          <w:p w14:paraId="7965F88B">
            <w:pPr>
              <w:autoSpaceDE/>
              <w:autoSpaceDN/>
              <w:adjustRightInd w:val="0"/>
              <w:spacing w:before="156" w:beforeLines="50"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kern w:val="0"/>
                <w:sz w:val="21"/>
                <w:szCs w:val="21"/>
                <w:highlight w:val="none"/>
                <w:lang w:val="en-US"/>
              </w:rPr>
              <w:t>《浙江省建设工程造价咨询服务项目及收费指引》</w:t>
            </w:r>
            <w:r>
              <w:rPr>
                <w:rFonts w:hint="eastAsia" w:ascii="仿宋" w:hAnsi="仿宋" w:eastAsia="仿宋" w:cs="仿宋"/>
                <w:color w:val="auto"/>
                <w:kern w:val="0"/>
                <w:sz w:val="21"/>
                <w:szCs w:val="21"/>
                <w:highlight w:val="none"/>
              </w:rPr>
              <w:t>（浙建价协〔20</w:t>
            </w:r>
            <w:r>
              <w:rPr>
                <w:rFonts w:hint="eastAsia" w:ascii="仿宋" w:hAnsi="仿宋" w:eastAsia="仿宋" w:cs="仿宋"/>
                <w:color w:val="auto"/>
                <w:kern w:val="0"/>
                <w:sz w:val="21"/>
                <w:szCs w:val="21"/>
                <w:highlight w:val="none"/>
                <w:lang w:val="en-US"/>
              </w:rPr>
              <w:t>21</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rPr>
              <w:t>13</w:t>
            </w:r>
            <w:r>
              <w:rPr>
                <w:rFonts w:hint="eastAsia" w:ascii="仿宋" w:hAnsi="仿宋" w:eastAsia="仿宋" w:cs="仿宋"/>
                <w:color w:val="auto"/>
                <w:kern w:val="0"/>
                <w:sz w:val="21"/>
                <w:szCs w:val="21"/>
                <w:highlight w:val="none"/>
              </w:rPr>
              <w:t>号）</w:t>
            </w:r>
          </w:p>
        </w:tc>
      </w:tr>
      <w:tr w14:paraId="7271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668" w:type="dxa"/>
            <w:vMerge w:val="restart"/>
            <w:noWrap w:val="0"/>
            <w:vAlign w:val="center"/>
          </w:tcPr>
          <w:p w14:paraId="7DC5A0F0">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收费项目</w:t>
            </w:r>
          </w:p>
        </w:tc>
        <w:tc>
          <w:tcPr>
            <w:tcW w:w="1275" w:type="dxa"/>
            <w:vMerge w:val="restart"/>
            <w:noWrap w:val="0"/>
            <w:vAlign w:val="center"/>
          </w:tcPr>
          <w:p w14:paraId="4659DEAE">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收费基数</w:t>
            </w:r>
          </w:p>
        </w:tc>
        <w:tc>
          <w:tcPr>
            <w:tcW w:w="5954" w:type="dxa"/>
            <w:gridSpan w:val="7"/>
            <w:noWrap w:val="0"/>
            <w:vAlign w:val="center"/>
          </w:tcPr>
          <w:p w14:paraId="0A8B29AC">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分档累进计费标准</w:t>
            </w:r>
          </w:p>
        </w:tc>
      </w:tr>
      <w:tr w14:paraId="0884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68" w:type="dxa"/>
            <w:vMerge w:val="continue"/>
            <w:noWrap w:val="0"/>
            <w:vAlign w:val="center"/>
          </w:tcPr>
          <w:p w14:paraId="1FDDCAFE">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1275" w:type="dxa"/>
            <w:vMerge w:val="continue"/>
            <w:noWrap w:val="0"/>
            <w:vAlign w:val="center"/>
          </w:tcPr>
          <w:p w14:paraId="5E9A9203">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14:paraId="4B55A2A2">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100万元 以内</w:t>
            </w:r>
          </w:p>
        </w:tc>
        <w:tc>
          <w:tcPr>
            <w:tcW w:w="850" w:type="dxa"/>
            <w:noWrap w:val="0"/>
            <w:vAlign w:val="center"/>
          </w:tcPr>
          <w:p w14:paraId="5E2C6EE5">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-500万元</w:t>
            </w:r>
          </w:p>
        </w:tc>
        <w:tc>
          <w:tcPr>
            <w:tcW w:w="851" w:type="dxa"/>
            <w:noWrap w:val="0"/>
            <w:vAlign w:val="center"/>
          </w:tcPr>
          <w:p w14:paraId="75C4CD84">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501-1000万元</w:t>
            </w:r>
          </w:p>
        </w:tc>
        <w:tc>
          <w:tcPr>
            <w:tcW w:w="850" w:type="dxa"/>
            <w:noWrap w:val="0"/>
            <w:vAlign w:val="center"/>
          </w:tcPr>
          <w:p w14:paraId="7C7D116C">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1001-2000万元</w:t>
            </w:r>
          </w:p>
        </w:tc>
        <w:tc>
          <w:tcPr>
            <w:tcW w:w="851" w:type="dxa"/>
            <w:noWrap w:val="0"/>
            <w:vAlign w:val="center"/>
          </w:tcPr>
          <w:p w14:paraId="382EB063">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2001-5000万元</w:t>
            </w:r>
          </w:p>
        </w:tc>
        <w:tc>
          <w:tcPr>
            <w:tcW w:w="850" w:type="dxa"/>
            <w:noWrap w:val="0"/>
            <w:vAlign w:val="center"/>
          </w:tcPr>
          <w:p w14:paraId="491337E0">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5001-10000万元</w:t>
            </w:r>
          </w:p>
        </w:tc>
        <w:tc>
          <w:tcPr>
            <w:tcW w:w="851" w:type="dxa"/>
            <w:noWrap w:val="0"/>
            <w:vAlign w:val="center"/>
          </w:tcPr>
          <w:p w14:paraId="3B993475">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10000万元以上</w:t>
            </w:r>
          </w:p>
        </w:tc>
      </w:tr>
      <w:tr w14:paraId="36F6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668" w:type="dxa"/>
            <w:noWrap w:val="0"/>
            <w:vAlign w:val="center"/>
          </w:tcPr>
          <w:p w14:paraId="7177AF6D">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基本收费</w:t>
            </w:r>
          </w:p>
        </w:tc>
        <w:tc>
          <w:tcPr>
            <w:tcW w:w="1275" w:type="dxa"/>
            <w:noWrap w:val="0"/>
            <w:vAlign w:val="center"/>
          </w:tcPr>
          <w:p w14:paraId="7C6F3161">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送审造价</w:t>
            </w:r>
          </w:p>
        </w:tc>
        <w:tc>
          <w:tcPr>
            <w:tcW w:w="851" w:type="dxa"/>
            <w:noWrap w:val="0"/>
            <w:vAlign w:val="center"/>
          </w:tcPr>
          <w:p w14:paraId="145FD47F">
            <w:pPr>
              <w:widowControl/>
              <w:shd w:val="clear" w:color="auto" w:fill="FFFFFF"/>
              <w:autoSpaceDE w:val="0"/>
              <w:autoSpaceDN w:val="0"/>
              <w:adjustRightInd w:val="0"/>
              <w:spacing w:line="300" w:lineRule="exact"/>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0.34%</w:t>
            </w:r>
          </w:p>
        </w:tc>
        <w:tc>
          <w:tcPr>
            <w:tcW w:w="850" w:type="dxa"/>
            <w:noWrap w:val="0"/>
            <w:vAlign w:val="center"/>
          </w:tcPr>
          <w:p w14:paraId="184A88F1">
            <w:pPr>
              <w:widowControl/>
              <w:shd w:val="clear" w:color="auto" w:fill="FFFFFF"/>
              <w:autoSpaceDE w:val="0"/>
              <w:autoSpaceDN w:val="0"/>
              <w:adjustRightInd w:val="0"/>
              <w:spacing w:line="300" w:lineRule="exact"/>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0.30%</w:t>
            </w:r>
          </w:p>
        </w:tc>
        <w:tc>
          <w:tcPr>
            <w:tcW w:w="851" w:type="dxa"/>
            <w:noWrap w:val="0"/>
            <w:vAlign w:val="center"/>
          </w:tcPr>
          <w:p w14:paraId="0299407D">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0" w:type="dxa"/>
            <w:noWrap w:val="0"/>
            <w:vAlign w:val="center"/>
          </w:tcPr>
          <w:p w14:paraId="5A0615ED">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14:paraId="00BCAF57">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0" w:type="dxa"/>
            <w:noWrap w:val="0"/>
            <w:vAlign w:val="center"/>
          </w:tcPr>
          <w:p w14:paraId="2FFFDB95">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c>
          <w:tcPr>
            <w:tcW w:w="851" w:type="dxa"/>
            <w:noWrap w:val="0"/>
            <w:vAlign w:val="center"/>
          </w:tcPr>
          <w:p w14:paraId="72656347">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p>
        </w:tc>
      </w:tr>
      <w:tr w14:paraId="430A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1668" w:type="dxa"/>
            <w:noWrap w:val="0"/>
            <w:vAlign w:val="center"/>
          </w:tcPr>
          <w:p w14:paraId="45EE5F4C">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绩效收费</w:t>
            </w:r>
          </w:p>
        </w:tc>
        <w:tc>
          <w:tcPr>
            <w:tcW w:w="1275" w:type="dxa"/>
            <w:noWrap w:val="0"/>
            <w:vAlign w:val="center"/>
          </w:tcPr>
          <w:p w14:paraId="63C6A763">
            <w:pPr>
              <w:widowControl/>
              <w:shd w:val="clear" w:color="auto" w:fill="FFFFFF"/>
              <w:autoSpaceDE w:val="0"/>
              <w:autoSpaceDN w:val="0"/>
              <w:adjustRightInd w:val="0"/>
              <w:spacing w:line="30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核增额及超过5%以外的核减额</w:t>
            </w:r>
          </w:p>
        </w:tc>
        <w:tc>
          <w:tcPr>
            <w:tcW w:w="5954" w:type="dxa"/>
            <w:gridSpan w:val="7"/>
            <w:noWrap w:val="0"/>
            <w:vAlign w:val="center"/>
          </w:tcPr>
          <w:p w14:paraId="5B78A63F">
            <w:pPr>
              <w:widowControl/>
              <w:shd w:val="clear" w:color="auto" w:fill="FFFFFF"/>
              <w:autoSpaceDE w:val="0"/>
              <w:autoSpaceDN w:val="0"/>
              <w:adjustRightIn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p>
        </w:tc>
      </w:tr>
    </w:tbl>
    <w:p w14:paraId="77061592">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说明：</w:t>
      </w:r>
      <w:r>
        <w:rPr>
          <w:rFonts w:hint="eastAsia" w:ascii="仿宋" w:hAnsi="仿宋" w:eastAsia="仿宋" w:cs="仿宋"/>
          <w:color w:val="auto"/>
          <w:kern w:val="0"/>
          <w:sz w:val="28"/>
          <w:szCs w:val="28"/>
          <w:highlight w:val="none"/>
          <w:lang w:val="en-US" w:eastAsia="zh-CN"/>
        </w:rPr>
        <w:t>根据《浙江省建设工程造价咨询服务项目及收费指引》（浙建价协〔2021〕13号），咨询服务费按上表计算不足2000元的按2000元计算，再乘以（1-下浮率），绩效收费同步下浮。收费标准为：（基本收费+绩效收费）*（1-下浮率），下浮率为65%。其中，20万（含）以下工程初审费500元/只（不下浮）。复审费用由基本费和核减（增）费组成。复审基本费为 500元/只（不下浮）。复审核减（增）费：综合误差率未超过2%，不计取复审核减（增）费；超过2%部分，按照超过金额×（1-下浮率）×7%计取复审核减（增）费（上限为该项目按规定支付给初审单位的费用），同时复审核减（增）费相应在初审单位扣减。</w:t>
      </w:r>
    </w:p>
    <w:p w14:paraId="4ABCD09D">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政府性投资项目年度服务费不超过30万元，村级项目根据施工合同上约定的</w:t>
      </w:r>
      <w:r>
        <w:rPr>
          <w:rFonts w:hint="eastAsia" w:ascii="仿宋" w:hAnsi="仿宋" w:eastAsia="仿宋" w:cs="仿宋"/>
          <w:color w:val="auto"/>
          <w:kern w:val="0"/>
          <w:sz w:val="28"/>
          <w:szCs w:val="28"/>
          <w:highlight w:val="none"/>
          <w:lang w:val="en-US" w:eastAsia="zh-CN"/>
        </w:rPr>
        <w:t>审核</w:t>
      </w:r>
      <w:r>
        <w:rPr>
          <w:rFonts w:hint="eastAsia" w:ascii="仿宋" w:hAnsi="仿宋" w:eastAsia="仿宋" w:cs="仿宋"/>
          <w:color w:val="auto"/>
          <w:kern w:val="0"/>
          <w:sz w:val="28"/>
          <w:szCs w:val="28"/>
          <w:highlight w:val="none"/>
          <w:lang w:val="en-US" w:eastAsia="zh-CN"/>
        </w:rPr>
        <w:t>费支付方支付。</w:t>
      </w:r>
    </w:p>
    <w:p w14:paraId="1FC83E01">
      <w:pPr>
        <w:autoSpaceDE w:val="0"/>
        <w:autoSpaceDN w:val="0"/>
        <w:adjustRightInd w:val="0"/>
        <w:snapToGrid w:val="0"/>
        <w:spacing w:line="360" w:lineRule="auto"/>
        <w:ind w:right="-109" w:rightChars="-52"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履约保证金：</w:t>
      </w:r>
      <w:r>
        <w:rPr>
          <w:rFonts w:hint="eastAsia" w:ascii="仿宋" w:hAnsi="仿宋" w:eastAsia="仿宋" w:cs="仿宋"/>
          <w:b w:val="0"/>
          <w:bCs w:val="0"/>
          <w:color w:val="auto"/>
          <w:kern w:val="0"/>
          <w:sz w:val="28"/>
          <w:szCs w:val="28"/>
          <w:highlight w:val="none"/>
          <w:u w:val="single"/>
        </w:rPr>
        <w:t>壹</w:t>
      </w:r>
      <w:r>
        <w:rPr>
          <w:rFonts w:hint="eastAsia" w:ascii="仿宋" w:hAnsi="仿宋" w:eastAsia="仿宋" w:cs="仿宋"/>
          <w:color w:val="auto"/>
          <w:kern w:val="0"/>
          <w:sz w:val="28"/>
          <w:szCs w:val="28"/>
          <w:highlight w:val="none"/>
        </w:rPr>
        <w:t>万元，合同履约保证金在合同履行结束后7日内退还给乙方（无息）。</w:t>
      </w:r>
    </w:p>
    <w:p w14:paraId="49B05022">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第四条 甲方的权利和义务</w:t>
      </w:r>
    </w:p>
    <w:p w14:paraId="2AC91418">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1、甲方有权获得优先服务;</w:t>
      </w:r>
    </w:p>
    <w:p w14:paraId="04BF3D78">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2、甲方有权监督乙方承诺服务方面的承诺实施情况并有权提出整改。</w:t>
      </w:r>
    </w:p>
    <w:p w14:paraId="5D4D74B5">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3、甲方将不定期地对定点服务情况进行检查。</w:t>
      </w:r>
    </w:p>
    <w:p w14:paraId="2A0D9BAB">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第五条 乙方的权利和义务</w:t>
      </w:r>
    </w:p>
    <w:p w14:paraId="3A29979F">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1、乙方应在委托服务的范围内按规定处理一切事务，对甲方提出的服务标准等有依法审查和纠正的权利，并对服务事项的合法性负责:</w:t>
      </w:r>
    </w:p>
    <w:p w14:paraId="739C4700">
      <w:pPr>
        <w:autoSpaceDE w:val="0"/>
        <w:autoSpaceDN w:val="0"/>
        <w:adjustRightInd w:val="0"/>
        <w:snapToGrid w:val="0"/>
        <w:spacing w:line="360" w:lineRule="auto"/>
        <w:ind w:right="-109" w:rightChars="-52" w:firstLine="5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2、有权拒绝甲方提出除合同规定服务以外的要求;</w:t>
      </w:r>
    </w:p>
    <w:p w14:paraId="2FDBBD31">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3、有权向诸暨市财政局财政审核中心投诉甲方的违约行为。</w:t>
      </w:r>
    </w:p>
    <w:p w14:paraId="63E33341">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4、我镇将对</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结算审核服务进行日常考核，根据日常考核优劣调整工程审核分配指数。</w:t>
      </w:r>
    </w:p>
    <w:p w14:paraId="0789BAAD">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5、乙方不得以单项工程量大小及其它各种理由为借口拒绝或推迟</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，不得在</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中出现失误，否则解除合同并没收合同履约保证金，上报相关单位直至追究相关责任。</w:t>
      </w:r>
    </w:p>
    <w:p w14:paraId="7A9D21BF">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6、乙方应保质按时完成</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工作，</w:t>
      </w:r>
      <w:r>
        <w:rPr>
          <w:rFonts w:hint="eastAsia" w:ascii="仿宋" w:hAnsi="仿宋" w:eastAsia="仿宋" w:cs="仿宋"/>
          <w:color w:val="auto"/>
          <w:kern w:val="0"/>
          <w:sz w:val="28"/>
          <w:szCs w:val="28"/>
          <w:highlight w:val="none"/>
          <w:lang w:val="en-US" w:eastAsia="zh-CN"/>
        </w:rPr>
        <w:t>延期超过7日的，甲方有权解除合同并没收合同履约保证金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取消该</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单位在我镇的</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资格，并致函给诸暨市公共资源交易中心、诸暨市财政局。</w:t>
      </w:r>
    </w:p>
    <w:p w14:paraId="27750626">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第六条 监管处罚制度</w:t>
      </w:r>
    </w:p>
    <w:p w14:paraId="476F7E3F">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如发现乙方出现下列情形之一的，甲方将根据合同或协议书的要求，对乙方违法违规行为予以通报批评:情节严重的，解除合同，且不再支付未结算的</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费，二年内禁止在本单位内参与</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等相关业务。</w:t>
      </w:r>
    </w:p>
    <w:p w14:paraId="3224B2A6">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1、提供的服务不符合国家有关规定和市财政局</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标准的:</w:t>
      </w:r>
    </w:p>
    <w:p w14:paraId="12F7B952">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2、无正当理由拒绝按照承诺提供服务的;</w:t>
      </w:r>
    </w:p>
    <w:p w14:paraId="7DBFCB89">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3、被投诉质疑，经证实情况严重的;</w:t>
      </w:r>
    </w:p>
    <w:p w14:paraId="532799D8">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4、乙方擅自将业务转包给其他供应商的;</w:t>
      </w:r>
    </w:p>
    <w:p w14:paraId="2204B85E">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5、违反法律法规和合同约定的其他情形的;</w:t>
      </w:r>
    </w:p>
    <w:p w14:paraId="6E2A075F">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6、与施工单位串通致使</w:t>
      </w:r>
      <w:r>
        <w:rPr>
          <w:rFonts w:hint="eastAsia" w:ascii="仿宋" w:hAnsi="仿宋" w:eastAsia="仿宋" w:cs="仿宋"/>
          <w:color w:val="auto"/>
          <w:kern w:val="0"/>
          <w:sz w:val="28"/>
          <w:szCs w:val="28"/>
          <w:highlight w:val="none"/>
          <w:lang w:eastAsia="zh-CN"/>
        </w:rPr>
        <w:t>审核</w:t>
      </w:r>
      <w:r>
        <w:rPr>
          <w:rFonts w:hint="eastAsia" w:ascii="仿宋" w:hAnsi="仿宋" w:eastAsia="仿宋" w:cs="仿宋"/>
          <w:color w:val="auto"/>
          <w:kern w:val="0"/>
          <w:sz w:val="28"/>
          <w:szCs w:val="28"/>
          <w:highlight w:val="none"/>
        </w:rPr>
        <w:t>结果出现偏差的:</w:t>
      </w:r>
    </w:p>
    <w:p w14:paraId="71C7D4F5">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第七条 履约延误</w:t>
      </w:r>
    </w:p>
    <w:p w14:paraId="124CAFE1">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1、在履行《合同》过程中，如果乙方可能遇到妨碍按时提供服务的情况时应及时将拖延的事实、可能拖延的期限和理由通知甲方。甲方在收到乙方通知后应尽快对情况进行评价，并确定是否同意延期提供服务。</w:t>
      </w:r>
    </w:p>
    <w:p w14:paraId="33F44FE3">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乙方无正当理由未按第二条第2款第4项约定时间内完成相关审核工作，则每延迟一日按审核费用20%减扣服务费用，超过7日仍未完成的，则没收合同履约保证金，同时甲方有权解除合同；如履约保证金不足以弥补对业主造成实际损失的，则乙方应按造成业主的实际损失给予赔偿</w:t>
      </w:r>
      <w:r>
        <w:rPr>
          <w:rFonts w:hint="eastAsia" w:ascii="仿宋" w:hAnsi="仿宋" w:eastAsia="仿宋" w:cs="仿宋"/>
          <w:color w:val="auto"/>
          <w:kern w:val="0"/>
          <w:sz w:val="28"/>
          <w:szCs w:val="28"/>
          <w:highlight w:val="none"/>
        </w:rPr>
        <w:t>。</w:t>
      </w:r>
    </w:p>
    <w:p w14:paraId="59594DD4">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第八条 结算方式</w:t>
      </w:r>
    </w:p>
    <w:p w14:paraId="6D35AB39">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1、审核费按半年度向甲方结算。已完成归案的项目每年6月末支付一次，每年</w:t>
      </w:r>
      <w:r>
        <w:rPr>
          <w:rFonts w:hint="eastAsia" w:ascii="仿宋" w:hAnsi="仿宋" w:eastAsia="仿宋" w:cs="仿宋"/>
          <w:color w:val="auto"/>
          <w:kern w:val="0"/>
          <w:sz w:val="28"/>
          <w:szCs w:val="28"/>
          <w:highlight w:val="none"/>
          <w:lang w:val="en-US" w:eastAsia="zh-CN"/>
        </w:rPr>
        <w:t>合同履行期满</w:t>
      </w:r>
      <w:r>
        <w:rPr>
          <w:rFonts w:hint="eastAsia" w:ascii="仿宋" w:hAnsi="仿宋" w:eastAsia="仿宋" w:cs="仿宋"/>
          <w:color w:val="auto"/>
          <w:kern w:val="0"/>
          <w:sz w:val="28"/>
          <w:szCs w:val="28"/>
          <w:highlight w:val="none"/>
        </w:rPr>
        <w:t>支付一次。</w:t>
      </w:r>
    </w:p>
    <w:p w14:paraId="71B5B600">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第九条 争议的解决</w:t>
      </w:r>
    </w:p>
    <w:p w14:paraId="365404F9">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本协议如发生纠纷，甲、乙应当及时协商解决，如协商不成，可提交有关主管部门调解;协商或调解不成的，可以向诸暨市人民法院提起诉讼。</w:t>
      </w:r>
    </w:p>
    <w:p w14:paraId="2A28B488">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第十条 其他约定</w:t>
      </w:r>
    </w:p>
    <w:p w14:paraId="751AB97F">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1、认真遵守职业道德和行业规范，严格执行财经纪律，坚决杜绝送礼品给回扣、报销费用等一切不正当竞争行为。</w:t>
      </w:r>
    </w:p>
    <w:p w14:paraId="20A9EB8A">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2、如果乙方在履行协议过程中有不正当竞争行为，甲方有权解除协议，并按《中华人民共和国反不正当竞争法》之规定由有关部门追究其法律责任.</w:t>
      </w:r>
    </w:p>
    <w:p w14:paraId="0F1EC409">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3、协议履行期内甲乙双方均不得随意变更或解除协议。未尽事宜，需经双方共同协商，作出补充条款，补充条款与本协议书有同等法律效力。</w:t>
      </w:r>
    </w:p>
    <w:p w14:paraId="6EA7C94E">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4、合同履约保证金在合同履行结束后7日内退还给乙方（无息）。</w:t>
      </w:r>
    </w:p>
    <w:p w14:paraId="52AC208E">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5、本协议一式</w:t>
      </w:r>
      <w:r>
        <w:rPr>
          <w:rFonts w:hint="eastAsia" w:ascii="仿宋" w:hAnsi="仿宋" w:eastAsia="仿宋" w:cs="仿宋"/>
          <w:color w:val="auto"/>
          <w:kern w:val="0"/>
          <w:sz w:val="28"/>
          <w:szCs w:val="28"/>
          <w:highlight w:val="none"/>
          <w:lang w:val="en-US" w:eastAsia="zh-CN"/>
        </w:rPr>
        <w:t>捌</w:t>
      </w:r>
      <w:r>
        <w:rPr>
          <w:rFonts w:hint="eastAsia" w:ascii="仿宋" w:hAnsi="仿宋" w:eastAsia="仿宋" w:cs="仿宋"/>
          <w:color w:val="auto"/>
          <w:kern w:val="0"/>
          <w:sz w:val="28"/>
          <w:szCs w:val="28"/>
          <w:highlight w:val="none"/>
        </w:rPr>
        <w:t>份，甲方、乙方各执</w:t>
      </w:r>
      <w:r>
        <w:rPr>
          <w:rFonts w:hint="eastAsia" w:ascii="仿宋" w:hAnsi="仿宋" w:eastAsia="仿宋" w:cs="仿宋"/>
          <w:color w:val="auto"/>
          <w:kern w:val="0"/>
          <w:sz w:val="28"/>
          <w:szCs w:val="28"/>
          <w:highlight w:val="none"/>
          <w:lang w:val="en-US" w:eastAsia="zh-CN"/>
        </w:rPr>
        <w:t>肆</w:t>
      </w:r>
      <w:r>
        <w:rPr>
          <w:rFonts w:hint="eastAsia" w:ascii="仿宋" w:hAnsi="仿宋" w:eastAsia="仿宋" w:cs="仿宋"/>
          <w:color w:val="auto"/>
          <w:kern w:val="0"/>
          <w:sz w:val="28"/>
          <w:szCs w:val="28"/>
          <w:highlight w:val="none"/>
        </w:rPr>
        <w:t>份，双方盖章后生效</w:t>
      </w:r>
    </w:p>
    <w:p w14:paraId="54B87E08">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p>
    <w:p w14:paraId="64637853">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甲  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（盖章）      乙  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（盖章）                </w:t>
      </w:r>
    </w:p>
    <w:p w14:paraId="1CAEA267">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代表人：</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（签章）      代表人：</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（签章）                </w:t>
      </w:r>
    </w:p>
    <w:p w14:paraId="3409EC8B">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地  址：                      地   址：                                                            </w:t>
      </w:r>
    </w:p>
    <w:p w14:paraId="2CD4693E">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39"/>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  话：                      电   话</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 xml:space="preserve">                  </w:t>
      </w:r>
    </w:p>
    <w:p w14:paraId="53C5CBB4">
      <w:pPr>
        <w:keepNext w:val="0"/>
        <w:keepLines w:val="0"/>
        <w:pageBreakBefore w:val="0"/>
        <w:widowControl w:val="0"/>
        <w:kinsoku/>
        <w:wordWrap/>
        <w:overflowPunct/>
        <w:topLinePunct w:val="0"/>
        <w:autoSpaceDE w:val="0"/>
        <w:autoSpaceDN w:val="0"/>
        <w:bidi w:val="0"/>
        <w:adjustRightInd w:val="0"/>
        <w:snapToGrid w:val="0"/>
        <w:spacing w:line="360" w:lineRule="auto"/>
        <w:ind w:right="-109" w:rightChars="-52"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日  期：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年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月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日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日   期：</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年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月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日</w:t>
      </w:r>
    </w:p>
    <w:p w14:paraId="60301119">
      <w:pPr>
        <w:rPr>
          <w:color w:val="auto"/>
          <w:highlight w:val="none"/>
        </w:rPr>
      </w:pPr>
    </w:p>
    <w:sectPr>
      <w:headerReference r:id="rId5" w:type="first"/>
      <w:headerReference r:id="rId3" w:type="default"/>
      <w:headerReference r:id="rId4" w:type="even"/>
      <w:footerReference r:id="rId6" w:type="even"/>
      <w:pgSz w:w="11906" w:h="16838"/>
      <w:pgMar w:top="1440" w:right="1286" w:bottom="1402" w:left="13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CDD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BC9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31A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6D05">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93235"/>
    <w:multiLevelType w:val="singleLevel"/>
    <w:tmpl w:val="A0093235"/>
    <w:lvl w:ilvl="0" w:tentative="0">
      <w:start w:val="1"/>
      <w:numFmt w:val="chineseCounting"/>
      <w:suff w:val="space"/>
      <w:lvlText w:val="第%1章"/>
      <w:lvlJc w:val="left"/>
      <w:rPr>
        <w:rFonts w:hint="eastAsia"/>
      </w:rPr>
    </w:lvl>
  </w:abstractNum>
  <w:abstractNum w:abstractNumId="1">
    <w:nsid w:val="511D0E45"/>
    <w:multiLevelType w:val="multilevel"/>
    <w:tmpl w:val="511D0E45"/>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6F4AFF"/>
    <w:multiLevelType w:val="multilevel"/>
    <w:tmpl w:val="766F4AF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Dk0M2Y3MzI0MTg3NGIwNzY3ZDU4Y2RjZDZkOGYifQ=="/>
  </w:docVars>
  <w:rsids>
    <w:rsidRoot w:val="625367CF"/>
    <w:rsid w:val="012313A8"/>
    <w:rsid w:val="01722330"/>
    <w:rsid w:val="0179546C"/>
    <w:rsid w:val="03E203E0"/>
    <w:rsid w:val="045308C4"/>
    <w:rsid w:val="046F2E03"/>
    <w:rsid w:val="0478245F"/>
    <w:rsid w:val="04EF20CA"/>
    <w:rsid w:val="055C39DD"/>
    <w:rsid w:val="05917D01"/>
    <w:rsid w:val="05C04BED"/>
    <w:rsid w:val="05E81D60"/>
    <w:rsid w:val="06A53383"/>
    <w:rsid w:val="06B95651"/>
    <w:rsid w:val="070A048B"/>
    <w:rsid w:val="075C3866"/>
    <w:rsid w:val="07882985"/>
    <w:rsid w:val="07B97F46"/>
    <w:rsid w:val="07DB0EDC"/>
    <w:rsid w:val="08273858"/>
    <w:rsid w:val="09212671"/>
    <w:rsid w:val="0B3D323D"/>
    <w:rsid w:val="0C917B0E"/>
    <w:rsid w:val="0DE635A1"/>
    <w:rsid w:val="0F5B2655"/>
    <w:rsid w:val="0FCE748C"/>
    <w:rsid w:val="100200DF"/>
    <w:rsid w:val="10196955"/>
    <w:rsid w:val="10FF49F6"/>
    <w:rsid w:val="110765F0"/>
    <w:rsid w:val="11502559"/>
    <w:rsid w:val="11692E07"/>
    <w:rsid w:val="12842684"/>
    <w:rsid w:val="143A0B4E"/>
    <w:rsid w:val="14CA57D9"/>
    <w:rsid w:val="155768AF"/>
    <w:rsid w:val="167F322A"/>
    <w:rsid w:val="176A77DE"/>
    <w:rsid w:val="188E5849"/>
    <w:rsid w:val="18972950"/>
    <w:rsid w:val="18B0756E"/>
    <w:rsid w:val="18BA5266"/>
    <w:rsid w:val="198F041B"/>
    <w:rsid w:val="19E4703F"/>
    <w:rsid w:val="1BAA0105"/>
    <w:rsid w:val="1BCB6AA7"/>
    <w:rsid w:val="1C201166"/>
    <w:rsid w:val="1D2E0A0B"/>
    <w:rsid w:val="1D9008BE"/>
    <w:rsid w:val="20455E1F"/>
    <w:rsid w:val="20724B38"/>
    <w:rsid w:val="21674D4B"/>
    <w:rsid w:val="21B37EB1"/>
    <w:rsid w:val="22F02C77"/>
    <w:rsid w:val="231E77CA"/>
    <w:rsid w:val="23360FB7"/>
    <w:rsid w:val="234A0643"/>
    <w:rsid w:val="23B720F8"/>
    <w:rsid w:val="252A06A8"/>
    <w:rsid w:val="254F6420"/>
    <w:rsid w:val="25AC7BD0"/>
    <w:rsid w:val="26C8635B"/>
    <w:rsid w:val="26E03714"/>
    <w:rsid w:val="26E52AD8"/>
    <w:rsid w:val="27946C03"/>
    <w:rsid w:val="2795759A"/>
    <w:rsid w:val="280B2A8D"/>
    <w:rsid w:val="291335A0"/>
    <w:rsid w:val="2A330BDA"/>
    <w:rsid w:val="2A743B27"/>
    <w:rsid w:val="2B5B15BB"/>
    <w:rsid w:val="2B6A7583"/>
    <w:rsid w:val="2C8B2374"/>
    <w:rsid w:val="2DB3570E"/>
    <w:rsid w:val="30315EB5"/>
    <w:rsid w:val="3039748B"/>
    <w:rsid w:val="306732B1"/>
    <w:rsid w:val="30F009F7"/>
    <w:rsid w:val="31C906B3"/>
    <w:rsid w:val="31D32C51"/>
    <w:rsid w:val="3210344F"/>
    <w:rsid w:val="324218CF"/>
    <w:rsid w:val="325454D5"/>
    <w:rsid w:val="32BA0F01"/>
    <w:rsid w:val="32ED4D6B"/>
    <w:rsid w:val="33E16D1D"/>
    <w:rsid w:val="349D2C44"/>
    <w:rsid w:val="351C000D"/>
    <w:rsid w:val="35CB6607"/>
    <w:rsid w:val="36066EF9"/>
    <w:rsid w:val="368C6D3A"/>
    <w:rsid w:val="369313B0"/>
    <w:rsid w:val="3699568D"/>
    <w:rsid w:val="36B10C29"/>
    <w:rsid w:val="37D921E5"/>
    <w:rsid w:val="38510D32"/>
    <w:rsid w:val="38DE7784"/>
    <w:rsid w:val="39091573"/>
    <w:rsid w:val="39274503"/>
    <w:rsid w:val="398627EA"/>
    <w:rsid w:val="39EA5213"/>
    <w:rsid w:val="3A1439A9"/>
    <w:rsid w:val="3AAD68F3"/>
    <w:rsid w:val="3B3A743F"/>
    <w:rsid w:val="3B3D3C2D"/>
    <w:rsid w:val="3BB93D77"/>
    <w:rsid w:val="3C167F21"/>
    <w:rsid w:val="3C4C02AC"/>
    <w:rsid w:val="3C6978B0"/>
    <w:rsid w:val="3D1D5F23"/>
    <w:rsid w:val="3DA512EA"/>
    <w:rsid w:val="3DAE1A1E"/>
    <w:rsid w:val="3DCD6C0E"/>
    <w:rsid w:val="3DE55DF3"/>
    <w:rsid w:val="3E126C05"/>
    <w:rsid w:val="3E352755"/>
    <w:rsid w:val="3E5139E4"/>
    <w:rsid w:val="3F6C034D"/>
    <w:rsid w:val="3F740A45"/>
    <w:rsid w:val="3F79605C"/>
    <w:rsid w:val="41E73751"/>
    <w:rsid w:val="42F629C9"/>
    <w:rsid w:val="439B3E0A"/>
    <w:rsid w:val="43B37091"/>
    <w:rsid w:val="447119F7"/>
    <w:rsid w:val="450F35F0"/>
    <w:rsid w:val="45352A25"/>
    <w:rsid w:val="466D0097"/>
    <w:rsid w:val="469D6AD4"/>
    <w:rsid w:val="46A47303"/>
    <w:rsid w:val="46D52711"/>
    <w:rsid w:val="474F5C1E"/>
    <w:rsid w:val="47EE2FE7"/>
    <w:rsid w:val="493A685C"/>
    <w:rsid w:val="493C25D4"/>
    <w:rsid w:val="4A452632"/>
    <w:rsid w:val="4AA414BC"/>
    <w:rsid w:val="4AF01898"/>
    <w:rsid w:val="4B5D43C3"/>
    <w:rsid w:val="4C984EC1"/>
    <w:rsid w:val="4CB86415"/>
    <w:rsid w:val="4CDC3213"/>
    <w:rsid w:val="4D393EBE"/>
    <w:rsid w:val="4DA42E3E"/>
    <w:rsid w:val="4DDA66D5"/>
    <w:rsid w:val="4EEF44CD"/>
    <w:rsid w:val="4F0A0B7D"/>
    <w:rsid w:val="4FC357FD"/>
    <w:rsid w:val="500A342C"/>
    <w:rsid w:val="520E6AD8"/>
    <w:rsid w:val="525E0E06"/>
    <w:rsid w:val="52BC0A4C"/>
    <w:rsid w:val="53461DE5"/>
    <w:rsid w:val="5371731E"/>
    <w:rsid w:val="53C30726"/>
    <w:rsid w:val="53DE4E60"/>
    <w:rsid w:val="540B713E"/>
    <w:rsid w:val="54F46D90"/>
    <w:rsid w:val="56497633"/>
    <w:rsid w:val="57734F1B"/>
    <w:rsid w:val="578864F6"/>
    <w:rsid w:val="584678C2"/>
    <w:rsid w:val="587335FE"/>
    <w:rsid w:val="59170968"/>
    <w:rsid w:val="5AEE2004"/>
    <w:rsid w:val="5B2B06FA"/>
    <w:rsid w:val="5B6B2A69"/>
    <w:rsid w:val="5C2677D4"/>
    <w:rsid w:val="5D3C007D"/>
    <w:rsid w:val="5F394FC7"/>
    <w:rsid w:val="5FA647F3"/>
    <w:rsid w:val="610F7448"/>
    <w:rsid w:val="61E17353"/>
    <w:rsid w:val="62315E8A"/>
    <w:rsid w:val="62522A10"/>
    <w:rsid w:val="625367CF"/>
    <w:rsid w:val="62EF64B1"/>
    <w:rsid w:val="631B72A6"/>
    <w:rsid w:val="632223E3"/>
    <w:rsid w:val="639E2124"/>
    <w:rsid w:val="63D26B2B"/>
    <w:rsid w:val="657E19DE"/>
    <w:rsid w:val="65F938CF"/>
    <w:rsid w:val="685C0145"/>
    <w:rsid w:val="6D672E1F"/>
    <w:rsid w:val="6D9C0FE4"/>
    <w:rsid w:val="704F49FE"/>
    <w:rsid w:val="714678F4"/>
    <w:rsid w:val="72514A93"/>
    <w:rsid w:val="731955B0"/>
    <w:rsid w:val="733C304D"/>
    <w:rsid w:val="74184358"/>
    <w:rsid w:val="741D2E7E"/>
    <w:rsid w:val="74B93682"/>
    <w:rsid w:val="74F55BA9"/>
    <w:rsid w:val="75970A0E"/>
    <w:rsid w:val="776B3F01"/>
    <w:rsid w:val="777A7083"/>
    <w:rsid w:val="78713799"/>
    <w:rsid w:val="78A82F32"/>
    <w:rsid w:val="78E06AB0"/>
    <w:rsid w:val="78EA79E3"/>
    <w:rsid w:val="791906D8"/>
    <w:rsid w:val="7A8372F2"/>
    <w:rsid w:val="7B1B3E90"/>
    <w:rsid w:val="7BB3231A"/>
    <w:rsid w:val="7C211032"/>
    <w:rsid w:val="7CA94401"/>
    <w:rsid w:val="7CC4789F"/>
    <w:rsid w:val="7DEC30DD"/>
    <w:rsid w:val="7FF52F01"/>
    <w:rsid w:val="7FF5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ascii="宋体"/>
      <w:kern w:val="16"/>
      <w:position w:val="6"/>
      <w:sz w:val="24"/>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autoRedefine/>
    <w:qFormat/>
    <w:uiPriority w:val="0"/>
    <w:pPr>
      <w:tabs>
        <w:tab w:val="left" w:pos="900"/>
        <w:tab w:val="left" w:pos="1800"/>
      </w:tabs>
      <w:ind w:left="2" w:hanging="2"/>
    </w:pPr>
    <w:rPr>
      <w:kern w:val="16"/>
      <w:sz w:val="24"/>
    </w:rPr>
  </w:style>
  <w:style w:type="paragraph" w:styleId="7">
    <w:name w:val="Normal (Web)"/>
    <w:basedOn w:val="1"/>
    <w:autoRedefine/>
    <w:qFormat/>
    <w:uiPriority w:val="0"/>
    <w:rPr>
      <w:sz w:val="24"/>
    </w:rPr>
  </w:style>
  <w:style w:type="character" w:styleId="10">
    <w:name w:val="Strong"/>
    <w:basedOn w:val="9"/>
    <w:autoRedefine/>
    <w:qFormat/>
    <w:uiPriority w:val="0"/>
    <w:rPr>
      <w:b/>
    </w:rPr>
  </w:style>
  <w:style w:type="character" w:styleId="11">
    <w:name w:val="FollowedHyperlink"/>
    <w:basedOn w:val="9"/>
    <w:autoRedefine/>
    <w:qFormat/>
    <w:uiPriority w:val="0"/>
    <w:rPr>
      <w:color w:val="800080"/>
      <w:u w:val="none"/>
    </w:rPr>
  </w:style>
  <w:style w:type="character" w:styleId="12">
    <w:name w:val="Hyperlink"/>
    <w:basedOn w:val="9"/>
    <w:autoRedefine/>
    <w:qFormat/>
    <w:uiPriority w:val="0"/>
    <w:rPr>
      <w:color w:val="0000FF"/>
      <w:u w:val="none"/>
    </w:rPr>
  </w:style>
  <w:style w:type="paragraph" w:customStyle="1" w:styleId="13">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7986</Words>
  <Characters>8426</Characters>
  <Lines>0</Lines>
  <Paragraphs>0</Paragraphs>
  <TotalTime>16</TotalTime>
  <ScaleCrop>false</ScaleCrop>
  <LinksUpToDate>false</LinksUpToDate>
  <CharactersWithSpaces>9631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2022-12-19T10:36:00Z</dcterms:created>
  <dc:creator>NTKO</dc:creator>
  <cp:lastModifiedBy>BOCE-20</cp:lastModifiedBy>
  <cp:lastPrinted>2024-01-22T07:34:00Z</cp:lastPrinted>
  <dcterms:modified xsi:type="dcterms:W3CDTF">2025-02-19T08:34:33Z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D06F1E4F824545599EB5C183038A08E1</vt:lpwstr>
  </property>
  <property fmtid="{D5CDD505-2E9C-101B-9397-08002B2CF9AE}" pid="4" name="KSOTemplateDocerSaveRecord">
    <vt:lpwstr>eyJoZGlkIjoiM2UyYWEyOTQ4ZGUxMjBkZjE1ODM4YjAyY2M5N2IwM2MiLCJ1c2VySWQiOiI0NzQyNzAxMDMifQ==</vt:lpwstr>
  </property>
</Properties>
</file>