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0CFB">
      <w:pPr>
        <w:jc w:val="center"/>
        <w:rPr>
          <w:rFonts w:hint="eastAsia" w:ascii="宋体" w:hAnsi="宋体" w:eastAsia="宋体" w:cs="宋体"/>
          <w:b/>
          <w:bCs/>
          <w:sz w:val="48"/>
          <w:szCs w:val="48"/>
          <w:lang w:eastAsia="zh-CN"/>
        </w:rPr>
      </w:pPr>
      <w:bookmarkStart w:id="0" w:name="_Toc125344502"/>
      <w:r>
        <w:rPr>
          <w:rFonts w:hint="eastAsia" w:ascii="宋体" w:hAnsi="宋体" w:cs="宋体"/>
          <w:b/>
          <w:bCs/>
          <w:sz w:val="48"/>
          <w:szCs w:val="48"/>
          <w:lang w:eastAsia="zh-CN"/>
        </w:rPr>
        <w:t>诸暨市教育体育局2026年度全市校产保险服务采购项目</w:t>
      </w:r>
    </w:p>
    <w:p w14:paraId="2F67A66F">
      <w:pPr>
        <w:autoSpaceDE/>
        <w:autoSpaceDN/>
        <w:spacing w:line="360" w:lineRule="auto"/>
        <w:ind w:left="420" w:hanging="420"/>
        <w:jc w:val="center"/>
        <w:rPr>
          <w:rFonts w:ascii="仿宋" w:hAnsi="仿宋" w:eastAsia="仿宋" w:cs="仿宋"/>
          <w:b/>
          <w:color w:val="auto"/>
          <w:sz w:val="32"/>
          <w:szCs w:val="32"/>
        </w:rPr>
      </w:pPr>
    </w:p>
    <w:p w14:paraId="566E03C6">
      <w:pPr>
        <w:autoSpaceDE/>
        <w:autoSpaceDN/>
        <w:spacing w:line="360" w:lineRule="auto"/>
        <w:ind w:left="420" w:hanging="42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（编号：</w:t>
      </w:r>
      <w:r>
        <w:rPr>
          <w:rFonts w:hint="eastAsia" w:ascii="宋体" w:hAnsi="宋体" w:cs="宋体"/>
          <w:b/>
          <w:color w:val="auto"/>
          <w:sz w:val="44"/>
          <w:szCs w:val="44"/>
          <w:lang w:eastAsia="zh-CN"/>
        </w:rPr>
        <w:t>zjjyj-20260304</w:t>
      </w:r>
      <w:r>
        <w:rPr>
          <w:rFonts w:hint="eastAsia" w:ascii="宋体" w:hAnsi="宋体" w:eastAsia="宋体" w:cs="宋体"/>
          <w:b/>
          <w:color w:val="auto"/>
          <w:sz w:val="44"/>
          <w:szCs w:val="44"/>
        </w:rPr>
        <w:t>）</w:t>
      </w:r>
    </w:p>
    <w:p w14:paraId="09C63C82">
      <w:pPr>
        <w:autoSpaceDE/>
        <w:autoSpaceDN/>
        <w:spacing w:line="360" w:lineRule="auto"/>
        <w:jc w:val="center"/>
        <w:rPr>
          <w:rFonts w:hint="eastAsia" w:ascii="宋体" w:hAnsi="宋体" w:eastAsia="宋体" w:cs="宋体"/>
          <w:color w:val="auto"/>
        </w:rPr>
      </w:pPr>
    </w:p>
    <w:p w14:paraId="19B3C17C">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招</w:t>
      </w:r>
    </w:p>
    <w:p w14:paraId="79AF2BB5">
      <w:pPr>
        <w:autoSpaceDE/>
        <w:autoSpaceDN/>
        <w:spacing w:line="360" w:lineRule="auto"/>
        <w:jc w:val="center"/>
        <w:rPr>
          <w:rFonts w:hint="eastAsia" w:ascii="宋体" w:hAnsi="宋体" w:eastAsia="宋体" w:cs="宋体"/>
          <w:b/>
          <w:bCs/>
          <w:color w:val="auto"/>
          <w:sz w:val="28"/>
          <w:szCs w:val="28"/>
        </w:rPr>
      </w:pPr>
    </w:p>
    <w:p w14:paraId="2A724EBA">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标</w:t>
      </w:r>
    </w:p>
    <w:p w14:paraId="69726EDE">
      <w:pPr>
        <w:autoSpaceDE/>
        <w:autoSpaceDN/>
        <w:spacing w:line="360" w:lineRule="auto"/>
        <w:jc w:val="center"/>
        <w:rPr>
          <w:rFonts w:hint="eastAsia" w:ascii="宋体" w:hAnsi="宋体" w:eastAsia="宋体" w:cs="宋体"/>
          <w:b/>
          <w:bCs/>
          <w:color w:val="auto"/>
          <w:sz w:val="28"/>
          <w:szCs w:val="28"/>
        </w:rPr>
      </w:pPr>
    </w:p>
    <w:p w14:paraId="729C7ED8">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文</w:t>
      </w:r>
    </w:p>
    <w:p w14:paraId="0586B639">
      <w:pPr>
        <w:autoSpaceDE/>
        <w:autoSpaceDN/>
        <w:spacing w:line="360" w:lineRule="auto"/>
        <w:jc w:val="center"/>
        <w:rPr>
          <w:rFonts w:hint="eastAsia" w:ascii="宋体" w:hAnsi="宋体" w:eastAsia="宋体" w:cs="宋体"/>
          <w:b/>
          <w:bCs/>
          <w:color w:val="auto"/>
          <w:sz w:val="28"/>
          <w:szCs w:val="28"/>
        </w:rPr>
      </w:pPr>
    </w:p>
    <w:p w14:paraId="33A73E05">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件</w:t>
      </w:r>
    </w:p>
    <w:tbl>
      <w:tblPr>
        <w:tblStyle w:val="5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7"/>
      </w:tblGrid>
      <w:tr w14:paraId="044B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07" w:type="dxa"/>
            <w:vAlign w:val="center"/>
          </w:tcPr>
          <w:p w14:paraId="2F731852">
            <w:pPr>
              <w:pStyle w:val="45"/>
              <w:shd w:val="clear" w:color="auto" w:fill="FFFFFF"/>
              <w:spacing w:beforeAutospacing="0" w:afterAutospacing="0"/>
              <w:rPr>
                <w:rFonts w:hint="eastAsia" w:ascii="宋体" w:hAnsi="宋体" w:eastAsia="宋体" w:cs="宋体"/>
                <w:lang w:eastAsia="zh-CN"/>
              </w:rPr>
            </w:pPr>
            <w:r>
              <w:rPr>
                <w:rFonts w:hint="eastAsia" w:ascii="宋体" w:hAnsi="宋体" w:eastAsia="宋体" w:cs="宋体"/>
                <w:b/>
                <w:bCs/>
                <w:spacing w:val="12"/>
                <w:w w:val="95"/>
                <w:kern w:val="0"/>
                <w:sz w:val="30"/>
                <w:szCs w:val="30"/>
              </w:rPr>
              <w:t xml:space="preserve">采 购 </w:t>
            </w:r>
            <w:r>
              <w:rPr>
                <w:rFonts w:hint="eastAsia" w:ascii="宋体" w:hAnsi="宋体" w:eastAsia="宋体" w:cs="宋体"/>
                <w:b/>
                <w:bCs/>
                <w:color w:val="auto"/>
                <w:spacing w:val="12"/>
                <w:w w:val="95"/>
                <w:kern w:val="0"/>
                <w:sz w:val="30"/>
                <w:szCs w:val="30"/>
              </w:rPr>
              <w:t>单 位：</w:t>
            </w:r>
            <w:r>
              <w:rPr>
                <w:rFonts w:hint="eastAsia" w:ascii="宋体" w:hAnsi="宋体" w:eastAsia="宋体" w:cs="宋体"/>
                <w:b/>
                <w:bCs/>
                <w:color w:val="auto"/>
                <w:w w:val="95"/>
                <w:kern w:val="0"/>
                <w:sz w:val="30"/>
                <w:szCs w:val="30"/>
                <w:lang w:eastAsia="zh-CN"/>
              </w:rPr>
              <w:t>诸暨市教育体育局</w:t>
            </w:r>
          </w:p>
        </w:tc>
      </w:tr>
      <w:tr w14:paraId="767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707" w:type="dxa"/>
            <w:vAlign w:val="center"/>
          </w:tcPr>
          <w:p w14:paraId="34B47984">
            <w:pPr>
              <w:pStyle w:val="25"/>
              <w:snapToGrid w:val="0"/>
              <w:spacing w:before="120" w:after="120" w:line="360" w:lineRule="auto"/>
              <w:rPr>
                <w:rFonts w:hint="eastAsia" w:ascii="宋体" w:hAnsi="宋体" w:eastAsia="宋体" w:cs="宋体"/>
                <w:b/>
                <w:bCs/>
                <w:w w:val="95"/>
                <w:kern w:val="0"/>
                <w:sz w:val="30"/>
                <w:szCs w:val="30"/>
                <w:lang w:eastAsia="zh-CN"/>
              </w:rPr>
            </w:pPr>
            <w:r>
              <w:rPr>
                <w:rFonts w:hint="eastAsia" w:ascii="宋体" w:hAnsi="宋体" w:eastAsia="宋体" w:cs="宋体"/>
                <w:b/>
                <w:bCs/>
                <w:w w:val="95"/>
                <w:kern w:val="0"/>
                <w:sz w:val="30"/>
                <w:szCs w:val="30"/>
              </w:rPr>
              <w:t>采购代理机构：</w:t>
            </w:r>
            <w:r>
              <w:rPr>
                <w:rFonts w:hint="eastAsia" w:ascii="宋体" w:hAnsi="宋体" w:eastAsia="宋体" w:cs="宋体"/>
                <w:b/>
                <w:bCs/>
                <w:w w:val="95"/>
                <w:kern w:val="0"/>
                <w:sz w:val="30"/>
                <w:szCs w:val="30"/>
                <w:lang w:eastAsia="zh-CN"/>
              </w:rPr>
              <w:t>诸暨市教育体育局项目交易办公室</w:t>
            </w:r>
          </w:p>
        </w:tc>
      </w:tr>
    </w:tbl>
    <w:p w14:paraId="6B5F2A7C">
      <w:pPr>
        <w:spacing w:line="360" w:lineRule="auto"/>
        <w:jc w:val="center"/>
        <w:rPr>
          <w:rFonts w:hint="eastAsia" w:ascii="宋体" w:hAnsi="宋体" w:eastAsia="宋体" w:cs="宋体"/>
          <w:b/>
          <w:bCs/>
          <w:color w:val="auto"/>
          <w:w w:val="95"/>
          <w:sz w:val="30"/>
          <w:szCs w:val="30"/>
          <w:highlight w:val="yellow"/>
        </w:rPr>
      </w:pPr>
      <w:r>
        <w:rPr>
          <w:rFonts w:hint="eastAsia" w:ascii="宋体" w:hAnsi="宋体" w:eastAsia="宋体" w:cs="宋体"/>
          <w:b/>
          <w:bCs/>
          <w:color w:val="auto"/>
          <w:w w:val="95"/>
          <w:sz w:val="30"/>
          <w:szCs w:val="30"/>
        </w:rPr>
        <w:t>二〇二</w:t>
      </w:r>
      <w:r>
        <w:rPr>
          <w:rFonts w:hint="eastAsia" w:ascii="宋体" w:hAnsi="宋体" w:eastAsia="宋体" w:cs="宋体"/>
          <w:b/>
          <w:bCs/>
          <w:color w:val="auto"/>
          <w:w w:val="95"/>
          <w:sz w:val="30"/>
          <w:szCs w:val="30"/>
          <w:lang w:val="en-US" w:eastAsia="zh-CN"/>
        </w:rPr>
        <w:t>六</w:t>
      </w:r>
      <w:r>
        <w:rPr>
          <w:rFonts w:hint="eastAsia" w:ascii="宋体" w:hAnsi="宋体" w:eastAsia="宋体" w:cs="宋体"/>
          <w:b/>
          <w:bCs/>
          <w:color w:val="auto"/>
          <w:w w:val="95"/>
          <w:sz w:val="30"/>
          <w:szCs w:val="30"/>
        </w:rPr>
        <w:t>年</w:t>
      </w:r>
      <w:r>
        <w:rPr>
          <w:rFonts w:hint="eastAsia" w:ascii="宋体" w:hAnsi="宋体" w:eastAsia="宋体" w:cs="宋体"/>
          <w:b/>
          <w:bCs/>
          <w:color w:val="auto"/>
          <w:w w:val="95"/>
          <w:sz w:val="30"/>
          <w:szCs w:val="30"/>
          <w:lang w:val="en-US" w:eastAsia="zh-CN"/>
        </w:rPr>
        <w:t>四</w:t>
      </w:r>
      <w:r>
        <w:rPr>
          <w:rFonts w:hint="eastAsia" w:ascii="宋体" w:hAnsi="宋体" w:eastAsia="宋体" w:cs="宋体"/>
          <w:b/>
          <w:bCs/>
          <w:color w:val="auto"/>
          <w:w w:val="95"/>
          <w:sz w:val="30"/>
          <w:szCs w:val="30"/>
        </w:rPr>
        <w:t>月</w:t>
      </w:r>
    </w:p>
    <w:p w14:paraId="656AF291">
      <w:pPr>
        <w:spacing w:line="360" w:lineRule="auto"/>
        <w:rPr>
          <w:rFonts w:ascii="仿宋" w:hAnsi="仿宋" w:eastAsia="仿宋" w:cs="仿宋"/>
          <w:b/>
          <w:bCs/>
          <w:color w:val="auto"/>
          <w:w w:val="95"/>
          <w:sz w:val="30"/>
          <w:szCs w:val="30"/>
        </w:rPr>
        <w:sectPr>
          <w:footerReference r:id="rId3" w:type="default"/>
          <w:pgSz w:w="11910" w:h="16840"/>
          <w:pgMar w:top="1600" w:right="1260" w:bottom="1700" w:left="1420" w:header="680" w:footer="1508" w:gutter="0"/>
          <w:pgNumType w:fmt="numberInDash"/>
          <w:cols w:space="720" w:num="1"/>
          <w:docGrid w:linePitch="286" w:charSpace="0"/>
        </w:sectPr>
      </w:pPr>
    </w:p>
    <w:p w14:paraId="63CE8217">
      <w:pPr>
        <w:spacing w:beforeLines="300" w:afterLines="20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录</w:t>
      </w:r>
    </w:p>
    <w:p w14:paraId="65DEF539">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第一章    招标公告</w:t>
      </w:r>
    </w:p>
    <w:p w14:paraId="6C51AC48">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第二章    投标须知</w:t>
      </w:r>
    </w:p>
    <w:p w14:paraId="77170BA5">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第三章    评标办法及评分标准</w:t>
      </w:r>
    </w:p>
    <w:p w14:paraId="252430A6">
      <w:pPr>
        <w:snapToGrid w:val="0"/>
        <w:spacing w:afterLines="100" w:line="360" w:lineRule="auto"/>
        <w:ind w:firstLine="1988" w:firstLineChars="550"/>
        <w:jc w:val="left"/>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 xml:space="preserve">第四章    </w:t>
      </w:r>
      <w:r>
        <w:rPr>
          <w:rFonts w:hint="eastAsia" w:ascii="宋体" w:hAnsi="宋体" w:eastAsia="宋体" w:cs="宋体"/>
          <w:b/>
          <w:color w:val="auto"/>
          <w:sz w:val="36"/>
          <w:szCs w:val="36"/>
          <w:lang w:eastAsia="zh-CN"/>
        </w:rPr>
        <w:t>采购需求</w:t>
      </w:r>
    </w:p>
    <w:p w14:paraId="3CA87D74">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第五章    合同通用条款</w:t>
      </w:r>
    </w:p>
    <w:p w14:paraId="07BB653A">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第六章    应提交的有关格式范例</w:t>
      </w:r>
    </w:p>
    <w:p w14:paraId="1CEBC846">
      <w:pPr>
        <w:spacing w:line="360" w:lineRule="auto"/>
        <w:jc w:val="center"/>
        <w:rPr>
          <w:rStyle w:val="59"/>
          <w:rFonts w:hint="eastAsia" w:ascii="宋体" w:hAnsi="宋体" w:eastAsia="宋体" w:cs="宋体"/>
          <w:b/>
          <w:color w:val="auto"/>
          <w:sz w:val="24"/>
        </w:rPr>
      </w:pPr>
      <w:r>
        <w:rPr>
          <w:rFonts w:hint="eastAsia" w:ascii="宋体" w:hAnsi="宋体" w:eastAsia="宋体" w:cs="宋体"/>
          <w:b/>
          <w:color w:val="auto"/>
          <w:sz w:val="24"/>
        </w:rPr>
        <w:t>请各位投标人详细阅读各项条款</w:t>
      </w:r>
    </w:p>
    <w:p w14:paraId="4897E26E">
      <w:pPr>
        <w:spacing w:line="360" w:lineRule="auto"/>
        <w:rPr>
          <w:rStyle w:val="59"/>
          <w:rFonts w:hint="eastAsia" w:ascii="宋体" w:hAnsi="宋体" w:eastAsia="宋体" w:cs="宋体"/>
          <w:color w:val="auto"/>
          <w:sz w:val="30"/>
        </w:rPr>
        <w:sectPr>
          <w:pgSz w:w="11910" w:h="16840"/>
          <w:pgMar w:top="1600" w:right="1260" w:bottom="1700" w:left="1420" w:header="680" w:footer="1508" w:gutter="0"/>
          <w:pgNumType w:fmt="numberInDash"/>
          <w:cols w:space="720" w:num="1"/>
          <w:docGrid w:linePitch="286" w:charSpace="0"/>
        </w:sectPr>
      </w:pPr>
    </w:p>
    <w:p w14:paraId="7BA0B9A4">
      <w:pPr>
        <w:pStyle w:val="2"/>
        <w:spacing w:before="0" w:after="0" w:line="240" w:lineRule="auto"/>
        <w:jc w:val="center"/>
        <w:rPr>
          <w:rFonts w:hint="eastAsia" w:ascii="宋体" w:hAnsi="宋体" w:eastAsia="宋体" w:cs="宋体"/>
          <w:sz w:val="36"/>
          <w:szCs w:val="36"/>
        </w:rPr>
      </w:pPr>
      <w:r>
        <w:rPr>
          <w:rFonts w:hint="eastAsia" w:ascii="宋体" w:hAnsi="宋体" w:eastAsia="宋体" w:cs="宋体"/>
          <w:sz w:val="36"/>
          <w:szCs w:val="36"/>
        </w:rPr>
        <w:t>第一章  招标公告</w:t>
      </w:r>
    </w:p>
    <w:p w14:paraId="5758DBC8">
      <w:pPr>
        <w:spacing w:afterLines="50"/>
        <w:jc w:val="center"/>
        <w:rPr>
          <w:rFonts w:hint="eastAsia" w:ascii="宋体" w:hAnsi="宋体" w:eastAsia="宋体" w:cs="宋体"/>
          <w:b/>
          <w:sz w:val="24"/>
          <w:szCs w:val="24"/>
        </w:rPr>
      </w:pPr>
      <w:bookmarkStart w:id="1" w:name="OLE_LINK5"/>
      <w:r>
        <w:rPr>
          <w:rFonts w:hint="eastAsia" w:ascii="宋体" w:hAnsi="宋体" w:eastAsia="宋体" w:cs="宋体"/>
          <w:b/>
          <w:sz w:val="24"/>
          <w:szCs w:val="24"/>
        </w:rPr>
        <w:t>（项目编号：</w:t>
      </w:r>
      <w:r>
        <w:rPr>
          <w:rFonts w:hint="eastAsia" w:ascii="宋体" w:hAnsi="宋体" w:cs="宋体"/>
          <w:b/>
          <w:sz w:val="24"/>
          <w:szCs w:val="24"/>
          <w:lang w:eastAsia="zh-CN"/>
        </w:rPr>
        <w:t>zjjyj-20260304</w:t>
      </w:r>
      <w:r>
        <w:rPr>
          <w:rFonts w:hint="eastAsia" w:ascii="宋体" w:hAnsi="宋体" w:eastAsia="宋体" w:cs="宋体"/>
          <w:b/>
          <w:sz w:val="24"/>
          <w:szCs w:val="24"/>
        </w:rPr>
        <w:t>）</w:t>
      </w:r>
    </w:p>
    <w:p w14:paraId="21B003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诸暨市教育体育局项目交易办公室</w:t>
      </w:r>
      <w:r>
        <w:rPr>
          <w:rFonts w:hint="eastAsia" w:ascii="宋体" w:hAnsi="宋体" w:eastAsia="宋体" w:cs="宋体"/>
          <w:bCs/>
          <w:sz w:val="24"/>
          <w:szCs w:val="24"/>
        </w:rPr>
        <w:t>受</w:t>
      </w:r>
      <w:r>
        <w:rPr>
          <w:rFonts w:hint="eastAsia" w:ascii="宋体" w:hAnsi="宋体" w:eastAsia="宋体" w:cs="宋体"/>
          <w:bCs/>
          <w:sz w:val="24"/>
          <w:szCs w:val="24"/>
          <w:lang w:eastAsia="zh-CN"/>
        </w:rPr>
        <w:t>诸暨市教育体育局</w:t>
      </w:r>
      <w:r>
        <w:rPr>
          <w:rFonts w:hint="eastAsia" w:ascii="宋体" w:hAnsi="宋体" w:eastAsia="宋体" w:cs="宋体"/>
          <w:bCs/>
          <w:sz w:val="24"/>
          <w:szCs w:val="24"/>
        </w:rPr>
        <w:t>委托，对下列项目进行公开招标，欢迎国内符合条件的供应商参与投标。</w:t>
      </w:r>
    </w:p>
    <w:p w14:paraId="38948755">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sz w:val="24"/>
          <w:szCs w:val="24"/>
        </w:rPr>
        <w:t>一、项目名称：</w:t>
      </w:r>
      <w:r>
        <w:rPr>
          <w:rFonts w:hint="eastAsia" w:ascii="宋体" w:hAnsi="宋体" w:cs="宋体"/>
          <w:sz w:val="24"/>
          <w:szCs w:val="24"/>
          <w:lang w:eastAsia="zh-CN"/>
        </w:rPr>
        <w:t>诸暨市教育体育局2026年度全市校产保险服务采购项目</w:t>
      </w:r>
    </w:p>
    <w:p w14:paraId="7727C282">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二、采购组织类型：</w:t>
      </w:r>
      <w:r>
        <w:rPr>
          <w:rFonts w:hint="eastAsia" w:ascii="宋体" w:hAnsi="宋体" w:eastAsia="宋体" w:cs="宋体"/>
          <w:sz w:val="24"/>
          <w:szCs w:val="24"/>
          <w:shd w:val="clear" w:color="auto" w:fill="FFFFFF"/>
        </w:rPr>
        <w:t>部门集中采购</w:t>
      </w:r>
    </w:p>
    <w:p w14:paraId="5BA4DF73">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三、项目内容及规模：</w:t>
      </w:r>
    </w:p>
    <w:p w14:paraId="361CB474">
      <w:pPr>
        <w:keepNext w:val="0"/>
        <w:keepLines w:val="0"/>
        <w:pageBreakBefore w:val="0"/>
        <w:kinsoku/>
        <w:overflowPunct/>
        <w:topLinePunct w:val="0"/>
        <w:bidi w:val="0"/>
        <w:snapToGrid/>
        <w:spacing w:line="360" w:lineRule="auto"/>
        <w:ind w:firstLine="48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auto"/>
          <w:sz w:val="24"/>
          <w:szCs w:val="24"/>
          <w:highlight w:val="none"/>
        </w:rPr>
        <w:t>诸暨市教育体育局202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年度全市校产保险服务采购项目，服务期限为1年，采购预算金额为2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万元</w:t>
      </w:r>
      <w:r>
        <w:rPr>
          <w:rFonts w:hint="eastAsia" w:ascii="宋体" w:hAnsi="宋体" w:eastAsia="宋体" w:cs="宋体"/>
          <w:color w:val="000000"/>
          <w:sz w:val="24"/>
          <w:szCs w:val="24"/>
          <w:lang w:val="en-US" w:eastAsia="zh-CN" w:bidi="ar-SA"/>
        </w:rPr>
        <w:t>。</w:t>
      </w:r>
    </w:p>
    <w:p w14:paraId="2A03CA85">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四、评标办法：</w:t>
      </w:r>
      <w:r>
        <w:rPr>
          <w:rFonts w:hint="eastAsia" w:ascii="宋体" w:hAnsi="宋体" w:eastAsia="宋体" w:cs="宋体"/>
          <w:sz w:val="24"/>
          <w:szCs w:val="24"/>
        </w:rPr>
        <w:t>综合评分法。</w:t>
      </w:r>
    </w:p>
    <w:p w14:paraId="09253006">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五、投标人资格要求</w:t>
      </w:r>
    </w:p>
    <w:p w14:paraId="0C0C918F">
      <w:pPr>
        <w:pStyle w:val="123"/>
        <w:keepNext w:val="0"/>
        <w:keepLines w:val="0"/>
        <w:pageBreakBefore w:val="0"/>
        <w:widowControl w:val="0"/>
        <w:kinsoku/>
        <w:wordWrap/>
        <w:overflowPunct/>
        <w:topLinePunct w:val="0"/>
        <w:bidi w:val="0"/>
        <w:snapToGrid/>
        <w:spacing w:afterLines="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1.具有本项目实施能力，具有良好信誉的法人或授权分支机构；</w:t>
      </w:r>
    </w:p>
    <w:p w14:paraId="11BBB45C">
      <w:pPr>
        <w:pStyle w:val="123"/>
        <w:keepNext w:val="0"/>
        <w:keepLines w:val="0"/>
        <w:pageBreakBefore w:val="0"/>
        <w:widowControl w:val="0"/>
        <w:kinsoku/>
        <w:wordWrap/>
        <w:overflowPunct/>
        <w:topLinePunct w:val="0"/>
        <w:bidi w:val="0"/>
        <w:snapToGrid/>
        <w:spacing w:afterLines="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2.具有财产保险业务范围的经营保险业务许可证； </w:t>
      </w:r>
    </w:p>
    <w:p w14:paraId="23E4263A">
      <w:pPr>
        <w:pStyle w:val="123"/>
        <w:keepNext w:val="0"/>
        <w:keepLines w:val="0"/>
        <w:pageBreakBefore w:val="0"/>
        <w:widowControl w:val="0"/>
        <w:shd w:val="clear"/>
        <w:kinsoku/>
        <w:wordWrap/>
        <w:overflowPunct/>
        <w:topLinePunct w:val="0"/>
        <w:bidi w:val="0"/>
        <w:snapToGrid/>
        <w:spacing w:afterLines="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3.未被“信用中国”（www.creditchina.gov.cn）、中国政府采购网（www.ccgp.gov.cn）列入失信被执行人、重大税收违法案件当事人名单、政府采购</w:t>
      </w:r>
      <w:r>
        <w:rPr>
          <w:rFonts w:hint="eastAsia" w:ascii="宋体" w:hAnsi="宋体" w:eastAsia="宋体" w:cs="宋体"/>
          <w:color w:val="auto"/>
          <w:sz w:val="24"/>
          <w:szCs w:val="24"/>
          <w:highlight w:val="none"/>
        </w:rPr>
        <w:t>严重违法失信行为记录名单；</w:t>
      </w:r>
    </w:p>
    <w:p w14:paraId="3EA8BFA8">
      <w:pPr>
        <w:pStyle w:val="123"/>
        <w:keepNext w:val="0"/>
        <w:keepLines w:val="0"/>
        <w:pageBreakBefore w:val="0"/>
        <w:widowControl w:val="0"/>
        <w:shd w:val="clear"/>
        <w:kinsoku/>
        <w:wordWrap/>
        <w:overflowPunct/>
        <w:topLinePunct w:val="0"/>
        <w:bidi w:val="0"/>
        <w:snapToGrid/>
        <w:spacing w:afterLines="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4.多家具有投标资格的关联企业只接受其中一家参加投标活动； </w:t>
      </w:r>
    </w:p>
    <w:p w14:paraId="38DE9B83">
      <w:pPr>
        <w:pStyle w:val="123"/>
        <w:keepNext w:val="0"/>
        <w:keepLines w:val="0"/>
        <w:pageBreakBefore w:val="0"/>
        <w:widowControl w:val="0"/>
        <w:shd w:val="clear"/>
        <w:kinsoku/>
        <w:wordWrap/>
        <w:overflowPunct/>
        <w:topLinePunct w:val="0"/>
        <w:bidi w:val="0"/>
        <w:snapToGrid/>
        <w:spacing w:afterLines="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5.本项目不接受联合体投标。</w:t>
      </w:r>
    </w:p>
    <w:p w14:paraId="5AA7A149">
      <w:pPr>
        <w:keepNext w:val="0"/>
        <w:keepLines w:val="0"/>
        <w:pageBreakBefore w:val="0"/>
        <w:shd w:val="clear"/>
        <w:kinsoku/>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六、招标文件的获取及报名</w:t>
      </w:r>
    </w:p>
    <w:p w14:paraId="7DAD1340">
      <w:pPr>
        <w:pStyle w:val="123"/>
        <w:keepNext w:val="0"/>
        <w:keepLines w:val="0"/>
        <w:pageBreakBefore w:val="0"/>
        <w:widowControl w:val="0"/>
        <w:shd w:val="clear"/>
        <w:kinsoku/>
        <w:overflowPunct/>
        <w:topLinePunct w:val="0"/>
        <w:bidi w:val="0"/>
        <w:snapToGrid/>
        <w:spacing w:afterLines="0"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招标文件发布时间： </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val="en-US" w:eastAsia="zh-CN"/>
        </w:rPr>
        <w:t>月</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日</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w:t>
      </w:r>
    </w:p>
    <w:p w14:paraId="7458274A">
      <w:pPr>
        <w:pStyle w:val="123"/>
        <w:keepNext w:val="0"/>
        <w:keepLines w:val="0"/>
        <w:pageBreakBefore w:val="0"/>
        <w:widowControl w:val="0"/>
        <w:shd w:val="clear"/>
        <w:kinsoku/>
        <w:overflowPunct/>
        <w:topLinePunct w:val="0"/>
        <w:bidi w:val="0"/>
        <w:snapToGrid/>
        <w:spacing w:afterLines="0" w:line="360" w:lineRule="auto"/>
        <w:ind w:firstLine="48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获取方式：</w:t>
      </w:r>
      <w:r>
        <w:rPr>
          <w:rFonts w:hint="eastAsia" w:ascii="宋体" w:hAnsi="宋体" w:eastAsia="宋体" w:cs="宋体"/>
          <w:sz w:val="24"/>
          <w:szCs w:val="24"/>
          <w:highlight w:val="none"/>
          <w:shd w:val="clear" w:color="auto" w:fill="FFFFFF"/>
        </w:rPr>
        <w:t>本项目无须报名，于开标当日直接参加投标。</w:t>
      </w:r>
      <w:r>
        <w:rPr>
          <w:rFonts w:hint="eastAsia" w:ascii="宋体" w:hAnsi="宋体" w:eastAsia="宋体" w:cs="宋体"/>
          <w:sz w:val="24"/>
          <w:szCs w:val="24"/>
          <w:highlight w:val="none"/>
        </w:rPr>
        <w:t>符合投标人资格条件的供应商请在</w:t>
      </w:r>
      <w:r>
        <w:rPr>
          <w:rFonts w:hint="eastAsia" w:ascii="宋体" w:hAnsi="宋体" w:eastAsia="宋体" w:cs="宋体"/>
          <w:sz w:val="24"/>
          <w:szCs w:val="24"/>
          <w:highlight w:val="none"/>
          <w:shd w:val="clear" w:color="auto" w:fill="FFFFFF"/>
        </w:rPr>
        <w:t>诸暨市公共资源交易网（http://ggjy.zhuji.gov.cn/）/街镇部门交易/交易公告栏目中免费下载招标文件。</w:t>
      </w:r>
    </w:p>
    <w:p w14:paraId="291E3965">
      <w:pPr>
        <w:pStyle w:val="123"/>
        <w:keepNext w:val="0"/>
        <w:keepLines w:val="0"/>
        <w:pageBreakBefore w:val="0"/>
        <w:widowControl w:val="0"/>
        <w:shd w:val="clear"/>
        <w:kinsoku/>
        <w:overflowPunct/>
        <w:topLinePunct w:val="0"/>
        <w:bidi w:val="0"/>
        <w:snapToGrid/>
        <w:spacing w:afterLines="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招标文件发布截止时间之后有潜在供应商提出要求获取招标文件的，允许获取。</w:t>
      </w:r>
    </w:p>
    <w:p w14:paraId="28C24B36">
      <w:pPr>
        <w:pStyle w:val="25"/>
        <w:keepNext w:val="0"/>
        <w:keepLines w:val="0"/>
        <w:pageBreakBefore w:val="0"/>
        <w:shd w:val="clear"/>
        <w:kinsoku/>
        <w:overflowPunct/>
        <w:topLinePunct w:val="0"/>
        <w:bidi w:val="0"/>
        <w:snapToGrid/>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七、投标保证金</w:t>
      </w:r>
    </w:p>
    <w:p w14:paraId="56BC484C">
      <w:pPr>
        <w:pStyle w:val="25"/>
        <w:keepNext w:val="0"/>
        <w:keepLines w:val="0"/>
        <w:pageBreakBefore w:val="0"/>
        <w:shd w:val="clear"/>
        <w:kinsoku/>
        <w:overflowPunct/>
        <w:topLinePunct w:val="0"/>
        <w:bidi w:val="0"/>
        <w:snapToGrid/>
        <w:spacing w:line="360" w:lineRule="auto"/>
        <w:ind w:firstLine="470" w:firstLineChars="196"/>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投标保证金：本项目无需投标保证金</w:t>
      </w:r>
      <w:r>
        <w:rPr>
          <w:rFonts w:hint="eastAsia" w:ascii="宋体" w:hAnsi="宋体" w:eastAsia="宋体" w:cs="宋体"/>
          <w:sz w:val="24"/>
          <w:szCs w:val="24"/>
          <w:highlight w:val="none"/>
          <w:lang w:eastAsia="zh-CN"/>
        </w:rPr>
        <w:t>。</w:t>
      </w:r>
    </w:p>
    <w:p w14:paraId="675B798E">
      <w:pPr>
        <w:pStyle w:val="25"/>
        <w:keepNext w:val="0"/>
        <w:keepLines w:val="0"/>
        <w:pageBreakBefore w:val="0"/>
        <w:shd w:val="clear"/>
        <w:kinsoku/>
        <w:overflowPunct/>
        <w:topLinePunct w:val="0"/>
        <w:bidi w:val="0"/>
        <w:snapToGrid/>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八、投标文件提交</w:t>
      </w:r>
    </w:p>
    <w:p w14:paraId="55C84120">
      <w:pPr>
        <w:keepNext w:val="0"/>
        <w:keepLines w:val="0"/>
        <w:pageBreakBefore w:val="0"/>
        <w:widowControl/>
        <w:shd w:val="clear"/>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提交截止时间：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eastAsia="zh-CN"/>
        </w:rPr>
        <w:t>4月</w:t>
      </w:r>
      <w:r>
        <w:rPr>
          <w:rFonts w:hint="eastAsia" w:ascii="宋体" w:hAnsi="宋体" w:cs="宋体"/>
          <w:color w:val="auto"/>
          <w:sz w:val="24"/>
          <w:szCs w:val="24"/>
          <w:highlight w:val="none"/>
          <w:u w:val="single"/>
          <w:lang w:val="en-US" w:eastAsia="zh-CN"/>
        </w:rPr>
        <w:t>24日上</w:t>
      </w:r>
      <w:r>
        <w:rPr>
          <w:rFonts w:hint="eastAsia" w:ascii="宋体" w:hAnsi="宋体" w:eastAsia="宋体" w:cs="宋体"/>
          <w:color w:val="auto"/>
          <w:sz w:val="24"/>
          <w:szCs w:val="24"/>
          <w:highlight w:val="none"/>
          <w:u w:val="single"/>
        </w:rPr>
        <w:t>午</w:t>
      </w:r>
      <w:r>
        <w:rPr>
          <w:rFonts w:hint="eastAsia" w:ascii="宋体" w:hAnsi="宋体" w:eastAsia="宋体" w:cs="宋体"/>
          <w:color w:val="auto"/>
          <w:kern w:val="2"/>
          <w:sz w:val="24"/>
          <w:szCs w:val="24"/>
          <w:highlight w:val="none"/>
          <w:u w:val="single"/>
        </w:rPr>
        <w:t>9</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2"/>
          <w:sz w:val="24"/>
          <w:szCs w:val="24"/>
          <w:highlight w:val="none"/>
          <w:u w:val="single"/>
        </w:rPr>
        <w:t>00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rPr>
        <w:t>。</w:t>
      </w:r>
    </w:p>
    <w:p w14:paraId="7751E057">
      <w:pPr>
        <w:keepNext w:val="0"/>
        <w:keepLines w:val="0"/>
        <w:pageBreakBefore w:val="0"/>
        <w:widowControl/>
        <w:shd w:val="clear"/>
        <w:kinsoku/>
        <w:overflowPunct/>
        <w:topLinePunct w:val="0"/>
        <w:autoSpaceDE/>
        <w:autoSpaceDN/>
        <w:bidi w:val="0"/>
        <w:adjustRightInd/>
        <w:snapToGrid/>
        <w:spacing w:line="360" w:lineRule="auto"/>
        <w:ind w:left="1079" w:leftChars="228" w:hanging="600" w:hangingChars="250"/>
        <w:jc w:val="left"/>
        <w:textAlignment w:val="auto"/>
        <w:rPr>
          <w:rFonts w:hint="eastAsia" w:ascii="宋体" w:hAnsi="宋体" w:eastAsia="宋体" w:cs="宋体"/>
          <w:b w:val="0"/>
          <w:bCs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提交</w:t>
      </w:r>
      <w:r>
        <w:rPr>
          <w:rFonts w:hint="eastAsia" w:ascii="宋体" w:hAnsi="宋体" w:eastAsia="宋体" w:cs="宋体"/>
          <w:b w:val="0"/>
          <w:bCs w:val="0"/>
          <w:color w:val="auto"/>
          <w:sz w:val="24"/>
          <w:szCs w:val="24"/>
          <w:highlight w:val="none"/>
        </w:rPr>
        <w:t>地点：</w:t>
      </w:r>
      <w:r>
        <w:rPr>
          <w:rFonts w:hint="eastAsia" w:ascii="宋体" w:hAnsi="宋体" w:eastAsia="宋体" w:cs="宋体"/>
          <w:b w:val="0"/>
          <w:bCs w:val="0"/>
          <w:color w:val="auto"/>
          <w:sz w:val="24"/>
          <w:szCs w:val="24"/>
          <w:highlight w:val="none"/>
          <w:lang w:eastAsia="zh-CN"/>
        </w:rPr>
        <w:t>诸暨市教育体育局项目交易办公室</w:t>
      </w:r>
      <w:r>
        <w:rPr>
          <w:rFonts w:hint="eastAsia" w:ascii="宋体" w:hAnsi="宋体" w:eastAsia="宋体" w:cs="宋体"/>
          <w:b w:val="0"/>
          <w:bCs w:val="0"/>
          <w:color w:val="auto"/>
          <w:sz w:val="24"/>
          <w:szCs w:val="24"/>
          <w:highlight w:val="none"/>
        </w:rPr>
        <w:t>开标室（诸暨市浣东北路51号）。</w:t>
      </w:r>
    </w:p>
    <w:p w14:paraId="1CAADEB6">
      <w:pPr>
        <w:keepNext w:val="0"/>
        <w:keepLines w:val="0"/>
        <w:pageBreakBefore w:val="0"/>
        <w:widowControl/>
        <w:shd w:val="clear"/>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注：</w:t>
      </w:r>
    </w:p>
    <w:p w14:paraId="21B2F857">
      <w:pPr>
        <w:keepNext w:val="0"/>
        <w:keepLines w:val="0"/>
        <w:pageBreakBefore w:val="0"/>
        <w:widowControl/>
        <w:shd w:val="clear"/>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投标人须于投标截止时间（等同投标文件提交截止时间）前将投标文件密封送达</w:t>
      </w:r>
      <w:r>
        <w:rPr>
          <w:rFonts w:hint="eastAsia" w:ascii="宋体" w:hAnsi="宋体" w:eastAsia="宋体" w:cs="宋体"/>
          <w:b w:val="0"/>
          <w:bCs w:val="0"/>
          <w:color w:val="auto"/>
          <w:sz w:val="24"/>
          <w:szCs w:val="24"/>
          <w:highlight w:val="none"/>
          <w:lang w:eastAsia="zh-CN"/>
        </w:rPr>
        <w:t>诸暨市教育体育局项目交易办公室</w:t>
      </w:r>
      <w:r>
        <w:rPr>
          <w:rFonts w:hint="eastAsia" w:ascii="宋体" w:hAnsi="宋体" w:eastAsia="宋体" w:cs="宋体"/>
          <w:b w:val="0"/>
          <w:bCs w:val="0"/>
          <w:color w:val="auto"/>
          <w:sz w:val="24"/>
          <w:szCs w:val="24"/>
          <w:highlight w:val="none"/>
        </w:rPr>
        <w:t>开标室，逾期送达或未密封将被拒绝接收。</w:t>
      </w:r>
    </w:p>
    <w:p w14:paraId="319B9F53">
      <w:pPr>
        <w:keepNext w:val="0"/>
        <w:keepLines w:val="0"/>
        <w:pageBreakBefore w:val="0"/>
        <w:widowControl/>
        <w:shd w:val="clear"/>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项目取消投标相关人员集中到现场参加开标的要求，诸暨市及其他地区投标人允许采用邮寄投标文件模式（采用EMS或顺丰邮寄方式，以代理机构工作人员签收时间为准，拒收到付），采用邮寄的方式的请提前一天通知代理机构工作人员：</w:t>
      </w:r>
    </w:p>
    <w:p w14:paraId="4C1D1123">
      <w:pPr>
        <w:keepNext w:val="0"/>
        <w:keepLines w:val="0"/>
        <w:pageBreakBefore w:val="0"/>
        <w:widowControl/>
        <w:shd w:val="clear"/>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邮寄地址：诸暨市浣东北路51号（</w:t>
      </w:r>
      <w:r>
        <w:rPr>
          <w:rFonts w:hint="eastAsia" w:ascii="宋体" w:hAnsi="宋体" w:eastAsia="宋体" w:cs="宋体"/>
          <w:b w:val="0"/>
          <w:bCs/>
          <w:color w:val="auto"/>
          <w:sz w:val="24"/>
          <w:szCs w:val="24"/>
          <w:highlight w:val="none"/>
          <w:lang w:eastAsia="zh-CN"/>
        </w:rPr>
        <w:t>诸暨市教育体育局项目交易办公室</w:t>
      </w:r>
      <w:r>
        <w:rPr>
          <w:rFonts w:hint="eastAsia" w:ascii="宋体" w:hAnsi="宋体" w:eastAsia="宋体" w:cs="宋体"/>
          <w:b w:val="0"/>
          <w:bCs/>
          <w:color w:val="auto"/>
          <w:sz w:val="24"/>
          <w:szCs w:val="24"/>
          <w:highlight w:val="none"/>
        </w:rPr>
        <w:t>）</w:t>
      </w:r>
    </w:p>
    <w:p w14:paraId="445F757D">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邮件接收人：</w:t>
      </w:r>
      <w:r>
        <w:rPr>
          <w:rFonts w:hint="eastAsia" w:ascii="宋体" w:hAnsi="宋体" w:eastAsia="宋体" w:cs="宋体"/>
          <w:b w:val="0"/>
          <w:bCs/>
          <w:color w:val="auto"/>
          <w:sz w:val="24"/>
          <w:szCs w:val="24"/>
          <w:highlight w:val="none"/>
          <w:lang w:val="en-US" w:eastAsia="zh-CN"/>
        </w:rPr>
        <w:t>楼翔</w:t>
      </w:r>
      <w:r>
        <w:rPr>
          <w:rFonts w:hint="eastAsia" w:ascii="宋体" w:hAnsi="宋体" w:cs="宋体"/>
          <w:b w:val="0"/>
          <w:bCs/>
          <w:color w:val="auto"/>
          <w:sz w:val="24"/>
          <w:szCs w:val="24"/>
          <w:highlight w:val="none"/>
          <w:lang w:val="en-US" w:eastAsia="zh-CN"/>
        </w:rPr>
        <w:t xml:space="preserve"> </w:t>
      </w:r>
    </w:p>
    <w:p w14:paraId="49BF964B">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联系电话：0575-</w:t>
      </w:r>
      <w:r>
        <w:rPr>
          <w:rFonts w:hint="eastAsia" w:ascii="宋体" w:hAnsi="宋体" w:eastAsia="宋体" w:cs="宋体"/>
          <w:b w:val="0"/>
          <w:bCs/>
          <w:color w:val="auto"/>
          <w:sz w:val="24"/>
          <w:szCs w:val="24"/>
          <w:highlight w:val="none"/>
          <w:lang w:eastAsia="zh-CN"/>
        </w:rPr>
        <w:t>89078291（</w:t>
      </w:r>
      <w:r>
        <w:rPr>
          <w:rFonts w:hint="eastAsia" w:ascii="宋体" w:hAnsi="宋体" w:eastAsia="宋体" w:cs="宋体"/>
          <w:b w:val="0"/>
          <w:bCs/>
          <w:color w:val="auto"/>
          <w:sz w:val="24"/>
          <w:szCs w:val="24"/>
          <w:highlight w:val="none"/>
          <w:lang w:val="en-US" w:eastAsia="zh-CN"/>
        </w:rPr>
        <w:t>工作电话）</w:t>
      </w:r>
    </w:p>
    <w:p w14:paraId="7F2F141A">
      <w:pPr>
        <w:keepNext w:val="0"/>
        <w:keepLines w:val="0"/>
        <w:pageBreakBefore w:val="0"/>
        <w:widowControl/>
        <w:shd w:val="clear"/>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采用邮寄投标文件方式的：①快递外包装上需注明项目名称、项目编号、标号（如有）；②邮寄过程中，投标文件发生泄露、遗失、损坏或延期送达等情况的，全部责任均由投标人自行负责，采购代理机构概不负责。</w:t>
      </w:r>
    </w:p>
    <w:p w14:paraId="5881D7A3">
      <w:pPr>
        <w:keepNext w:val="0"/>
        <w:keepLines w:val="0"/>
        <w:pageBreakBefore w:val="0"/>
        <w:shd w:val="clear"/>
        <w:kinsoku/>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九、开标时间和地点</w:t>
      </w:r>
    </w:p>
    <w:p w14:paraId="2CDAB1B4">
      <w:pPr>
        <w:keepNext w:val="0"/>
        <w:keepLines w:val="0"/>
        <w:pageBreakBefore w:val="0"/>
        <w:shd w:val="clea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24日上</w:t>
      </w:r>
      <w:r>
        <w:rPr>
          <w:rFonts w:hint="eastAsia" w:ascii="宋体" w:hAnsi="宋体" w:eastAsia="宋体" w:cs="宋体"/>
          <w:color w:val="auto"/>
          <w:sz w:val="24"/>
          <w:szCs w:val="24"/>
          <w:highlight w:val="none"/>
          <w:u w:val="single"/>
        </w:rPr>
        <w:t>午</w:t>
      </w:r>
      <w:r>
        <w:rPr>
          <w:rFonts w:hint="eastAsia" w:ascii="宋体" w:hAnsi="宋体" w:eastAsia="宋体" w:cs="宋体"/>
          <w:color w:val="auto"/>
          <w:kern w:val="2"/>
          <w:sz w:val="24"/>
          <w:szCs w:val="24"/>
          <w:highlight w:val="none"/>
          <w:u w:val="single"/>
        </w:rPr>
        <w:t>9</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2"/>
          <w:sz w:val="24"/>
          <w:szCs w:val="24"/>
          <w:highlight w:val="none"/>
          <w:u w:val="single"/>
        </w:rPr>
        <w:t>00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rPr>
        <w:t>。</w:t>
      </w:r>
    </w:p>
    <w:p w14:paraId="337667B6">
      <w:pPr>
        <w:keepNext w:val="0"/>
        <w:keepLines w:val="0"/>
        <w:pageBreakBefore w:val="0"/>
        <w:shd w:val="clea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诸暨市教育体育局项目交易办公室</w:t>
      </w:r>
      <w:r>
        <w:rPr>
          <w:rFonts w:hint="eastAsia" w:ascii="宋体" w:hAnsi="宋体" w:eastAsia="宋体" w:cs="宋体"/>
          <w:color w:val="auto"/>
          <w:sz w:val="24"/>
          <w:szCs w:val="24"/>
          <w:highlight w:val="none"/>
        </w:rPr>
        <w:t>开标室（</w:t>
      </w:r>
      <w:r>
        <w:rPr>
          <w:rFonts w:hint="eastAsia" w:ascii="宋体" w:hAnsi="宋体" w:eastAsia="宋体" w:cs="宋体"/>
          <w:sz w:val="24"/>
          <w:szCs w:val="24"/>
          <w:highlight w:val="none"/>
        </w:rPr>
        <w:t>诸暨市浣东北路51号</w:t>
      </w:r>
      <w:r>
        <w:rPr>
          <w:rFonts w:hint="eastAsia" w:ascii="宋体" w:hAnsi="宋体" w:eastAsia="宋体" w:cs="宋体"/>
          <w:color w:val="auto"/>
          <w:sz w:val="24"/>
          <w:szCs w:val="24"/>
          <w:highlight w:val="none"/>
        </w:rPr>
        <w:t>）。</w:t>
      </w:r>
    </w:p>
    <w:p w14:paraId="1255AF85">
      <w:pPr>
        <w:keepNext w:val="0"/>
        <w:keepLines w:val="0"/>
        <w:pageBreakBefore w:val="0"/>
        <w:shd w:val="clea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特别说明：取消投标人在开标现场的书面签字确认等有关操作要求；需要答辩的，通过视频、电话等方式组织答辩；要求投标人进行澄清、说明或者补正的，均通过指定的电子邮箱</w:t>
      </w:r>
      <w:r>
        <w:rPr>
          <w:rFonts w:hint="eastAsia" w:ascii="宋体" w:hAnsi="宋体" w:eastAsia="宋体" w:cs="宋体"/>
          <w:b/>
          <w:color w:val="auto"/>
          <w:sz w:val="24"/>
          <w:szCs w:val="24"/>
          <w:highlight w:val="none"/>
          <w:lang w:eastAsia="zh-CN"/>
        </w:rPr>
        <w:t>123373395@qq.com</w:t>
      </w:r>
      <w:r>
        <w:rPr>
          <w:rFonts w:hint="eastAsia" w:ascii="宋体" w:hAnsi="宋体" w:eastAsia="宋体" w:cs="宋体"/>
          <w:b/>
          <w:color w:val="auto"/>
          <w:sz w:val="24"/>
          <w:szCs w:val="24"/>
          <w:highlight w:val="none"/>
        </w:rPr>
        <w:t>作出澄清、说明或者补正。提交澄清、说明或补正的时间不少于半小时。</w:t>
      </w:r>
    </w:p>
    <w:p w14:paraId="18653A07">
      <w:pPr>
        <w:keepNext w:val="0"/>
        <w:keepLines w:val="0"/>
        <w:pageBreakBefore w:val="0"/>
        <w:shd w:val="clear"/>
        <w:kinsoku/>
        <w:overflowPunct/>
        <w:topLinePunct w:val="0"/>
        <w:bidi w:val="0"/>
        <w:snapToGrid/>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十、业务咨询</w:t>
      </w:r>
    </w:p>
    <w:bookmarkEnd w:id="0"/>
    <w:p w14:paraId="0F63AC59">
      <w:pPr>
        <w:keepNext w:val="0"/>
        <w:keepLines w:val="0"/>
        <w:pageBreakBefore w:val="0"/>
        <w:shd w:val="clear"/>
        <w:kinsoku/>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bookmarkStart w:id="2" w:name="_Toc125344503"/>
      <w:r>
        <w:rPr>
          <w:rFonts w:hint="eastAsia" w:ascii="宋体" w:hAnsi="宋体" w:eastAsia="宋体" w:cs="宋体"/>
          <w:sz w:val="24"/>
          <w:szCs w:val="24"/>
          <w:highlight w:val="none"/>
        </w:rPr>
        <w:t>采购单</w:t>
      </w:r>
      <w:r>
        <w:rPr>
          <w:rFonts w:hint="eastAsia" w:ascii="宋体" w:hAnsi="宋体" w:eastAsia="宋体" w:cs="宋体"/>
          <w:color w:val="auto"/>
          <w:sz w:val="24"/>
          <w:szCs w:val="24"/>
          <w:highlight w:val="none"/>
        </w:rPr>
        <w:t>位联系人：</w:t>
      </w:r>
      <w:r>
        <w:rPr>
          <w:rFonts w:hint="eastAsia" w:ascii="宋体" w:hAnsi="宋体"/>
          <w:color w:val="auto"/>
          <w:sz w:val="24"/>
          <w:szCs w:val="24"/>
          <w:highlight w:val="none"/>
          <w:lang w:val="en-US" w:eastAsia="zh-CN"/>
        </w:rPr>
        <w:t>许国</w:t>
      </w:r>
      <w:r>
        <w:rPr>
          <w:rFonts w:hint="eastAsia" w:ascii="宋体" w:hAnsi="宋体" w:eastAsia="宋体" w:cs="宋体"/>
          <w:color w:val="auto"/>
          <w:sz w:val="24"/>
          <w:szCs w:val="24"/>
          <w:highlight w:val="none"/>
        </w:rPr>
        <w:t xml:space="preserve">     采购单位联系电话：</w:t>
      </w:r>
      <w:r>
        <w:rPr>
          <w:rFonts w:hint="eastAsia" w:ascii="宋体" w:hAnsi="宋体" w:eastAsia="宋体" w:cs="宋体"/>
          <w:color w:val="auto"/>
          <w:kern w:val="0"/>
          <w:sz w:val="24"/>
          <w:highlight w:val="none"/>
          <w:lang w:val="en-US" w:eastAsia="zh-CN"/>
        </w:rPr>
        <w:t>0575-</w:t>
      </w:r>
      <w:r>
        <w:rPr>
          <w:rFonts w:ascii="宋体" w:hAnsi="宋体" w:eastAsia="宋体" w:cs="宋体"/>
          <w:sz w:val="24"/>
          <w:szCs w:val="24"/>
        </w:rPr>
        <w:t>89078792</w:t>
      </w:r>
      <w:r>
        <w:rPr>
          <w:rFonts w:hint="eastAsia" w:ascii="宋体" w:hAnsi="宋体" w:eastAsia="宋体" w:cs="宋体"/>
          <w:sz w:val="24"/>
          <w:szCs w:val="24"/>
          <w:highlight w:val="none"/>
        </w:rPr>
        <w:t>（工作电话）</w:t>
      </w:r>
    </w:p>
    <w:p w14:paraId="5835C637">
      <w:pPr>
        <w:pStyle w:val="45"/>
        <w:keepNext w:val="0"/>
        <w:keepLines w:val="0"/>
        <w:pageBreakBefore w:val="0"/>
        <w:shd w:val="clear"/>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代理机构联系人：</w:t>
      </w:r>
      <w:r>
        <w:rPr>
          <w:rFonts w:hint="eastAsia" w:ascii="宋体" w:hAnsi="宋体" w:eastAsia="宋体" w:cs="宋体"/>
          <w:sz w:val="24"/>
          <w:szCs w:val="24"/>
          <w:highlight w:val="none"/>
          <w:lang w:val="en-US" w:eastAsia="zh-CN"/>
        </w:rPr>
        <w:t>楼翔</w:t>
      </w:r>
      <w:r>
        <w:rPr>
          <w:rFonts w:hint="eastAsia" w:ascii="宋体" w:hAnsi="宋体" w:eastAsia="宋体" w:cs="宋体"/>
          <w:sz w:val="24"/>
          <w:szCs w:val="24"/>
          <w:highlight w:val="none"/>
        </w:rPr>
        <w:t xml:space="preserve">      </w:t>
      </w:r>
      <w:r>
        <w:rPr>
          <w:rStyle w:val="55"/>
          <w:rFonts w:hint="eastAsia" w:ascii="宋体" w:hAnsi="宋体" w:eastAsia="宋体" w:cs="宋体"/>
          <w:b w:val="0"/>
          <w:color w:val="auto"/>
          <w:sz w:val="24"/>
          <w:szCs w:val="24"/>
          <w:highlight w:val="none"/>
          <w:shd w:val="clear" w:color="auto" w:fill="FFFFFF"/>
          <w:lang w:val="en-US" w:eastAsia="zh-CN"/>
        </w:rPr>
        <w:t>工作电话</w:t>
      </w:r>
      <w:r>
        <w:rPr>
          <w:rStyle w:val="55"/>
          <w:rFonts w:hint="eastAsia" w:ascii="宋体" w:hAnsi="宋体" w:eastAsia="宋体" w:cs="宋体"/>
          <w:b w:val="0"/>
          <w:color w:val="auto"/>
          <w:sz w:val="24"/>
          <w:szCs w:val="24"/>
          <w:highlight w:val="none"/>
          <w:shd w:val="clear" w:color="auto" w:fill="FFFFFF"/>
          <w:lang w:eastAsia="zh-CN"/>
        </w:rPr>
        <w:t>：</w:t>
      </w:r>
      <w:r>
        <w:rPr>
          <w:rStyle w:val="55"/>
          <w:rFonts w:hint="eastAsia" w:ascii="宋体" w:hAnsi="宋体" w:eastAsia="宋体" w:cs="宋体"/>
          <w:b w:val="0"/>
          <w:color w:val="auto"/>
          <w:sz w:val="24"/>
          <w:szCs w:val="24"/>
          <w:highlight w:val="none"/>
          <w:shd w:val="clear" w:color="auto" w:fill="FFFFFF"/>
        </w:rPr>
        <w:t>0575-890</w:t>
      </w:r>
      <w:r>
        <w:rPr>
          <w:rStyle w:val="55"/>
          <w:rFonts w:hint="eastAsia" w:ascii="宋体" w:hAnsi="宋体" w:eastAsia="宋体" w:cs="宋体"/>
          <w:b w:val="0"/>
          <w:color w:val="auto"/>
          <w:sz w:val="24"/>
          <w:szCs w:val="24"/>
          <w:highlight w:val="none"/>
          <w:shd w:val="clear" w:color="auto" w:fill="FFFFFF"/>
          <w:lang w:val="en-US" w:eastAsia="zh-CN"/>
        </w:rPr>
        <w:t>78291</w:t>
      </w:r>
      <w:r>
        <w:rPr>
          <w:rFonts w:hint="eastAsia" w:ascii="宋体" w:hAnsi="宋体" w:eastAsia="宋体" w:cs="宋体"/>
          <w:sz w:val="24"/>
          <w:szCs w:val="24"/>
          <w:highlight w:val="none"/>
        </w:rPr>
        <w:t>（工</w:t>
      </w:r>
      <w:bookmarkStart w:id="13" w:name="_GoBack"/>
      <w:bookmarkEnd w:id="13"/>
      <w:r>
        <w:rPr>
          <w:rFonts w:hint="eastAsia" w:ascii="宋体" w:hAnsi="宋体" w:eastAsia="宋体" w:cs="宋体"/>
          <w:sz w:val="24"/>
          <w:szCs w:val="24"/>
          <w:highlight w:val="none"/>
        </w:rPr>
        <w:t>作电话）</w:t>
      </w:r>
    </w:p>
    <w:p w14:paraId="3A919C0D">
      <w:pPr>
        <w:pStyle w:val="45"/>
        <w:keepNext w:val="0"/>
        <w:keepLines w:val="0"/>
        <w:pageBreakBefore w:val="0"/>
        <w:shd w:val="clear"/>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代理机构单位联系地址：诸暨市浣东北路51号</w:t>
      </w:r>
    </w:p>
    <w:p w14:paraId="659E1C1D">
      <w:pPr>
        <w:keepNext w:val="0"/>
        <w:keepLines w:val="0"/>
        <w:pageBreakBefore w:val="0"/>
        <w:shd w:val="clear"/>
        <w:kinsoku/>
        <w:overflowPunct/>
        <w:topLinePunct w:val="0"/>
        <w:bidi w:val="0"/>
        <w:snapToGrid/>
        <w:spacing w:line="360" w:lineRule="auto"/>
        <w:jc w:val="right"/>
        <w:textAlignment w:val="auto"/>
        <w:rPr>
          <w:rFonts w:hint="eastAsia" w:ascii="宋体" w:hAnsi="宋体" w:eastAsia="宋体" w:cs="宋体"/>
          <w:sz w:val="24"/>
          <w:szCs w:val="24"/>
          <w:highlight w:val="none"/>
        </w:rPr>
      </w:pPr>
    </w:p>
    <w:p w14:paraId="52E60D31">
      <w:pPr>
        <w:keepNext w:val="0"/>
        <w:keepLines w:val="0"/>
        <w:pageBreakBefore w:val="0"/>
        <w:shd w:val="clear"/>
        <w:kinsoku/>
        <w:overflowPunct/>
        <w:topLinePunct w:val="0"/>
        <w:bidi w:val="0"/>
        <w:snapToGrid/>
        <w:spacing w:line="360" w:lineRule="auto"/>
        <w:jc w:val="righ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诸暨市教育体育局</w:t>
      </w:r>
    </w:p>
    <w:p w14:paraId="29E54147">
      <w:pPr>
        <w:keepNext w:val="0"/>
        <w:keepLines w:val="0"/>
        <w:pageBreakBefore w:val="0"/>
        <w:shd w:val="clear"/>
        <w:kinsoku/>
        <w:overflowPunct/>
        <w:topLinePunct w:val="0"/>
        <w:bidi w:val="0"/>
        <w:snapToGrid/>
        <w:spacing w:line="360" w:lineRule="auto"/>
        <w:jc w:val="righ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诸暨市教育体育局项目交易办公室</w:t>
      </w:r>
    </w:p>
    <w:p w14:paraId="112FE4A6">
      <w:pPr>
        <w:keepNext w:val="0"/>
        <w:keepLines w:val="0"/>
        <w:pageBreakBefore w:val="0"/>
        <w:shd w:val="clear"/>
        <w:kinsoku/>
        <w:wordWrap w:val="0"/>
        <w:overflowPunct/>
        <w:topLinePunct w:val="0"/>
        <w:bidi w:val="0"/>
        <w:snapToGrid/>
        <w:spacing w:line="360" w:lineRule="auto"/>
        <w:jc w:val="right"/>
        <w:textAlignment w:val="auto"/>
        <w:rPr>
          <w:rFonts w:hint="eastAsia" w:ascii="宋体" w:hAnsi="宋体" w:eastAsia="宋体" w:cs="宋体"/>
          <w:color w:val="FF0000"/>
          <w:sz w:val="24"/>
          <w:szCs w:val="24"/>
        </w:rPr>
      </w:pP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二○二</w:t>
      </w:r>
      <w:r>
        <w:rPr>
          <w:rFonts w:hint="eastAsia" w:ascii="宋体" w:hAnsi="宋体" w:eastAsia="宋体" w:cs="宋体"/>
          <w:color w:val="auto"/>
          <w:sz w:val="24"/>
          <w:szCs w:val="24"/>
          <w:highlight w:val="none"/>
          <w:lang w:val="en-US" w:eastAsia="zh-CN"/>
        </w:rPr>
        <w:t>六</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四</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三</w:t>
      </w:r>
      <w:r>
        <w:rPr>
          <w:rFonts w:hint="eastAsia" w:ascii="宋体" w:hAnsi="宋体" w:eastAsia="宋体" w:cs="宋体"/>
          <w:sz w:val="24"/>
          <w:szCs w:val="24"/>
          <w:highlight w:val="none"/>
        </w:rPr>
        <w:t>日</w:t>
      </w:r>
    </w:p>
    <w:p w14:paraId="637ABE12">
      <w:pPr>
        <w:spacing w:line="360" w:lineRule="auto"/>
        <w:rPr>
          <w:rFonts w:ascii="宋体" w:hAnsi="宋体"/>
          <w:color w:val="FF0000"/>
        </w:rPr>
        <w:sectPr>
          <w:headerReference r:id="rId5" w:type="first"/>
          <w:footerReference r:id="rId8" w:type="first"/>
          <w:headerReference r:id="rId4" w:type="default"/>
          <w:footerReference r:id="rId6" w:type="default"/>
          <w:footerReference r:id="rId7" w:type="even"/>
          <w:pgSz w:w="11906" w:h="16838"/>
          <w:pgMar w:top="1021" w:right="1247" w:bottom="1021" w:left="1247" w:header="567" w:footer="454" w:gutter="0"/>
          <w:pgNumType w:fmt="numberInDash" w:start="1"/>
          <w:cols w:space="720" w:num="1"/>
          <w:titlePg/>
          <w:docGrid w:type="lines" w:linePitch="312" w:charSpace="0"/>
        </w:sectPr>
      </w:pPr>
    </w:p>
    <w:bookmarkEnd w:id="1"/>
    <w:p w14:paraId="61FEE0C1">
      <w:pPr>
        <w:pStyle w:val="2"/>
        <w:spacing w:before="120" w:after="240" w:line="400" w:lineRule="exact"/>
        <w:jc w:val="center"/>
        <w:rPr>
          <w:rFonts w:ascii="宋体" w:hAnsi="宋体"/>
          <w:color w:val="auto"/>
          <w:sz w:val="36"/>
          <w:szCs w:val="36"/>
        </w:rPr>
      </w:pPr>
      <w:r>
        <w:rPr>
          <w:rFonts w:hint="eastAsia" w:ascii="宋体" w:hAnsi="宋体"/>
          <w:color w:val="auto"/>
          <w:sz w:val="36"/>
          <w:szCs w:val="36"/>
        </w:rPr>
        <w:t>第二章   投标须知</w:t>
      </w:r>
    </w:p>
    <w:p w14:paraId="71F26251">
      <w:pPr>
        <w:spacing w:line="400" w:lineRule="exact"/>
        <w:jc w:val="center"/>
        <w:rPr>
          <w:rFonts w:hint="eastAsia" w:ascii="宋体" w:hAnsi="宋体"/>
          <w:b/>
          <w:bCs/>
          <w:color w:val="auto"/>
          <w:sz w:val="32"/>
          <w:szCs w:val="32"/>
        </w:rPr>
      </w:pPr>
      <w:r>
        <w:rPr>
          <w:rFonts w:hint="eastAsia" w:ascii="宋体" w:hAnsi="宋体"/>
          <w:b/>
          <w:bCs/>
          <w:color w:val="auto"/>
          <w:sz w:val="32"/>
          <w:szCs w:val="32"/>
        </w:rPr>
        <w:t>《前  附  表》</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22"/>
        <w:gridCol w:w="7800"/>
      </w:tblGrid>
      <w:tr w14:paraId="3E78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67" w:type="dxa"/>
            <w:noWrap w:val="0"/>
            <w:vAlign w:val="center"/>
          </w:tcPr>
          <w:p w14:paraId="1467C260">
            <w:pPr>
              <w:pStyle w:val="25"/>
              <w:spacing w:line="400" w:lineRule="exact"/>
              <w:ind w:left="-107" w:leftChars="-51" w:right="-111" w:rightChars="-53"/>
              <w:jc w:val="center"/>
              <w:rPr>
                <w:rFonts w:hint="eastAsia" w:ascii="宋体" w:hAnsi="宋体" w:eastAsia="宋体" w:cs="宋体"/>
                <w:b/>
                <w:w w:val="100"/>
                <w:szCs w:val="24"/>
              </w:rPr>
            </w:pPr>
            <w:r>
              <w:rPr>
                <w:rFonts w:hint="eastAsia" w:ascii="宋体" w:hAnsi="宋体" w:eastAsia="宋体" w:cs="宋体"/>
                <w:b/>
                <w:w w:val="100"/>
                <w:szCs w:val="24"/>
              </w:rPr>
              <w:t>序号</w:t>
            </w:r>
          </w:p>
        </w:tc>
        <w:tc>
          <w:tcPr>
            <w:tcW w:w="1422" w:type="dxa"/>
            <w:noWrap w:val="0"/>
            <w:vAlign w:val="center"/>
          </w:tcPr>
          <w:p w14:paraId="4C15B139">
            <w:pPr>
              <w:pStyle w:val="25"/>
              <w:spacing w:line="400" w:lineRule="exact"/>
              <w:jc w:val="center"/>
              <w:rPr>
                <w:rFonts w:hint="eastAsia" w:ascii="宋体" w:hAnsi="宋体" w:eastAsia="宋体" w:cs="宋体"/>
                <w:b/>
                <w:w w:val="100"/>
                <w:szCs w:val="24"/>
              </w:rPr>
            </w:pPr>
            <w:r>
              <w:rPr>
                <w:rFonts w:hint="eastAsia" w:ascii="宋体" w:hAnsi="宋体" w:eastAsia="宋体" w:cs="宋体"/>
                <w:b/>
                <w:w w:val="100"/>
                <w:szCs w:val="24"/>
              </w:rPr>
              <w:t>内容</w:t>
            </w:r>
          </w:p>
        </w:tc>
        <w:tc>
          <w:tcPr>
            <w:tcW w:w="7800" w:type="dxa"/>
            <w:noWrap w:val="0"/>
            <w:vAlign w:val="center"/>
          </w:tcPr>
          <w:p w14:paraId="52F3AA47">
            <w:pPr>
              <w:pStyle w:val="25"/>
              <w:spacing w:line="400" w:lineRule="exact"/>
              <w:jc w:val="center"/>
              <w:rPr>
                <w:rFonts w:hint="eastAsia" w:ascii="宋体" w:hAnsi="宋体" w:eastAsia="宋体" w:cs="宋体"/>
                <w:b/>
                <w:w w:val="100"/>
                <w:szCs w:val="24"/>
              </w:rPr>
            </w:pPr>
            <w:r>
              <w:rPr>
                <w:rFonts w:hint="eastAsia" w:ascii="宋体" w:hAnsi="宋体" w:eastAsia="宋体" w:cs="宋体"/>
                <w:b/>
                <w:w w:val="100"/>
                <w:szCs w:val="24"/>
              </w:rPr>
              <w:t>说明与要求</w:t>
            </w:r>
          </w:p>
        </w:tc>
      </w:tr>
      <w:tr w14:paraId="31E2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7" w:type="dxa"/>
            <w:noWrap w:val="0"/>
            <w:vAlign w:val="center"/>
          </w:tcPr>
          <w:p w14:paraId="3E635D69">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w:t>
            </w:r>
          </w:p>
        </w:tc>
        <w:tc>
          <w:tcPr>
            <w:tcW w:w="1422" w:type="dxa"/>
            <w:noWrap w:val="0"/>
            <w:vAlign w:val="center"/>
          </w:tcPr>
          <w:p w14:paraId="1A69B620">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项目名称</w:t>
            </w:r>
          </w:p>
        </w:tc>
        <w:tc>
          <w:tcPr>
            <w:tcW w:w="7800" w:type="dxa"/>
            <w:noWrap w:val="0"/>
            <w:vAlign w:val="center"/>
          </w:tcPr>
          <w:p w14:paraId="3E5CE5E1">
            <w:pPr>
              <w:tabs>
                <w:tab w:val="left" w:pos="426"/>
              </w:tabs>
              <w:autoSpaceDE/>
              <w:autoSpaceDN/>
              <w:snapToGrid w:val="0"/>
              <w:spacing w:line="400" w:lineRule="exact"/>
              <w:jc w:val="left"/>
              <w:rPr>
                <w:rFonts w:hint="eastAsia" w:ascii="宋体" w:hAnsi="宋体" w:eastAsia="宋体" w:cs="宋体"/>
                <w:w w:val="100"/>
                <w:sz w:val="24"/>
                <w:szCs w:val="24"/>
                <w:lang w:eastAsia="zh-CN"/>
              </w:rPr>
            </w:pPr>
            <w:r>
              <w:rPr>
                <w:rFonts w:hint="eastAsia" w:ascii="宋体" w:hAnsi="宋体" w:cs="宋体"/>
                <w:b w:val="0"/>
                <w:bCs/>
                <w:w w:val="100"/>
                <w:sz w:val="24"/>
                <w:szCs w:val="24"/>
                <w:lang w:eastAsia="zh-CN"/>
              </w:rPr>
              <w:t>诸暨市教育体育局2026年度全市校产保险服务采购项目</w:t>
            </w:r>
          </w:p>
        </w:tc>
      </w:tr>
      <w:tr w14:paraId="2C4A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67" w:type="dxa"/>
            <w:noWrap w:val="0"/>
            <w:vAlign w:val="center"/>
          </w:tcPr>
          <w:p w14:paraId="4097AA85">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2</w:t>
            </w:r>
          </w:p>
        </w:tc>
        <w:tc>
          <w:tcPr>
            <w:tcW w:w="1422" w:type="dxa"/>
            <w:noWrap w:val="0"/>
            <w:vAlign w:val="center"/>
          </w:tcPr>
          <w:p w14:paraId="1D754B0A">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采购方式</w:t>
            </w:r>
          </w:p>
        </w:tc>
        <w:tc>
          <w:tcPr>
            <w:tcW w:w="7800" w:type="dxa"/>
            <w:noWrap w:val="0"/>
            <w:vAlign w:val="center"/>
          </w:tcPr>
          <w:p w14:paraId="7AF19793">
            <w:pPr>
              <w:pStyle w:val="25"/>
              <w:spacing w:line="400" w:lineRule="exact"/>
              <w:ind w:right="-107" w:rightChars="-51"/>
              <w:rPr>
                <w:rFonts w:hint="eastAsia" w:ascii="宋体" w:hAnsi="宋体" w:eastAsia="宋体" w:cs="宋体"/>
                <w:w w:val="100"/>
                <w:szCs w:val="24"/>
              </w:rPr>
            </w:pPr>
            <w:r>
              <w:rPr>
                <w:rFonts w:hint="eastAsia" w:ascii="宋体" w:hAnsi="宋体" w:eastAsia="宋体" w:cs="宋体"/>
                <w:w w:val="100"/>
                <w:szCs w:val="24"/>
              </w:rPr>
              <w:t>公开招标</w:t>
            </w:r>
          </w:p>
        </w:tc>
      </w:tr>
      <w:tr w14:paraId="76A2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67" w:type="dxa"/>
            <w:noWrap w:val="0"/>
            <w:vAlign w:val="center"/>
          </w:tcPr>
          <w:p w14:paraId="518190D4">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3</w:t>
            </w:r>
          </w:p>
        </w:tc>
        <w:tc>
          <w:tcPr>
            <w:tcW w:w="1422" w:type="dxa"/>
            <w:noWrap w:val="0"/>
            <w:vAlign w:val="center"/>
          </w:tcPr>
          <w:p w14:paraId="4303ACB1">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评标办法</w:t>
            </w:r>
          </w:p>
        </w:tc>
        <w:tc>
          <w:tcPr>
            <w:tcW w:w="7800" w:type="dxa"/>
            <w:noWrap w:val="0"/>
            <w:vAlign w:val="center"/>
          </w:tcPr>
          <w:p w14:paraId="2A0EE87D">
            <w:pPr>
              <w:pStyle w:val="25"/>
              <w:spacing w:line="400" w:lineRule="exact"/>
              <w:ind w:right="-107" w:rightChars="-51"/>
              <w:rPr>
                <w:rFonts w:hint="eastAsia" w:ascii="宋体" w:hAnsi="宋体" w:eastAsia="宋体" w:cs="宋体"/>
                <w:w w:val="100"/>
                <w:szCs w:val="24"/>
              </w:rPr>
            </w:pPr>
            <w:r>
              <w:rPr>
                <w:rFonts w:hint="eastAsia" w:ascii="宋体" w:hAnsi="宋体" w:eastAsia="宋体" w:cs="宋体"/>
                <w:w w:val="100"/>
                <w:szCs w:val="24"/>
              </w:rPr>
              <w:t>综合评分法</w:t>
            </w:r>
          </w:p>
        </w:tc>
      </w:tr>
      <w:tr w14:paraId="7B6C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67" w:type="dxa"/>
            <w:noWrap w:val="0"/>
            <w:vAlign w:val="center"/>
          </w:tcPr>
          <w:p w14:paraId="2D981B1E">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4</w:t>
            </w:r>
          </w:p>
        </w:tc>
        <w:tc>
          <w:tcPr>
            <w:tcW w:w="1422" w:type="dxa"/>
            <w:noWrap w:val="0"/>
            <w:vAlign w:val="center"/>
          </w:tcPr>
          <w:p w14:paraId="52E08304">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最高限价</w:t>
            </w:r>
          </w:p>
        </w:tc>
        <w:tc>
          <w:tcPr>
            <w:tcW w:w="7800" w:type="dxa"/>
            <w:noWrap w:val="0"/>
            <w:vAlign w:val="center"/>
          </w:tcPr>
          <w:p w14:paraId="6DA2DB27">
            <w:pPr>
              <w:numPr>
                <w:ilvl w:val="0"/>
                <w:numId w:val="0"/>
              </w:numPr>
              <w:autoSpaceDE/>
              <w:autoSpaceDN/>
              <w:adjustRightInd/>
              <w:spacing w:line="400" w:lineRule="exact"/>
              <w:ind w:leftChars="0"/>
              <w:rPr>
                <w:rFonts w:hint="eastAsia" w:ascii="宋体" w:hAnsi="宋体" w:eastAsia="宋体" w:cs="宋体"/>
                <w:bCs/>
                <w:w w:val="100"/>
                <w:sz w:val="24"/>
                <w:szCs w:val="24"/>
                <w:u w:val="single"/>
              </w:rPr>
            </w:pPr>
            <w:r>
              <w:rPr>
                <w:rFonts w:hint="eastAsia" w:ascii="宋体" w:hAnsi="宋体" w:eastAsia="宋体" w:cs="宋体"/>
                <w:color w:val="000000"/>
                <w:kern w:val="2"/>
                <w:sz w:val="24"/>
                <w:szCs w:val="24"/>
                <w:highlight w:val="none"/>
                <w:lang w:val="en-US" w:eastAsia="zh-CN" w:bidi="ar-SA"/>
              </w:rPr>
              <w:t>本次采购</w:t>
            </w:r>
            <w:r>
              <w:rPr>
                <w:rFonts w:hint="eastAsia" w:ascii="宋体" w:hAnsi="宋体" w:eastAsia="宋体" w:cs="宋体"/>
                <w:b/>
                <w:bCs/>
                <w:color w:val="000000"/>
                <w:kern w:val="2"/>
                <w:sz w:val="24"/>
                <w:szCs w:val="24"/>
                <w:highlight w:val="none"/>
                <w:lang w:val="en-US" w:eastAsia="zh-CN" w:bidi="ar-SA"/>
              </w:rPr>
              <w:t>最高限价</w:t>
            </w:r>
            <w:r>
              <w:rPr>
                <w:rFonts w:hint="eastAsia" w:ascii="宋体" w:hAnsi="宋体" w:eastAsia="宋体" w:cs="宋体"/>
                <w:b/>
                <w:bCs/>
                <w:sz w:val="24"/>
                <w:szCs w:val="24"/>
                <w:lang w:val="en-US" w:eastAsia="zh-CN"/>
              </w:rPr>
              <w:t>人民币</w:t>
            </w:r>
            <w:r>
              <w:rPr>
                <w:rFonts w:hint="eastAsia" w:ascii="宋体" w:hAnsi="宋体" w:cs="宋体"/>
                <w:b/>
                <w:bCs/>
                <w:sz w:val="24"/>
                <w:szCs w:val="24"/>
                <w:lang w:val="en-US" w:eastAsia="zh-CN"/>
              </w:rPr>
              <w:t>贰</w:t>
            </w:r>
            <w:r>
              <w:rPr>
                <w:rFonts w:hint="eastAsia" w:ascii="宋体" w:hAnsi="宋体" w:eastAsia="宋体" w:cs="宋体"/>
                <w:b/>
                <w:bCs/>
                <w:sz w:val="24"/>
                <w:szCs w:val="24"/>
                <w:lang w:val="en-US" w:eastAsia="zh-CN"/>
              </w:rPr>
              <w:t>拾</w:t>
            </w:r>
            <w:r>
              <w:rPr>
                <w:rFonts w:hint="eastAsia" w:ascii="宋体" w:hAnsi="宋体" w:cs="宋体"/>
                <w:b/>
                <w:bCs/>
                <w:sz w:val="24"/>
                <w:szCs w:val="24"/>
                <w:lang w:val="en-US" w:eastAsia="zh-CN"/>
              </w:rPr>
              <w:t>叁</w:t>
            </w:r>
            <w:r>
              <w:rPr>
                <w:rFonts w:hint="eastAsia" w:ascii="宋体" w:hAnsi="宋体" w:eastAsia="宋体" w:cs="宋体"/>
                <w:b/>
                <w:bCs/>
                <w:sz w:val="24"/>
                <w:szCs w:val="24"/>
                <w:lang w:val="en-US" w:eastAsia="zh-CN"/>
              </w:rPr>
              <w:t>万元（￥</w:t>
            </w:r>
            <w:r>
              <w:rPr>
                <w:rFonts w:hint="eastAsia" w:ascii="宋体" w:hAnsi="宋体" w:cs="宋体"/>
                <w:b/>
                <w:bCs/>
                <w:sz w:val="24"/>
                <w:szCs w:val="24"/>
                <w:lang w:val="en-US" w:eastAsia="zh-CN"/>
              </w:rPr>
              <w:t>23</w:t>
            </w:r>
            <w:r>
              <w:rPr>
                <w:rFonts w:hint="eastAsia" w:ascii="宋体" w:hAnsi="宋体" w:eastAsia="宋体" w:cs="宋体"/>
                <w:b/>
                <w:bCs/>
                <w:sz w:val="24"/>
                <w:szCs w:val="24"/>
                <w:lang w:val="en-US" w:eastAsia="zh-CN"/>
              </w:rPr>
              <w:t>0000.00）整,任何超过最高限价的报价将被认定为无效报价。</w:t>
            </w:r>
          </w:p>
        </w:tc>
      </w:tr>
      <w:tr w14:paraId="5782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67" w:type="dxa"/>
            <w:noWrap w:val="0"/>
            <w:vAlign w:val="center"/>
          </w:tcPr>
          <w:p w14:paraId="47F1C567">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5</w:t>
            </w:r>
          </w:p>
        </w:tc>
        <w:tc>
          <w:tcPr>
            <w:tcW w:w="1422" w:type="dxa"/>
            <w:noWrap w:val="0"/>
            <w:vAlign w:val="center"/>
          </w:tcPr>
          <w:p w14:paraId="304CB5B2">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投标人资格要求</w:t>
            </w:r>
          </w:p>
        </w:tc>
        <w:tc>
          <w:tcPr>
            <w:tcW w:w="7800" w:type="dxa"/>
            <w:noWrap w:val="0"/>
            <w:vAlign w:val="center"/>
          </w:tcPr>
          <w:p w14:paraId="2CE1236A">
            <w:pPr>
              <w:pStyle w:val="123"/>
              <w:keepNext w:val="0"/>
              <w:keepLines w:val="0"/>
              <w:pageBreakBefore w:val="0"/>
              <w:widowControl w:val="0"/>
              <w:kinsoku/>
              <w:wordWrap/>
              <w:overflowPunct/>
              <w:topLinePunct w:val="0"/>
              <w:bidi w:val="0"/>
              <w:snapToGrid/>
              <w:spacing w:afterLines="0"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1.具有本项目实施能力，具有良好信誉的法人或授权分支机构；</w:t>
            </w:r>
          </w:p>
          <w:p w14:paraId="552D8581">
            <w:pPr>
              <w:pStyle w:val="123"/>
              <w:keepNext w:val="0"/>
              <w:keepLines w:val="0"/>
              <w:pageBreakBefore w:val="0"/>
              <w:widowControl w:val="0"/>
              <w:kinsoku/>
              <w:wordWrap/>
              <w:overflowPunct/>
              <w:topLinePunct w:val="0"/>
              <w:bidi w:val="0"/>
              <w:snapToGrid/>
              <w:spacing w:afterLines="0"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2.具有财产保险业务范围的经营保险业务许可证； </w:t>
            </w:r>
          </w:p>
          <w:p w14:paraId="092E786B">
            <w:pPr>
              <w:pStyle w:val="123"/>
              <w:keepNext w:val="0"/>
              <w:keepLines w:val="0"/>
              <w:pageBreakBefore w:val="0"/>
              <w:widowControl w:val="0"/>
              <w:kinsoku/>
              <w:wordWrap/>
              <w:overflowPunct/>
              <w:topLinePunct w:val="0"/>
              <w:bidi w:val="0"/>
              <w:snapToGrid/>
              <w:spacing w:afterLines="0"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3.未被“信用中国”（www.creditchina.gov.cn）、中国政府采购网（www.ccgp.gov.cn）列入失信被执行人、重大税收违法案件当事人名单、政府采购严重违法失信行为记录名单；</w:t>
            </w:r>
          </w:p>
          <w:p w14:paraId="24521205">
            <w:pPr>
              <w:pStyle w:val="123"/>
              <w:keepNext w:val="0"/>
              <w:keepLines w:val="0"/>
              <w:pageBreakBefore w:val="0"/>
              <w:widowControl w:val="0"/>
              <w:kinsoku/>
              <w:wordWrap/>
              <w:overflowPunct/>
              <w:topLinePunct w:val="0"/>
              <w:bidi w:val="0"/>
              <w:snapToGrid/>
              <w:spacing w:afterLines="0"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4.多家具有投标资格的关联企业只接受其中一家参加投标活动； </w:t>
            </w:r>
          </w:p>
          <w:p w14:paraId="21463CB4">
            <w:pPr>
              <w:numPr>
                <w:ilvl w:val="0"/>
                <w:numId w:val="0"/>
              </w:numPr>
              <w:snapToGrid w:val="0"/>
              <w:spacing w:line="400" w:lineRule="exact"/>
              <w:ind w:leftChars="0"/>
              <w:jc w:val="left"/>
              <w:rPr>
                <w:rFonts w:hint="eastAsia" w:ascii="宋体" w:hAnsi="宋体" w:eastAsia="宋体" w:cs="宋体"/>
                <w:color w:val="0C0C0C"/>
                <w:w w:val="100"/>
                <w:sz w:val="24"/>
                <w:szCs w:val="24"/>
                <w:lang w:val="en-US" w:eastAsia="zh-CN"/>
              </w:rPr>
            </w:pPr>
            <w:r>
              <w:rPr>
                <w:rFonts w:hint="eastAsia" w:ascii="宋体" w:hAnsi="宋体" w:eastAsia="宋体" w:cs="宋体"/>
                <w:color w:val="auto"/>
                <w:sz w:val="24"/>
                <w:szCs w:val="24"/>
              </w:rPr>
              <w:t>5.本项目不接受联合体投标。</w:t>
            </w:r>
          </w:p>
        </w:tc>
      </w:tr>
      <w:tr w14:paraId="1413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14:paraId="1FB52672">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6</w:t>
            </w:r>
          </w:p>
        </w:tc>
        <w:tc>
          <w:tcPr>
            <w:tcW w:w="1422" w:type="dxa"/>
            <w:noWrap w:val="0"/>
            <w:vAlign w:val="center"/>
          </w:tcPr>
          <w:p w14:paraId="18C02210">
            <w:pPr>
              <w:pStyle w:val="25"/>
              <w:spacing w:line="400" w:lineRule="exact"/>
              <w:ind w:left="-107" w:leftChars="-51" w:right="-111" w:rightChars="-53"/>
              <w:jc w:val="center"/>
              <w:rPr>
                <w:rFonts w:hint="eastAsia" w:ascii="宋体" w:hAnsi="宋体" w:eastAsia="宋体" w:cs="宋体"/>
                <w:w w:val="100"/>
                <w:szCs w:val="24"/>
                <w:highlight w:val="none"/>
              </w:rPr>
            </w:pPr>
            <w:r>
              <w:rPr>
                <w:rFonts w:hint="eastAsia" w:ascii="宋体" w:hAnsi="宋体" w:eastAsia="宋体" w:cs="宋体"/>
                <w:w w:val="100"/>
                <w:szCs w:val="24"/>
                <w:highlight w:val="none"/>
              </w:rPr>
              <w:t>是否接受联合体</w:t>
            </w:r>
          </w:p>
        </w:tc>
        <w:tc>
          <w:tcPr>
            <w:tcW w:w="7800" w:type="dxa"/>
            <w:noWrap w:val="0"/>
            <w:vAlign w:val="center"/>
          </w:tcPr>
          <w:p w14:paraId="04735864">
            <w:pPr>
              <w:pStyle w:val="25"/>
              <w:spacing w:line="400" w:lineRule="exact"/>
              <w:rPr>
                <w:rFonts w:hint="eastAsia" w:ascii="宋体" w:hAnsi="宋体" w:eastAsia="宋体" w:cs="宋体"/>
                <w:w w:val="100"/>
                <w:szCs w:val="24"/>
                <w:highlight w:val="none"/>
              </w:rPr>
            </w:pPr>
            <w:r>
              <w:rPr>
                <w:rFonts w:hint="eastAsia" w:ascii="宋体" w:hAnsi="宋体" w:eastAsia="宋体" w:cs="宋体"/>
                <w:color w:val="auto"/>
                <w:szCs w:val="24"/>
              </w:rPr>
              <w:t>本项目</w:t>
            </w:r>
            <w:r>
              <w:rPr>
                <w:rFonts w:hint="eastAsia" w:ascii="宋体" w:hAnsi="宋体" w:eastAsia="宋体" w:cs="宋体"/>
                <w:color w:val="auto"/>
                <w:szCs w:val="24"/>
                <w:lang w:eastAsia="zh-CN"/>
              </w:rPr>
              <w:t>不接受</w:t>
            </w:r>
            <w:r>
              <w:rPr>
                <w:rFonts w:hint="eastAsia" w:ascii="宋体" w:hAnsi="宋体" w:eastAsia="宋体" w:cs="宋体"/>
                <w:color w:val="auto"/>
                <w:szCs w:val="24"/>
              </w:rPr>
              <w:t>联合体投标</w:t>
            </w:r>
          </w:p>
        </w:tc>
      </w:tr>
      <w:tr w14:paraId="6AF7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7" w:type="dxa"/>
            <w:noWrap w:val="0"/>
            <w:vAlign w:val="center"/>
          </w:tcPr>
          <w:p w14:paraId="10C1F52A">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7</w:t>
            </w:r>
          </w:p>
        </w:tc>
        <w:tc>
          <w:tcPr>
            <w:tcW w:w="1422" w:type="dxa"/>
            <w:noWrap w:val="0"/>
            <w:vAlign w:val="center"/>
          </w:tcPr>
          <w:p w14:paraId="707B0C05">
            <w:pPr>
              <w:pStyle w:val="25"/>
              <w:spacing w:line="400" w:lineRule="exact"/>
              <w:ind w:left="-107" w:leftChars="-51" w:right="-111" w:rightChars="-53"/>
              <w:jc w:val="center"/>
              <w:rPr>
                <w:rFonts w:hint="eastAsia" w:ascii="宋体" w:hAnsi="宋体" w:eastAsia="宋体" w:cs="宋体"/>
                <w:w w:val="100"/>
                <w:szCs w:val="24"/>
                <w:highlight w:val="none"/>
              </w:rPr>
            </w:pPr>
            <w:r>
              <w:rPr>
                <w:rFonts w:hint="eastAsia" w:ascii="宋体" w:hAnsi="宋体" w:eastAsia="宋体" w:cs="宋体"/>
                <w:w w:val="100"/>
                <w:szCs w:val="24"/>
                <w:highlight w:val="none"/>
              </w:rPr>
              <w:t>标的划分</w:t>
            </w:r>
          </w:p>
        </w:tc>
        <w:tc>
          <w:tcPr>
            <w:tcW w:w="7800" w:type="dxa"/>
            <w:noWrap w:val="0"/>
            <w:vAlign w:val="center"/>
          </w:tcPr>
          <w:p w14:paraId="597B4845">
            <w:pPr>
              <w:snapToGrid w:val="0"/>
              <w:spacing w:line="400" w:lineRule="exact"/>
              <w:rPr>
                <w:rFonts w:hint="eastAsia" w:ascii="宋体" w:hAnsi="宋体" w:eastAsia="宋体" w:cs="宋体"/>
                <w:w w:val="100"/>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4"/>
                <w:sz w:val="36"/>
                <w:szCs w:val="24"/>
                <w:highlight w:val="none"/>
                <w:lang w:eastAsia="zh-CN"/>
              </w:rPr>
              <w:instrText xml:space="preserve">,</w:instrText>
            </w:r>
            <w:r>
              <w:rPr>
                <w:rFonts w:hint="eastAsia" w:ascii="宋体" w:hAnsi="宋体" w:eastAsia="宋体" w:cs="宋体"/>
                <w:position w:val="0"/>
                <w:sz w:val="25"/>
                <w:szCs w:val="24"/>
                <w:highlight w:val="none"/>
                <w:lang w:eastAsia="zh-CN"/>
              </w:rPr>
              <w:instrText xml:space="preserve">√</w:instrText>
            </w:r>
            <w:r>
              <w:rPr>
                <w:rFonts w:hint="eastAsia" w:ascii="宋体" w:hAnsi="宋体" w:eastAsia="宋体" w:cs="宋体"/>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本次招标共分1个标的，招标人将整体择定中标人。</w:t>
            </w:r>
          </w:p>
        </w:tc>
      </w:tr>
      <w:tr w14:paraId="03B6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67" w:type="dxa"/>
            <w:noWrap w:val="0"/>
            <w:vAlign w:val="center"/>
          </w:tcPr>
          <w:p w14:paraId="01D235B8">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8</w:t>
            </w:r>
          </w:p>
        </w:tc>
        <w:tc>
          <w:tcPr>
            <w:tcW w:w="1422" w:type="dxa"/>
            <w:noWrap w:val="0"/>
            <w:vAlign w:val="center"/>
          </w:tcPr>
          <w:p w14:paraId="7762BB29">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资格审查</w:t>
            </w:r>
          </w:p>
        </w:tc>
        <w:tc>
          <w:tcPr>
            <w:tcW w:w="7800" w:type="dxa"/>
            <w:noWrap w:val="0"/>
            <w:vAlign w:val="center"/>
          </w:tcPr>
          <w:p w14:paraId="34324DE6">
            <w:pPr>
              <w:pStyle w:val="25"/>
              <w:spacing w:line="400" w:lineRule="exact"/>
              <w:rPr>
                <w:rFonts w:hint="eastAsia" w:ascii="宋体" w:hAnsi="宋体" w:eastAsia="宋体" w:cs="宋体"/>
                <w:w w:val="100"/>
                <w:szCs w:val="24"/>
              </w:rPr>
            </w:pPr>
            <w:r>
              <w:rPr>
                <w:rFonts w:hint="eastAsia" w:ascii="宋体" w:hAnsi="宋体" w:eastAsia="宋体" w:cs="宋体"/>
                <w:w w:val="100"/>
                <w:szCs w:val="24"/>
              </w:rPr>
              <w:t>资格后审</w:t>
            </w:r>
          </w:p>
        </w:tc>
      </w:tr>
      <w:tr w14:paraId="56C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567" w:type="dxa"/>
            <w:noWrap w:val="0"/>
            <w:vAlign w:val="center"/>
          </w:tcPr>
          <w:p w14:paraId="56FA0E59">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9</w:t>
            </w:r>
          </w:p>
        </w:tc>
        <w:tc>
          <w:tcPr>
            <w:tcW w:w="1422" w:type="dxa"/>
            <w:noWrap w:val="0"/>
            <w:vAlign w:val="center"/>
          </w:tcPr>
          <w:p w14:paraId="51DAEF6C">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招标文件获取</w:t>
            </w:r>
          </w:p>
        </w:tc>
        <w:tc>
          <w:tcPr>
            <w:tcW w:w="7800" w:type="dxa"/>
            <w:noWrap w:val="0"/>
            <w:vAlign w:val="center"/>
          </w:tcPr>
          <w:p w14:paraId="462424FC">
            <w:pPr>
              <w:keepNext w:val="0"/>
              <w:keepLines w:val="0"/>
              <w:pageBreakBefore w:val="0"/>
              <w:widowControl/>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w w:val="100"/>
                <w:szCs w:val="24"/>
              </w:rPr>
            </w:pPr>
            <w:r>
              <w:rPr>
                <w:rFonts w:hint="eastAsia" w:ascii="宋体" w:hAnsi="宋体" w:eastAsia="宋体" w:cs="宋体"/>
                <w:sz w:val="24"/>
                <w:szCs w:val="24"/>
                <w:lang w:val="en-US" w:eastAsia="zh-CN"/>
              </w:rPr>
              <w:t>详见招标公告。</w:t>
            </w:r>
          </w:p>
        </w:tc>
      </w:tr>
      <w:tr w14:paraId="411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noWrap w:val="0"/>
            <w:vAlign w:val="center"/>
          </w:tcPr>
          <w:p w14:paraId="4DC83A45">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10</w:t>
            </w:r>
          </w:p>
        </w:tc>
        <w:tc>
          <w:tcPr>
            <w:tcW w:w="1422" w:type="dxa"/>
            <w:noWrap w:val="0"/>
            <w:vAlign w:val="center"/>
          </w:tcPr>
          <w:p w14:paraId="25DB8587">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投标时应提供资料</w:t>
            </w:r>
          </w:p>
        </w:tc>
        <w:tc>
          <w:tcPr>
            <w:tcW w:w="7800" w:type="dxa"/>
            <w:noWrap w:val="0"/>
            <w:vAlign w:val="center"/>
          </w:tcPr>
          <w:p w14:paraId="1CC55098">
            <w:pPr>
              <w:autoSpaceDE/>
              <w:adjustRightInd/>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本项目</w:t>
            </w:r>
            <w:r>
              <w:rPr>
                <w:rFonts w:hint="eastAsia" w:ascii="宋体" w:hAnsi="宋体" w:eastAsia="宋体" w:cs="宋体"/>
                <w:w w:val="100"/>
                <w:sz w:val="24"/>
                <w:szCs w:val="24"/>
                <w:lang w:eastAsia="zh-CN"/>
              </w:rPr>
              <w:t>无需</w:t>
            </w:r>
            <w:r>
              <w:rPr>
                <w:rFonts w:hint="eastAsia" w:ascii="宋体" w:hAnsi="宋体" w:eastAsia="宋体" w:cs="宋体"/>
                <w:w w:val="100"/>
                <w:sz w:val="24"/>
                <w:szCs w:val="24"/>
              </w:rPr>
              <w:t>提供原件资料。相关资料均以复印件形式在投标文件中体现。</w:t>
            </w:r>
          </w:p>
          <w:p w14:paraId="7863A89B">
            <w:pPr>
              <w:autoSpaceDE/>
              <w:adjustRightInd/>
              <w:spacing w:line="400" w:lineRule="exact"/>
              <w:rPr>
                <w:rFonts w:hint="eastAsia" w:ascii="宋体" w:hAnsi="宋体" w:eastAsia="宋体" w:cs="宋体"/>
                <w:lang w:val="en-US" w:eastAsia="zh-CN"/>
              </w:rPr>
            </w:pPr>
            <w:r>
              <w:rPr>
                <w:rFonts w:hint="eastAsia" w:ascii="宋体" w:hAnsi="宋体" w:eastAsia="宋体" w:cs="宋体"/>
                <w:w w:val="100"/>
                <w:sz w:val="24"/>
                <w:szCs w:val="24"/>
              </w:rPr>
              <w:t>供应商必须保证复印件内容清晰可辨，否则评标委员会可以视为投标人未提供相关资料。</w:t>
            </w:r>
          </w:p>
        </w:tc>
      </w:tr>
      <w:tr w14:paraId="58A5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67" w:type="dxa"/>
            <w:noWrap w:val="0"/>
            <w:vAlign w:val="center"/>
          </w:tcPr>
          <w:p w14:paraId="07F55971">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11</w:t>
            </w:r>
          </w:p>
        </w:tc>
        <w:tc>
          <w:tcPr>
            <w:tcW w:w="1422" w:type="dxa"/>
            <w:noWrap w:val="0"/>
            <w:vAlign w:val="center"/>
          </w:tcPr>
          <w:p w14:paraId="5931A1C0">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投标保证金</w:t>
            </w:r>
          </w:p>
        </w:tc>
        <w:tc>
          <w:tcPr>
            <w:tcW w:w="7800" w:type="dxa"/>
            <w:noWrap w:val="0"/>
            <w:vAlign w:val="center"/>
          </w:tcPr>
          <w:p w14:paraId="6B68B56F">
            <w:pPr>
              <w:autoSpaceDE/>
              <w:adjustRightInd/>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本项目免收投标保证金</w:t>
            </w:r>
          </w:p>
        </w:tc>
      </w:tr>
      <w:tr w14:paraId="5627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67" w:type="dxa"/>
            <w:noWrap w:val="0"/>
            <w:vAlign w:val="center"/>
          </w:tcPr>
          <w:p w14:paraId="0108D74B">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12</w:t>
            </w:r>
          </w:p>
        </w:tc>
        <w:tc>
          <w:tcPr>
            <w:tcW w:w="1422" w:type="dxa"/>
            <w:noWrap w:val="0"/>
            <w:vAlign w:val="center"/>
          </w:tcPr>
          <w:p w14:paraId="6E14B75F">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技术文件</w:t>
            </w:r>
          </w:p>
        </w:tc>
        <w:tc>
          <w:tcPr>
            <w:tcW w:w="7800" w:type="dxa"/>
            <w:noWrap w:val="0"/>
            <w:vAlign w:val="center"/>
          </w:tcPr>
          <w:p w14:paraId="206C4F86">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eastAsia="宋体" w:cs="宋体"/>
                <w:w w:val="100"/>
                <w:sz w:val="24"/>
                <w:szCs w:val="24"/>
              </w:rPr>
              <w:t>法定代表人授权委托书（除法定代表人亲自参加外，</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lang w:eastAsia="zh-CN"/>
              </w:rPr>
              <w:t>）</w:t>
            </w:r>
            <w:r>
              <w:rPr>
                <w:rFonts w:hint="eastAsia" w:ascii="宋体" w:hAnsi="宋体" w:eastAsia="宋体" w:cs="宋体"/>
                <w:w w:val="100"/>
                <w:sz w:val="24"/>
                <w:szCs w:val="24"/>
              </w:rPr>
              <w:t>；</w:t>
            </w:r>
          </w:p>
          <w:p w14:paraId="7B13613B">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2、</w:t>
            </w:r>
            <w:r>
              <w:rPr>
                <w:rFonts w:hint="eastAsia" w:ascii="宋体" w:hAnsi="宋体" w:eastAsia="宋体" w:cs="宋体"/>
                <w:w w:val="100"/>
                <w:sz w:val="24"/>
                <w:szCs w:val="24"/>
              </w:rPr>
              <w:t>企业法人营业执照</w:t>
            </w:r>
            <w:r>
              <w:rPr>
                <w:rFonts w:hint="eastAsia" w:ascii="宋体" w:hAnsi="宋体" w:eastAsia="宋体" w:cs="宋体"/>
                <w:w w:val="100"/>
                <w:sz w:val="24"/>
                <w:szCs w:val="24"/>
                <w:lang w:eastAsia="zh-CN"/>
              </w:rPr>
              <w:t>或电子营业执照</w:t>
            </w:r>
            <w:r>
              <w:rPr>
                <w:rFonts w:hint="eastAsia" w:ascii="宋体" w:hAnsi="宋体" w:eastAsia="宋体" w:cs="宋体"/>
                <w:w w:val="100"/>
                <w:sz w:val="24"/>
                <w:szCs w:val="24"/>
              </w:rPr>
              <w:t>复印件（加盖单位公章）；</w:t>
            </w:r>
          </w:p>
          <w:p w14:paraId="7A858630">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3、</w:t>
            </w:r>
            <w:r>
              <w:rPr>
                <w:rFonts w:hint="eastAsia" w:ascii="宋体" w:hAnsi="宋体" w:eastAsia="宋体" w:cs="宋体"/>
                <w:color w:val="auto"/>
                <w:sz w:val="24"/>
                <w:szCs w:val="24"/>
                <w:highlight w:val="none"/>
              </w:rPr>
              <w:t>供应商情况登记表（格式见第六章）</w:t>
            </w:r>
            <w:r>
              <w:rPr>
                <w:rFonts w:hint="eastAsia" w:ascii="宋体" w:hAnsi="宋体" w:eastAsia="宋体" w:cs="宋体"/>
                <w:w w:val="100"/>
                <w:sz w:val="24"/>
                <w:szCs w:val="24"/>
              </w:rPr>
              <w:t>；</w:t>
            </w:r>
          </w:p>
          <w:p w14:paraId="7F5D7841">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符合参加项目采购活动应当具备的一般条件的承诺函（格式见第六章）</w:t>
            </w:r>
            <w:r>
              <w:rPr>
                <w:rFonts w:hint="eastAsia" w:ascii="宋体" w:hAnsi="宋体" w:eastAsia="宋体" w:cs="宋体"/>
                <w:color w:val="auto"/>
                <w:sz w:val="24"/>
                <w:szCs w:val="24"/>
                <w:highlight w:val="none"/>
                <w:lang w:val="en-US" w:eastAsia="zh-CN"/>
              </w:rPr>
              <w:t>；</w:t>
            </w:r>
          </w:p>
          <w:p w14:paraId="6F91CF63">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投标人的</w:t>
            </w:r>
            <w:r>
              <w:rPr>
                <w:rFonts w:hint="eastAsia" w:ascii="宋体" w:hAnsi="宋体" w:eastAsia="宋体" w:cs="Times New Roman"/>
                <w:color w:val="auto"/>
                <w:sz w:val="24"/>
                <w:szCs w:val="24"/>
                <w:u w:val="none"/>
              </w:rPr>
              <w:t>特定</w:t>
            </w:r>
            <w:r>
              <w:rPr>
                <w:rFonts w:hint="eastAsia" w:ascii="宋体" w:hAnsi="宋体" w:eastAsia="宋体" w:cs="Times New Roman"/>
                <w:color w:val="auto"/>
                <w:sz w:val="24"/>
                <w:szCs w:val="24"/>
                <w:u w:val="none"/>
                <w:lang w:val="en-US" w:eastAsia="zh-CN"/>
              </w:rPr>
              <w:t>资格要求证明</w:t>
            </w:r>
            <w:r>
              <w:rPr>
                <w:rFonts w:hint="eastAsia" w:ascii="宋体" w:hAnsi="宋体" w:eastAsia="宋体" w:cs="Times New Roman"/>
                <w:color w:val="auto"/>
                <w:sz w:val="24"/>
                <w:szCs w:val="24"/>
                <w:lang w:val="en-US" w:eastAsia="zh-CN"/>
              </w:rPr>
              <w:t>资料；</w:t>
            </w:r>
          </w:p>
          <w:p w14:paraId="0242397D">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lang w:val="en-US" w:eastAsia="zh-CN"/>
              </w:rPr>
              <w:t>6、</w:t>
            </w:r>
            <w:r>
              <w:rPr>
                <w:rFonts w:hint="eastAsia" w:ascii="宋体" w:hAnsi="宋体" w:eastAsia="宋体" w:cs="宋体"/>
                <w:color w:val="auto"/>
                <w:sz w:val="24"/>
                <w:szCs w:val="24"/>
                <w:highlight w:val="none"/>
              </w:rPr>
              <w:t>技术偏离表（格式见第六章）；</w:t>
            </w:r>
          </w:p>
          <w:p w14:paraId="1DC17C0C">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w w:val="100"/>
                <w:sz w:val="24"/>
                <w:szCs w:val="24"/>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相关</w:t>
            </w:r>
            <w:r>
              <w:rPr>
                <w:rFonts w:hint="eastAsia" w:ascii="宋体" w:hAnsi="宋体" w:eastAsia="宋体" w:cs="宋体"/>
                <w:w w:val="100"/>
                <w:sz w:val="24"/>
                <w:szCs w:val="24"/>
              </w:rPr>
              <w:t>资质、评审证明或文件复印件（如有，加盖单位公章）；</w:t>
            </w:r>
          </w:p>
          <w:p w14:paraId="34C14273">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8</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成功案例和业绩证明（如有）；</w:t>
            </w:r>
          </w:p>
          <w:p w14:paraId="76078B8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9</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对本项目系统总体要求的理解，包括：功能说明、性能指标及设备选型说明（如需要）；</w:t>
            </w:r>
          </w:p>
          <w:p w14:paraId="22C36EE9">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10</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投标设备详细配置清单和技术偏离表（如需要）；</w:t>
            </w:r>
          </w:p>
          <w:p w14:paraId="5A4C5FEC">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11</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招标文件标明的影响投标人资格的其他证明文件（如主要设备材料的原厂商对本项目的售后服务承诺，本地化服务能力证明）；</w:t>
            </w:r>
          </w:p>
          <w:p w14:paraId="6E1E23B2">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12</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保证项目质量的技术力量及技术措施（如需要）；</w:t>
            </w:r>
          </w:p>
          <w:p w14:paraId="14DA68BE">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3、</w:t>
            </w:r>
            <w:r>
              <w:rPr>
                <w:rFonts w:hint="eastAsia" w:ascii="宋体" w:hAnsi="宋体" w:eastAsia="宋体" w:cs="宋体"/>
                <w:w w:val="100"/>
                <w:sz w:val="24"/>
                <w:szCs w:val="24"/>
              </w:rPr>
              <w:t>投标人建议的安装、调试、验收方法或方案（如需要）；</w:t>
            </w:r>
          </w:p>
          <w:p w14:paraId="4DB39C9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4</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技术服务、技术培训、售后服务的内容和措施（如需要）；</w:t>
            </w:r>
          </w:p>
          <w:p w14:paraId="6354A469">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5</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投标人需要说明的其他文件和说明。</w:t>
            </w:r>
          </w:p>
          <w:p w14:paraId="6B315F9F">
            <w:pPr>
              <w:numPr>
                <w:ilvl w:val="0"/>
                <w:numId w:val="0"/>
              </w:numPr>
              <w:snapToGrid w:val="0"/>
              <w:spacing w:line="400" w:lineRule="exact"/>
              <w:ind w:leftChars="0"/>
              <w:jc w:val="left"/>
              <w:rPr>
                <w:rFonts w:hint="eastAsia" w:ascii="宋体" w:hAnsi="宋体" w:eastAsia="宋体" w:cs="宋体"/>
                <w:b/>
                <w:w w:val="100"/>
                <w:szCs w:val="24"/>
              </w:rPr>
            </w:pPr>
            <w:r>
              <w:rPr>
                <w:rFonts w:hint="eastAsia" w:ascii="宋体" w:hAnsi="宋体" w:eastAsia="宋体" w:cs="宋体"/>
                <w:b/>
                <w:bCs/>
                <w:w w:val="100"/>
                <w:sz w:val="24"/>
                <w:szCs w:val="24"/>
              </w:rPr>
              <w:t>投标人在“技术文件资料”中应对招标文件作实质性响应，该项内容将作为评标重要指标。</w:t>
            </w:r>
          </w:p>
        </w:tc>
      </w:tr>
      <w:tr w14:paraId="0185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2DAB0F81">
            <w:pPr>
              <w:pStyle w:val="25"/>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13</w:t>
            </w:r>
          </w:p>
        </w:tc>
        <w:tc>
          <w:tcPr>
            <w:tcW w:w="1422" w:type="dxa"/>
            <w:noWrap w:val="0"/>
            <w:vAlign w:val="center"/>
          </w:tcPr>
          <w:p w14:paraId="3EC20540">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商务文件</w:t>
            </w:r>
          </w:p>
        </w:tc>
        <w:tc>
          <w:tcPr>
            <w:tcW w:w="7800" w:type="dxa"/>
            <w:noWrap w:val="0"/>
            <w:vAlign w:val="center"/>
          </w:tcPr>
          <w:p w14:paraId="6139A4E2">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eastAsia="宋体" w:cs="宋体"/>
                <w:w w:val="100"/>
                <w:sz w:val="24"/>
                <w:szCs w:val="24"/>
              </w:rPr>
              <w:t>投标函（</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 xml:space="preserve">）； </w:t>
            </w:r>
          </w:p>
          <w:p w14:paraId="619D97D5">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2、</w:t>
            </w:r>
            <w:r>
              <w:rPr>
                <w:rFonts w:hint="eastAsia" w:ascii="宋体" w:hAnsi="宋体" w:eastAsia="宋体" w:cs="宋体"/>
                <w:w w:val="100"/>
                <w:sz w:val="24"/>
                <w:szCs w:val="24"/>
              </w:rPr>
              <w:t>开标一览表（</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p>
          <w:p w14:paraId="19851CB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3、</w:t>
            </w:r>
            <w:r>
              <w:rPr>
                <w:rFonts w:hint="eastAsia" w:ascii="宋体" w:hAnsi="宋体" w:eastAsia="宋体" w:cs="宋体"/>
                <w:w w:val="100"/>
                <w:sz w:val="24"/>
                <w:szCs w:val="24"/>
              </w:rPr>
              <w:t>投标承诺书（</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p>
          <w:p w14:paraId="2DB40264">
            <w:pPr>
              <w:numPr>
                <w:ilvl w:val="0"/>
                <w:numId w:val="0"/>
              </w:numPr>
              <w:snapToGrid w:val="0"/>
              <w:spacing w:line="400" w:lineRule="exact"/>
              <w:ind w:leftChars="0"/>
              <w:jc w:val="left"/>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4、</w:t>
            </w:r>
            <w:r>
              <w:rPr>
                <w:rFonts w:hint="eastAsia" w:ascii="宋体" w:hAnsi="宋体" w:eastAsia="宋体" w:cs="宋体"/>
                <w:sz w:val="24"/>
                <w:szCs w:val="24"/>
                <w:lang w:val="zh-CN" w:eastAsia="zh-CN"/>
              </w:rPr>
              <w:t>供应商廉洁自律承诺书</w:t>
            </w:r>
            <w:r>
              <w:rPr>
                <w:rFonts w:hint="eastAsia" w:ascii="宋体" w:hAnsi="宋体" w:eastAsia="宋体" w:cs="宋体"/>
                <w:w w:val="100"/>
                <w:sz w:val="24"/>
                <w:szCs w:val="24"/>
              </w:rPr>
              <w:t>（</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r>
              <w:rPr>
                <w:rFonts w:hint="eastAsia" w:ascii="宋体" w:hAnsi="宋体" w:eastAsia="宋体" w:cs="宋体"/>
                <w:w w:val="100"/>
                <w:sz w:val="24"/>
                <w:szCs w:val="24"/>
                <w:lang w:val="en-US" w:eastAsia="zh-CN"/>
              </w:rPr>
              <w:t>；</w:t>
            </w:r>
          </w:p>
          <w:p w14:paraId="12D1E245">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5、</w:t>
            </w:r>
            <w:r>
              <w:rPr>
                <w:rFonts w:hint="eastAsia" w:ascii="宋体" w:hAnsi="宋体" w:eastAsia="宋体" w:cs="宋体"/>
                <w:w w:val="100"/>
                <w:sz w:val="24"/>
                <w:szCs w:val="24"/>
              </w:rPr>
              <w:t>投标人需要说明的其他文件和说明（格式自拟）。</w:t>
            </w:r>
          </w:p>
          <w:p w14:paraId="52A71781">
            <w:pPr>
              <w:numPr>
                <w:ilvl w:val="0"/>
                <w:numId w:val="0"/>
              </w:numPr>
              <w:snapToGrid w:val="0"/>
              <w:spacing w:line="400" w:lineRule="exact"/>
              <w:ind w:leftChars="0"/>
              <w:jc w:val="left"/>
              <w:rPr>
                <w:rFonts w:hint="eastAsia" w:ascii="宋体" w:hAnsi="宋体" w:eastAsia="宋体" w:cs="宋体"/>
                <w:b/>
                <w:w w:val="100"/>
                <w:sz w:val="24"/>
                <w:szCs w:val="24"/>
              </w:rPr>
            </w:pPr>
            <w:r>
              <w:rPr>
                <w:rFonts w:hint="eastAsia" w:ascii="宋体" w:hAnsi="宋体" w:eastAsia="宋体" w:cs="宋体"/>
                <w:w w:val="100"/>
                <w:sz w:val="24"/>
                <w:szCs w:val="24"/>
              </w:rPr>
              <w:t>注：投标函、开标一览表必须由法定代表人或委托代理人签名（或盖章）。</w:t>
            </w:r>
          </w:p>
        </w:tc>
      </w:tr>
      <w:tr w14:paraId="7EA0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710B9CF0">
            <w:pPr>
              <w:pStyle w:val="25"/>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4</w:t>
            </w:r>
          </w:p>
        </w:tc>
        <w:tc>
          <w:tcPr>
            <w:tcW w:w="1422" w:type="dxa"/>
            <w:noWrap w:val="0"/>
            <w:vAlign w:val="center"/>
          </w:tcPr>
          <w:p w14:paraId="00F014C3">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现场演示</w:t>
            </w:r>
          </w:p>
        </w:tc>
        <w:tc>
          <w:tcPr>
            <w:tcW w:w="7800" w:type="dxa"/>
            <w:noWrap w:val="0"/>
            <w:vAlign w:val="center"/>
          </w:tcPr>
          <w:p w14:paraId="7E92B033">
            <w:pPr>
              <w:tabs>
                <w:tab w:val="left" w:pos="3870"/>
                <w:tab w:val="left" w:pos="4085"/>
              </w:tabs>
              <w:snapToGrid w:val="0"/>
              <w:jc w:val="left"/>
              <w:rPr>
                <w:rFonts w:hint="eastAsia" w:ascii="宋体" w:hAnsi="宋体" w:eastAsia="宋体" w:cs="宋体"/>
                <w:w w:val="100"/>
                <w:sz w:val="24"/>
                <w:szCs w:val="24"/>
              </w:rPr>
            </w:pPr>
            <w:r>
              <w:rPr>
                <w:rFonts w:hint="eastAsia" w:ascii="宋体" w:hAnsi="宋体"/>
                <w:sz w:val="24"/>
                <w:szCs w:val="24"/>
              </w:rPr>
              <w:t>不需要</w:t>
            </w:r>
          </w:p>
        </w:tc>
      </w:tr>
      <w:tr w14:paraId="15C7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63B9E1D7">
            <w:pPr>
              <w:pStyle w:val="25"/>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5</w:t>
            </w:r>
          </w:p>
        </w:tc>
        <w:tc>
          <w:tcPr>
            <w:tcW w:w="1422" w:type="dxa"/>
            <w:noWrap w:val="0"/>
            <w:vAlign w:val="center"/>
          </w:tcPr>
          <w:p w14:paraId="3F6C5BAF">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投标样品</w:t>
            </w:r>
          </w:p>
        </w:tc>
        <w:tc>
          <w:tcPr>
            <w:tcW w:w="7800" w:type="dxa"/>
            <w:noWrap w:val="0"/>
            <w:vAlign w:val="center"/>
          </w:tcPr>
          <w:p w14:paraId="03C2EB10">
            <w:pPr>
              <w:rPr>
                <w:rFonts w:hint="eastAsia" w:ascii="宋体" w:hAnsi="宋体" w:eastAsia="宋体" w:cs="宋体"/>
                <w:w w:val="100"/>
                <w:sz w:val="24"/>
                <w:szCs w:val="24"/>
              </w:rPr>
            </w:pPr>
            <w:r>
              <w:rPr>
                <w:rFonts w:hint="eastAsia" w:ascii="宋体" w:hAnsi="宋体"/>
                <w:sz w:val="24"/>
                <w:szCs w:val="24"/>
              </w:rPr>
              <w:t>不需要</w:t>
            </w:r>
          </w:p>
        </w:tc>
      </w:tr>
      <w:tr w14:paraId="7ADA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36DA0A4B">
            <w:pPr>
              <w:pStyle w:val="25"/>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6</w:t>
            </w:r>
          </w:p>
        </w:tc>
        <w:tc>
          <w:tcPr>
            <w:tcW w:w="1422" w:type="dxa"/>
            <w:noWrap w:val="0"/>
            <w:vAlign w:val="center"/>
          </w:tcPr>
          <w:p w14:paraId="11636634">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投标文件份数</w:t>
            </w:r>
          </w:p>
        </w:tc>
        <w:tc>
          <w:tcPr>
            <w:tcW w:w="7800" w:type="dxa"/>
            <w:noWrap w:val="0"/>
            <w:vAlign w:val="center"/>
          </w:tcPr>
          <w:p w14:paraId="2FF95DBA">
            <w:pPr>
              <w:pStyle w:val="25"/>
              <w:spacing w:line="400" w:lineRule="exact"/>
              <w:rPr>
                <w:rFonts w:hint="eastAsia" w:ascii="宋体" w:hAnsi="宋体" w:eastAsia="宋体" w:cs="宋体"/>
                <w:w w:val="100"/>
                <w:szCs w:val="24"/>
              </w:rPr>
            </w:pPr>
            <w:r>
              <w:rPr>
                <w:rFonts w:hint="eastAsia" w:ascii="宋体" w:hAnsi="宋体" w:eastAsia="宋体" w:cs="宋体"/>
                <w:w w:val="100"/>
                <w:szCs w:val="24"/>
              </w:rPr>
              <w:t>技术文件正本一份，副本</w:t>
            </w:r>
            <w:r>
              <w:rPr>
                <w:rFonts w:hint="eastAsia" w:ascii="宋体" w:hAnsi="宋体" w:eastAsia="宋体" w:cs="宋体"/>
                <w:w w:val="100"/>
                <w:szCs w:val="24"/>
                <w:lang w:val="en-US" w:eastAsia="zh-CN"/>
              </w:rPr>
              <w:t>四</w:t>
            </w:r>
            <w:r>
              <w:rPr>
                <w:rFonts w:hint="eastAsia" w:ascii="宋体" w:hAnsi="宋体" w:eastAsia="宋体" w:cs="宋体"/>
                <w:w w:val="100"/>
                <w:szCs w:val="24"/>
              </w:rPr>
              <w:t>份</w:t>
            </w:r>
          </w:p>
          <w:p w14:paraId="647944A9">
            <w:pPr>
              <w:pStyle w:val="25"/>
              <w:spacing w:line="400" w:lineRule="exact"/>
              <w:rPr>
                <w:rFonts w:hint="eastAsia" w:ascii="宋体" w:hAnsi="宋体" w:eastAsia="宋体" w:cs="宋体"/>
                <w:w w:val="100"/>
                <w:szCs w:val="24"/>
              </w:rPr>
            </w:pPr>
            <w:r>
              <w:rPr>
                <w:rFonts w:hint="eastAsia" w:ascii="宋体" w:hAnsi="宋体" w:eastAsia="宋体" w:cs="宋体"/>
                <w:w w:val="100"/>
                <w:szCs w:val="24"/>
              </w:rPr>
              <w:t>商务文件正本一份，副本</w:t>
            </w:r>
            <w:r>
              <w:rPr>
                <w:rFonts w:hint="eastAsia" w:ascii="宋体" w:hAnsi="宋体" w:eastAsia="宋体" w:cs="宋体"/>
                <w:w w:val="100"/>
                <w:szCs w:val="24"/>
                <w:lang w:val="en-US" w:eastAsia="zh-CN"/>
              </w:rPr>
              <w:t>四</w:t>
            </w:r>
            <w:r>
              <w:rPr>
                <w:rFonts w:hint="eastAsia" w:ascii="宋体" w:hAnsi="宋体" w:eastAsia="宋体" w:cs="宋体"/>
                <w:w w:val="100"/>
                <w:szCs w:val="24"/>
              </w:rPr>
              <w:t>份</w:t>
            </w:r>
          </w:p>
        </w:tc>
      </w:tr>
      <w:tr w14:paraId="61D8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67" w:type="dxa"/>
            <w:noWrap w:val="0"/>
            <w:vAlign w:val="center"/>
          </w:tcPr>
          <w:p w14:paraId="0D2FEC91">
            <w:pPr>
              <w:pStyle w:val="25"/>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7</w:t>
            </w:r>
          </w:p>
        </w:tc>
        <w:tc>
          <w:tcPr>
            <w:tcW w:w="1422" w:type="dxa"/>
            <w:noWrap w:val="0"/>
            <w:vAlign w:val="center"/>
          </w:tcPr>
          <w:p w14:paraId="58B80615">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投标有效期</w:t>
            </w:r>
          </w:p>
        </w:tc>
        <w:tc>
          <w:tcPr>
            <w:tcW w:w="7800" w:type="dxa"/>
            <w:noWrap w:val="0"/>
            <w:vAlign w:val="center"/>
          </w:tcPr>
          <w:p w14:paraId="70C4A791">
            <w:pPr>
              <w:pStyle w:val="25"/>
              <w:spacing w:line="400" w:lineRule="exact"/>
              <w:rPr>
                <w:rFonts w:hint="eastAsia" w:ascii="宋体" w:hAnsi="宋体" w:eastAsia="宋体" w:cs="宋体"/>
                <w:w w:val="100"/>
                <w:szCs w:val="24"/>
              </w:rPr>
            </w:pPr>
            <w:r>
              <w:rPr>
                <w:rFonts w:hint="eastAsia" w:ascii="宋体" w:hAnsi="宋体" w:eastAsia="宋体" w:cs="宋体"/>
                <w:w w:val="100"/>
                <w:szCs w:val="24"/>
              </w:rPr>
              <w:t>自投标截止日起90天。如采购代理机构认为必要，可延长投标有效期。</w:t>
            </w:r>
          </w:p>
        </w:tc>
      </w:tr>
      <w:tr w14:paraId="3EDF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14:paraId="513944A1">
            <w:pPr>
              <w:pStyle w:val="25"/>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8</w:t>
            </w:r>
          </w:p>
        </w:tc>
        <w:tc>
          <w:tcPr>
            <w:tcW w:w="1422" w:type="dxa"/>
            <w:noWrap w:val="0"/>
            <w:vAlign w:val="center"/>
          </w:tcPr>
          <w:p w14:paraId="5335667F">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签订合同时间</w:t>
            </w:r>
          </w:p>
        </w:tc>
        <w:tc>
          <w:tcPr>
            <w:tcW w:w="7800" w:type="dxa"/>
            <w:noWrap w:val="0"/>
            <w:vAlign w:val="center"/>
          </w:tcPr>
          <w:p w14:paraId="57C358F3">
            <w:pPr>
              <w:pStyle w:val="25"/>
              <w:spacing w:line="400" w:lineRule="exact"/>
              <w:rPr>
                <w:rFonts w:hint="eastAsia" w:ascii="宋体" w:hAnsi="宋体" w:eastAsia="宋体" w:cs="宋体"/>
                <w:w w:val="100"/>
                <w:szCs w:val="24"/>
              </w:rPr>
            </w:pPr>
            <w:r>
              <w:rPr>
                <w:rFonts w:hint="eastAsia" w:ascii="宋体" w:hAnsi="宋体" w:eastAsia="宋体" w:cs="宋体"/>
                <w:w w:val="100"/>
                <w:szCs w:val="24"/>
              </w:rPr>
              <w:t>中标通知书发出后30日内</w:t>
            </w:r>
          </w:p>
        </w:tc>
      </w:tr>
      <w:tr w14:paraId="71F1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14:paraId="467952D9">
            <w:pPr>
              <w:pStyle w:val="25"/>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9</w:t>
            </w:r>
          </w:p>
        </w:tc>
        <w:tc>
          <w:tcPr>
            <w:tcW w:w="1422" w:type="dxa"/>
            <w:noWrap w:val="0"/>
            <w:vAlign w:val="center"/>
          </w:tcPr>
          <w:p w14:paraId="45DA6D8B">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转包与分包</w:t>
            </w:r>
          </w:p>
        </w:tc>
        <w:tc>
          <w:tcPr>
            <w:tcW w:w="7800" w:type="dxa"/>
            <w:noWrap w:val="0"/>
            <w:vAlign w:val="center"/>
          </w:tcPr>
          <w:p w14:paraId="57D1C85E">
            <w:pPr>
              <w:pStyle w:val="25"/>
              <w:spacing w:line="400" w:lineRule="exact"/>
              <w:rPr>
                <w:rFonts w:hint="eastAsia" w:ascii="宋体" w:hAnsi="宋体" w:eastAsia="宋体" w:cs="宋体"/>
                <w:w w:val="100"/>
                <w:szCs w:val="24"/>
              </w:rPr>
            </w:pPr>
            <w:r>
              <w:rPr>
                <w:rFonts w:hint="eastAsia" w:ascii="宋体" w:hAnsi="宋体" w:eastAsia="宋体" w:cs="宋体"/>
                <w:w w:val="100"/>
                <w:szCs w:val="24"/>
              </w:rPr>
              <w:t>本项目不允许转包和违法分包。</w:t>
            </w:r>
          </w:p>
        </w:tc>
      </w:tr>
      <w:tr w14:paraId="7C7A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7" w:type="dxa"/>
            <w:noWrap w:val="0"/>
            <w:vAlign w:val="center"/>
          </w:tcPr>
          <w:p w14:paraId="4272C4F3">
            <w:pPr>
              <w:pStyle w:val="25"/>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lang w:val="en-US" w:eastAsia="zh-CN"/>
              </w:rPr>
              <w:t>20</w:t>
            </w:r>
          </w:p>
        </w:tc>
        <w:tc>
          <w:tcPr>
            <w:tcW w:w="1422" w:type="dxa"/>
            <w:noWrap w:val="0"/>
            <w:vAlign w:val="center"/>
          </w:tcPr>
          <w:p w14:paraId="1F54CDC0">
            <w:pPr>
              <w:pStyle w:val="25"/>
              <w:spacing w:line="400" w:lineRule="exact"/>
              <w:ind w:left="-107" w:leftChars="-51" w:right="-111" w:rightChars="-53"/>
              <w:jc w:val="center"/>
              <w:rPr>
                <w:rFonts w:hint="eastAsia" w:ascii="宋体" w:hAnsi="宋体" w:eastAsia="宋体" w:cs="宋体"/>
                <w:w w:val="100"/>
                <w:szCs w:val="24"/>
                <w:lang w:val="en-US" w:eastAsia="zh-CN"/>
              </w:rPr>
            </w:pPr>
            <w:r>
              <w:rPr>
                <w:rFonts w:hint="eastAsia" w:ascii="宋体" w:hAnsi="宋体" w:eastAsia="宋体" w:cs="宋体"/>
                <w:w w:val="100"/>
                <w:szCs w:val="24"/>
                <w:lang w:val="en-US" w:eastAsia="zh-CN"/>
              </w:rPr>
              <w:t>履约保证金</w:t>
            </w:r>
          </w:p>
        </w:tc>
        <w:tc>
          <w:tcPr>
            <w:tcW w:w="7800" w:type="dxa"/>
            <w:noWrap w:val="0"/>
            <w:vAlign w:val="center"/>
          </w:tcPr>
          <w:p w14:paraId="6397E09F">
            <w:pPr>
              <w:snapToGrid w:val="0"/>
              <w:spacing w:line="400" w:lineRule="exact"/>
              <w:rPr>
                <w:rFonts w:hint="eastAsia" w:ascii="宋体" w:hAnsi="宋体" w:eastAsia="宋体" w:cs="宋体"/>
                <w:w w:val="100"/>
                <w:sz w:val="24"/>
                <w:szCs w:val="24"/>
              </w:rPr>
            </w:pPr>
            <w:r>
              <w:rPr>
                <w:rFonts w:hint="eastAsia" w:ascii="宋体" w:hAnsi="宋体" w:eastAsia="宋体" w:cs="宋体"/>
                <w:color w:val="auto"/>
                <w:sz w:val="24"/>
                <w:szCs w:val="24"/>
              </w:rPr>
              <w:t>按招标文件相关要求执行</w:t>
            </w:r>
          </w:p>
        </w:tc>
      </w:tr>
      <w:tr w14:paraId="2161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7" w:type="dxa"/>
            <w:noWrap w:val="0"/>
            <w:vAlign w:val="center"/>
          </w:tcPr>
          <w:p w14:paraId="1E37048D">
            <w:pPr>
              <w:pStyle w:val="25"/>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lang w:val="en-US" w:eastAsia="zh-CN"/>
              </w:rPr>
              <w:t>21</w:t>
            </w:r>
          </w:p>
        </w:tc>
        <w:tc>
          <w:tcPr>
            <w:tcW w:w="1422" w:type="dxa"/>
            <w:noWrap w:val="0"/>
            <w:vAlign w:val="center"/>
          </w:tcPr>
          <w:p w14:paraId="53284E73">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投标文件递交截止时间</w:t>
            </w:r>
          </w:p>
        </w:tc>
        <w:tc>
          <w:tcPr>
            <w:tcW w:w="7800" w:type="dxa"/>
            <w:noWrap w:val="0"/>
            <w:vAlign w:val="center"/>
          </w:tcPr>
          <w:p w14:paraId="4F2EB8B3">
            <w:pPr>
              <w:snapToGrid w:val="0"/>
              <w:spacing w:line="400" w:lineRule="exact"/>
              <w:rPr>
                <w:rFonts w:hint="eastAsia" w:ascii="宋体" w:hAnsi="宋体" w:eastAsia="宋体" w:cs="宋体"/>
                <w:w w:val="100"/>
                <w:sz w:val="24"/>
                <w:szCs w:val="24"/>
                <w:highlight w:val="none"/>
                <w:lang w:val="en-US" w:eastAsia="zh-CN"/>
              </w:rPr>
            </w:pPr>
            <w:r>
              <w:rPr>
                <w:rFonts w:hint="eastAsia" w:ascii="宋体" w:hAnsi="宋体" w:eastAsia="宋体" w:cs="宋体"/>
                <w:sz w:val="24"/>
                <w:szCs w:val="24"/>
                <w:highlight w:val="none"/>
                <w:u w:val="none"/>
                <w:lang w:val="en-US" w:eastAsia="zh-CN"/>
              </w:rPr>
              <w:t>2026年4月</w:t>
            </w:r>
            <w:r>
              <w:rPr>
                <w:rFonts w:hint="eastAsia" w:ascii="宋体" w:hAnsi="宋体" w:cs="宋体"/>
                <w:sz w:val="24"/>
                <w:szCs w:val="24"/>
                <w:highlight w:val="none"/>
                <w:u w:val="none"/>
                <w:lang w:val="en-US" w:eastAsia="zh-CN"/>
              </w:rPr>
              <w:t>24日上</w:t>
            </w:r>
            <w:r>
              <w:rPr>
                <w:rFonts w:hint="eastAsia" w:ascii="宋体" w:hAnsi="宋体" w:eastAsia="宋体" w:cs="宋体"/>
                <w:sz w:val="24"/>
                <w:szCs w:val="24"/>
                <w:highlight w:val="none"/>
                <w:u w:val="none"/>
                <w:lang w:val="en-US" w:eastAsia="zh-CN"/>
              </w:rPr>
              <w:t>午9:00前</w:t>
            </w:r>
          </w:p>
        </w:tc>
      </w:tr>
      <w:tr w14:paraId="1583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7" w:type="dxa"/>
            <w:noWrap w:val="0"/>
            <w:vAlign w:val="center"/>
          </w:tcPr>
          <w:p w14:paraId="7FAB291D">
            <w:pPr>
              <w:pStyle w:val="25"/>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2</w:t>
            </w:r>
          </w:p>
        </w:tc>
        <w:tc>
          <w:tcPr>
            <w:tcW w:w="1422" w:type="dxa"/>
            <w:noWrap w:val="0"/>
            <w:vAlign w:val="center"/>
          </w:tcPr>
          <w:p w14:paraId="558C3B30">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投标文件递交地点</w:t>
            </w:r>
          </w:p>
        </w:tc>
        <w:tc>
          <w:tcPr>
            <w:tcW w:w="7800" w:type="dxa"/>
            <w:noWrap w:val="0"/>
            <w:vAlign w:val="center"/>
          </w:tcPr>
          <w:p w14:paraId="6D8F19B2">
            <w:pPr>
              <w:snapToGrid w:val="0"/>
              <w:spacing w:line="30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1、递交地点：</w:t>
            </w:r>
            <w:r>
              <w:rPr>
                <w:rFonts w:hint="eastAsia" w:ascii="宋体" w:hAnsi="宋体" w:cs="宋体"/>
                <w:color w:val="auto"/>
                <w:sz w:val="24"/>
                <w:szCs w:val="24"/>
                <w:u w:val="none"/>
                <w:lang w:eastAsia="zh-CN"/>
              </w:rPr>
              <w:t>诸暨市教育体育局项目交易办公室</w:t>
            </w:r>
            <w:r>
              <w:rPr>
                <w:rFonts w:hint="eastAsia" w:ascii="宋体" w:hAnsi="宋体" w:eastAsia="宋体" w:cs="宋体"/>
                <w:color w:val="auto"/>
                <w:sz w:val="24"/>
                <w:szCs w:val="24"/>
                <w:u w:val="none"/>
              </w:rPr>
              <w:t>开标室（诸暨市浣东北路51号）。</w:t>
            </w:r>
          </w:p>
          <w:p w14:paraId="54BA725B">
            <w:pPr>
              <w:snapToGrid w:val="0"/>
              <w:spacing w:line="400" w:lineRule="exact"/>
              <w:rPr>
                <w:rFonts w:hint="eastAsia" w:ascii="宋体" w:hAnsi="宋体" w:eastAsia="宋体" w:cs="宋体"/>
                <w:w w:val="100"/>
                <w:sz w:val="24"/>
                <w:szCs w:val="24"/>
                <w:lang w:eastAsia="zh-CN"/>
              </w:rPr>
            </w:pPr>
            <w:r>
              <w:rPr>
                <w:rFonts w:hint="eastAsia" w:ascii="宋体" w:hAnsi="宋体" w:eastAsia="宋体" w:cs="宋体"/>
                <w:bCs/>
                <w:sz w:val="24"/>
                <w:szCs w:val="24"/>
                <w:u w:val="none"/>
              </w:rPr>
              <w:t>2、本项目允许采用邮寄投标文件模式，邮寄原则上统一采用EMS</w:t>
            </w:r>
            <w:r>
              <w:rPr>
                <w:rFonts w:hint="eastAsia" w:ascii="宋体" w:hAnsi="宋体" w:eastAsia="宋体" w:cs="宋体"/>
                <w:sz w:val="24"/>
                <w:szCs w:val="24"/>
                <w:u w:val="none"/>
              </w:rPr>
              <w:t>或顺丰邮寄方式</w:t>
            </w:r>
            <w:r>
              <w:rPr>
                <w:rFonts w:hint="eastAsia" w:ascii="宋体" w:hAnsi="宋体" w:eastAsia="宋体" w:cs="宋体"/>
                <w:bCs/>
                <w:sz w:val="24"/>
                <w:szCs w:val="24"/>
                <w:u w:val="none"/>
              </w:rPr>
              <w:t>，邮寄过程中造成的一切后果均由供应商自行承担。</w:t>
            </w:r>
          </w:p>
        </w:tc>
      </w:tr>
      <w:tr w14:paraId="5BB2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67" w:type="dxa"/>
            <w:noWrap w:val="0"/>
            <w:vAlign w:val="center"/>
          </w:tcPr>
          <w:p w14:paraId="43FCEE3E">
            <w:pPr>
              <w:pStyle w:val="25"/>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3</w:t>
            </w:r>
          </w:p>
        </w:tc>
        <w:tc>
          <w:tcPr>
            <w:tcW w:w="1422" w:type="dxa"/>
            <w:noWrap w:val="0"/>
            <w:vAlign w:val="center"/>
          </w:tcPr>
          <w:p w14:paraId="4CDA2ECB">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开标时间</w:t>
            </w:r>
          </w:p>
        </w:tc>
        <w:tc>
          <w:tcPr>
            <w:tcW w:w="7800" w:type="dxa"/>
            <w:noWrap w:val="0"/>
            <w:vAlign w:val="center"/>
          </w:tcPr>
          <w:p w14:paraId="7BF119C8">
            <w:pPr>
              <w:snapToGrid w:val="0"/>
              <w:spacing w:line="400" w:lineRule="exact"/>
              <w:rPr>
                <w:rFonts w:hint="eastAsia" w:ascii="宋体" w:hAnsi="宋体" w:eastAsia="宋体" w:cs="宋体"/>
                <w:w w:val="100"/>
                <w:sz w:val="24"/>
                <w:szCs w:val="24"/>
                <w:highlight w:val="none"/>
                <w:lang w:eastAsia="zh-CN"/>
              </w:rPr>
            </w:pPr>
            <w:r>
              <w:rPr>
                <w:rFonts w:hint="eastAsia" w:ascii="宋体" w:hAnsi="宋体" w:eastAsia="宋体" w:cs="宋体"/>
                <w:sz w:val="24"/>
                <w:szCs w:val="24"/>
                <w:highlight w:val="none"/>
                <w:u w:val="none"/>
                <w:lang w:val="en-US" w:eastAsia="zh-CN"/>
              </w:rPr>
              <w:t>2026年4月</w:t>
            </w:r>
            <w:r>
              <w:rPr>
                <w:rFonts w:hint="eastAsia" w:ascii="宋体" w:hAnsi="宋体" w:cs="宋体"/>
                <w:sz w:val="24"/>
                <w:szCs w:val="24"/>
                <w:highlight w:val="none"/>
                <w:u w:val="none"/>
                <w:lang w:val="en-US" w:eastAsia="zh-CN"/>
              </w:rPr>
              <w:t>24日上</w:t>
            </w:r>
            <w:r>
              <w:rPr>
                <w:rFonts w:hint="eastAsia" w:ascii="宋体" w:hAnsi="宋体" w:eastAsia="宋体" w:cs="宋体"/>
                <w:sz w:val="24"/>
                <w:szCs w:val="24"/>
                <w:highlight w:val="none"/>
                <w:u w:val="none"/>
                <w:lang w:val="en-US" w:eastAsia="zh-CN"/>
              </w:rPr>
              <w:t>午9:00时</w:t>
            </w:r>
          </w:p>
        </w:tc>
      </w:tr>
      <w:tr w14:paraId="4AEA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noWrap w:val="0"/>
            <w:vAlign w:val="center"/>
          </w:tcPr>
          <w:p w14:paraId="08869828">
            <w:pPr>
              <w:pStyle w:val="25"/>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4</w:t>
            </w:r>
          </w:p>
        </w:tc>
        <w:tc>
          <w:tcPr>
            <w:tcW w:w="1422" w:type="dxa"/>
            <w:noWrap w:val="0"/>
            <w:vAlign w:val="center"/>
          </w:tcPr>
          <w:p w14:paraId="1C76FA1F">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开标地点</w:t>
            </w:r>
          </w:p>
        </w:tc>
        <w:tc>
          <w:tcPr>
            <w:tcW w:w="7800" w:type="dxa"/>
            <w:noWrap w:val="0"/>
            <w:vAlign w:val="center"/>
          </w:tcPr>
          <w:p w14:paraId="415E47C4">
            <w:pPr>
              <w:snapToGrid w:val="0"/>
              <w:spacing w:line="400" w:lineRule="exact"/>
              <w:rPr>
                <w:rFonts w:hint="eastAsia" w:ascii="宋体" w:hAnsi="宋体" w:eastAsia="宋体" w:cs="宋体"/>
                <w:w w:val="100"/>
                <w:kern w:val="2"/>
                <w:sz w:val="24"/>
                <w:szCs w:val="24"/>
                <w:lang w:eastAsia="zh-CN"/>
              </w:rPr>
            </w:pPr>
            <w:r>
              <w:rPr>
                <w:rFonts w:hint="eastAsia" w:ascii="宋体" w:hAnsi="宋体" w:eastAsia="宋体" w:cs="宋体"/>
                <w:sz w:val="24"/>
                <w:szCs w:val="24"/>
                <w:lang w:eastAsia="zh-CN"/>
              </w:rPr>
              <w:t>诸暨市教育体育局项目交易办公室</w:t>
            </w:r>
            <w:r>
              <w:rPr>
                <w:rFonts w:hint="eastAsia" w:ascii="宋体" w:hAnsi="宋体" w:eastAsia="宋体" w:cs="宋体"/>
                <w:sz w:val="24"/>
                <w:szCs w:val="24"/>
              </w:rPr>
              <w:t>开标室（诸暨市浣东北路51号）</w:t>
            </w:r>
          </w:p>
        </w:tc>
      </w:tr>
      <w:tr w14:paraId="6BB0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noWrap w:val="0"/>
            <w:vAlign w:val="center"/>
          </w:tcPr>
          <w:p w14:paraId="007AD492">
            <w:pPr>
              <w:pStyle w:val="25"/>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5</w:t>
            </w:r>
          </w:p>
        </w:tc>
        <w:tc>
          <w:tcPr>
            <w:tcW w:w="1422" w:type="dxa"/>
            <w:noWrap w:val="0"/>
            <w:vAlign w:val="center"/>
          </w:tcPr>
          <w:p w14:paraId="75599D6B">
            <w:pPr>
              <w:pStyle w:val="25"/>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质疑与答疑时间</w:t>
            </w:r>
          </w:p>
        </w:tc>
        <w:tc>
          <w:tcPr>
            <w:tcW w:w="7800" w:type="dxa"/>
            <w:noWrap w:val="0"/>
            <w:vAlign w:val="center"/>
          </w:tcPr>
          <w:p w14:paraId="6801E447">
            <w:pPr>
              <w:spacing w:line="400" w:lineRule="exact"/>
              <w:outlineLvl w:val="1"/>
              <w:rPr>
                <w:rFonts w:hint="eastAsia" w:ascii="宋体" w:hAnsi="宋体" w:eastAsia="宋体" w:cs="宋体"/>
                <w:w w:val="100"/>
                <w:kern w:val="2"/>
                <w:sz w:val="24"/>
                <w:szCs w:val="24"/>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文件使自己的权益受到损害的，可以自获取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文件之日或者</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文件公告期限届满之日（公告期限届满后获取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文件的，以公告期限届满之日为准）起7个工作日内，以书面形式向采购人和采购代理机构提出质疑，逾期提出的，采购代理机构不予受理、答复。</w:t>
            </w:r>
          </w:p>
        </w:tc>
      </w:tr>
      <w:tr w14:paraId="434A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67" w:type="dxa"/>
            <w:noWrap w:val="0"/>
            <w:vAlign w:val="center"/>
          </w:tcPr>
          <w:p w14:paraId="3B2DE0EC">
            <w:pPr>
              <w:pStyle w:val="25"/>
              <w:spacing w:line="400" w:lineRule="exact"/>
              <w:jc w:val="center"/>
              <w:rPr>
                <w:rFonts w:hint="eastAsia" w:ascii="宋体" w:hAnsi="宋体" w:eastAsia="宋体" w:cs="宋体"/>
                <w:b w:val="0"/>
                <w:bCs/>
                <w:w w:val="100"/>
                <w:szCs w:val="24"/>
                <w:highlight w:val="none"/>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6</w:t>
            </w:r>
          </w:p>
        </w:tc>
        <w:tc>
          <w:tcPr>
            <w:tcW w:w="1422" w:type="dxa"/>
            <w:noWrap w:val="0"/>
            <w:vAlign w:val="center"/>
          </w:tcPr>
          <w:p w14:paraId="3A85732E">
            <w:pPr>
              <w:pStyle w:val="25"/>
              <w:spacing w:line="400" w:lineRule="exact"/>
              <w:ind w:left="-107" w:leftChars="-51" w:right="-111" w:rightChars="-53"/>
              <w:jc w:val="center"/>
              <w:rPr>
                <w:rFonts w:hint="eastAsia" w:ascii="宋体" w:hAnsi="宋体" w:eastAsia="宋体" w:cs="宋体"/>
                <w:w w:val="100"/>
                <w:szCs w:val="24"/>
                <w:highlight w:val="none"/>
                <w:lang w:eastAsia="zh-CN"/>
              </w:rPr>
            </w:pPr>
            <w:r>
              <w:rPr>
                <w:rFonts w:hint="eastAsia" w:ascii="宋体" w:hAnsi="宋体" w:eastAsia="宋体" w:cs="宋体"/>
                <w:w w:val="100"/>
                <w:szCs w:val="24"/>
                <w:highlight w:val="none"/>
                <w:lang w:val="en-US" w:eastAsia="zh-CN"/>
              </w:rPr>
              <w:t>其他</w:t>
            </w:r>
          </w:p>
        </w:tc>
        <w:tc>
          <w:tcPr>
            <w:tcW w:w="7800" w:type="dxa"/>
            <w:noWrap w:val="0"/>
            <w:vAlign w:val="center"/>
          </w:tcPr>
          <w:p w14:paraId="406E36C5">
            <w:pPr>
              <w:numPr>
                <w:ilvl w:val="0"/>
                <w:numId w:val="0"/>
              </w:numPr>
              <w:spacing w:line="312" w:lineRule="auto"/>
              <w:rPr>
                <w:rFonts w:hint="eastAsia" w:ascii="宋体" w:hAnsi="宋体" w:eastAsia="宋体" w:cs="宋体"/>
                <w:b/>
                <w:w w:val="100"/>
                <w:sz w:val="24"/>
                <w:szCs w:val="24"/>
                <w:highlight w:val="none"/>
              </w:rPr>
            </w:pPr>
            <w:r>
              <w:rPr>
                <w:rFonts w:hint="eastAsia" w:ascii="宋体" w:hAnsi="宋体" w:eastAsia="宋体" w:cs="宋体"/>
                <w:w w:val="100"/>
                <w:kern w:val="2"/>
                <w:sz w:val="24"/>
                <w:szCs w:val="24"/>
                <w:highlight w:val="none"/>
              </w:rPr>
              <w:t>本项目</w:t>
            </w:r>
            <w:r>
              <w:rPr>
                <w:rFonts w:hint="eastAsia" w:ascii="宋体" w:hAnsi="宋体" w:eastAsia="宋体" w:cs="宋体"/>
                <w:w w:val="100"/>
                <w:kern w:val="2"/>
                <w:sz w:val="24"/>
                <w:szCs w:val="24"/>
                <w:highlight w:val="none"/>
                <w:lang w:val="en-US" w:eastAsia="zh-CN"/>
              </w:rPr>
              <w:t>无</w:t>
            </w:r>
            <w:r>
              <w:rPr>
                <w:rFonts w:hint="eastAsia" w:ascii="宋体" w:hAnsi="宋体" w:eastAsia="宋体" w:cs="宋体"/>
                <w:w w:val="100"/>
                <w:kern w:val="2"/>
                <w:sz w:val="24"/>
                <w:szCs w:val="24"/>
                <w:highlight w:val="none"/>
              </w:rPr>
              <w:t>招标代理费</w:t>
            </w:r>
            <w:r>
              <w:rPr>
                <w:rFonts w:hint="eastAsia" w:ascii="宋体" w:hAnsi="宋体" w:eastAsia="宋体" w:cs="宋体"/>
                <w:b w:val="0"/>
                <w:bCs w:val="0"/>
                <w:w w:val="100"/>
                <w:kern w:val="2"/>
                <w:sz w:val="24"/>
                <w:szCs w:val="24"/>
                <w:highlight w:val="none"/>
                <w:lang w:eastAsia="zh-CN"/>
              </w:rPr>
              <w:t>。</w:t>
            </w:r>
          </w:p>
        </w:tc>
      </w:tr>
      <w:tr w14:paraId="012D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67" w:type="dxa"/>
            <w:vAlign w:val="center"/>
          </w:tcPr>
          <w:p w14:paraId="28DFD195">
            <w:pPr>
              <w:pStyle w:val="25"/>
              <w:spacing w:line="400" w:lineRule="exact"/>
              <w:jc w:val="center"/>
              <w:rPr>
                <w:rFonts w:hint="eastAsia" w:ascii="宋体" w:hAnsi="宋体" w:eastAsia="宋体" w:cs="宋体"/>
                <w:b/>
                <w:szCs w:val="24"/>
                <w:lang w:val="en-US" w:eastAsia="zh-CN"/>
              </w:rPr>
            </w:pPr>
            <w:r>
              <w:rPr>
                <w:rFonts w:hint="eastAsia" w:ascii="宋体" w:hAnsi="宋体" w:eastAsia="宋体" w:cs="宋体"/>
                <w:b w:val="0"/>
                <w:bCs/>
                <w:w w:val="100"/>
                <w:szCs w:val="24"/>
                <w:highlight w:val="none"/>
              </w:rPr>
              <w:t>2</w:t>
            </w:r>
            <w:r>
              <w:rPr>
                <w:rFonts w:hint="eastAsia" w:ascii="宋体" w:hAnsi="宋体" w:eastAsia="宋体" w:cs="宋体"/>
                <w:b w:val="0"/>
                <w:bCs/>
                <w:w w:val="100"/>
                <w:szCs w:val="24"/>
                <w:highlight w:val="none"/>
                <w:lang w:val="en-US" w:eastAsia="zh-CN"/>
              </w:rPr>
              <w:t>7</w:t>
            </w:r>
          </w:p>
        </w:tc>
        <w:tc>
          <w:tcPr>
            <w:tcW w:w="1422" w:type="dxa"/>
            <w:vAlign w:val="center"/>
          </w:tcPr>
          <w:p w14:paraId="4AB02FA4">
            <w:pPr>
              <w:pStyle w:val="25"/>
              <w:spacing w:line="300" w:lineRule="auto"/>
              <w:jc w:val="center"/>
              <w:rPr>
                <w:rFonts w:hint="eastAsia" w:ascii="宋体" w:hAnsi="宋体" w:eastAsia="宋体" w:cs="宋体"/>
                <w:b/>
                <w:szCs w:val="24"/>
              </w:rPr>
            </w:pPr>
            <w:r>
              <w:rPr>
                <w:rFonts w:hint="eastAsia" w:ascii="宋体" w:hAnsi="宋体" w:eastAsia="宋体" w:cs="宋体"/>
                <w:b/>
                <w:szCs w:val="24"/>
              </w:rPr>
              <w:t>特别提醒</w:t>
            </w:r>
          </w:p>
        </w:tc>
        <w:tc>
          <w:tcPr>
            <w:tcW w:w="7800" w:type="dxa"/>
            <w:vAlign w:val="center"/>
          </w:tcPr>
          <w:p w14:paraId="5992E948">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1、如本前附表与投标须知条款就同一事项规定不一致的，以本前附表规定内容为准。</w:t>
            </w:r>
          </w:p>
          <w:p w14:paraId="640AE5B9">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2、请投标人仔细阅读本招标文件，其中若带有“★”标记的条款为实质性内容及要求，投标人必须对带有“★”标记的条款作出实质性响应。</w:t>
            </w:r>
            <w:r>
              <w:rPr>
                <w:rFonts w:hint="eastAsia" w:ascii="宋体" w:hAnsi="宋体" w:eastAsia="宋体" w:cs="宋体"/>
                <w:b/>
                <w:color w:val="auto"/>
                <w:sz w:val="24"/>
              </w:rPr>
              <w:t>如任意一条打“★”的条款出现负偏离视为实质性不响应招标文件要求，作无效投标处理。</w:t>
            </w:r>
          </w:p>
        </w:tc>
      </w:tr>
    </w:tbl>
    <w:p w14:paraId="3D6126AF">
      <w:pPr>
        <w:rPr>
          <w:rFonts w:hint="eastAsia" w:ascii="宋体" w:hAnsi="宋体"/>
          <w:b/>
          <w:bCs/>
          <w:color w:val="auto"/>
          <w:sz w:val="32"/>
          <w:szCs w:val="32"/>
        </w:rPr>
      </w:pPr>
    </w:p>
    <w:p w14:paraId="1F6A348C">
      <w:pPr>
        <w:pStyle w:val="47"/>
      </w:pPr>
    </w:p>
    <w:p w14:paraId="7A7D34D4">
      <w:pPr>
        <w:rPr>
          <w:rFonts w:ascii="宋体" w:hAnsi="宋体"/>
          <w:color w:val="auto"/>
        </w:rPr>
        <w:sectPr>
          <w:headerReference r:id="rId10" w:type="first"/>
          <w:footerReference r:id="rId12" w:type="first"/>
          <w:headerReference r:id="rId9" w:type="default"/>
          <w:footerReference r:id="rId11" w:type="default"/>
          <w:pgSz w:w="11906" w:h="16838"/>
          <w:pgMar w:top="1021" w:right="1021" w:bottom="1021" w:left="1021" w:header="567" w:footer="283" w:gutter="0"/>
          <w:pgNumType w:fmt="numberInDash"/>
          <w:cols w:space="720" w:num="1"/>
          <w:titlePg/>
          <w:docGrid w:type="lines" w:linePitch="312" w:charSpace="0"/>
        </w:sectPr>
      </w:pPr>
    </w:p>
    <w:bookmarkEnd w:id="2"/>
    <w:p w14:paraId="314D8219">
      <w:pPr>
        <w:pStyle w:val="3"/>
        <w:spacing w:before="0" w:after="0" w:line="240" w:lineRule="auto"/>
        <w:jc w:val="center"/>
        <w:rPr>
          <w:rFonts w:hint="eastAsia" w:ascii="宋体" w:hAnsi="宋体" w:eastAsia="宋体" w:cs="宋体"/>
          <w:color w:val="auto"/>
        </w:rPr>
      </w:pPr>
      <w:r>
        <w:rPr>
          <w:rFonts w:hint="eastAsia" w:ascii="宋体" w:hAnsi="宋体" w:eastAsia="宋体" w:cs="宋体"/>
          <w:color w:val="auto"/>
        </w:rPr>
        <w:t>一、总   则</w:t>
      </w:r>
    </w:p>
    <w:p w14:paraId="22F6CE33">
      <w:pPr>
        <w:spacing w:line="300" w:lineRule="auto"/>
        <w:ind w:firstLine="482" w:firstLineChars="200"/>
        <w:rPr>
          <w:rFonts w:hint="eastAsia" w:ascii="宋体" w:hAnsi="宋体" w:eastAsia="宋体" w:cs="宋体"/>
        </w:rPr>
      </w:pPr>
      <w:r>
        <w:rPr>
          <w:rFonts w:hint="eastAsia" w:ascii="宋体" w:hAnsi="宋体" w:eastAsia="宋体" w:cs="宋体"/>
          <w:b/>
          <w:bCs/>
          <w:sz w:val="24"/>
        </w:rPr>
        <w:t>1.</w:t>
      </w:r>
      <w:r>
        <w:rPr>
          <w:rFonts w:hint="eastAsia" w:ascii="宋体" w:hAnsi="宋体" w:eastAsia="宋体" w:cs="宋体"/>
          <w:b/>
          <w:sz w:val="24"/>
        </w:rPr>
        <w:t>适用范围</w:t>
      </w:r>
    </w:p>
    <w:p w14:paraId="1F9D049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本招标文件适用于本次所述项目的招标。</w:t>
      </w:r>
    </w:p>
    <w:p w14:paraId="7AD23D16">
      <w:pPr>
        <w:snapToGrid w:val="0"/>
        <w:spacing w:line="240" w:lineRule="exact"/>
        <w:ind w:firstLine="472" w:firstLineChars="196"/>
        <w:jc w:val="left"/>
        <w:outlineLvl w:val="1"/>
        <w:rPr>
          <w:rFonts w:hint="eastAsia" w:ascii="宋体" w:hAnsi="宋体" w:eastAsia="宋体" w:cs="宋体"/>
          <w:b/>
          <w:sz w:val="24"/>
        </w:rPr>
      </w:pPr>
      <w:r>
        <w:rPr>
          <w:rFonts w:hint="eastAsia" w:ascii="宋体" w:hAnsi="宋体" w:eastAsia="宋体" w:cs="宋体"/>
          <w:b/>
          <w:sz w:val="24"/>
        </w:rPr>
        <w:t>2.定义</w:t>
      </w:r>
    </w:p>
    <w:p w14:paraId="3594765D">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2.1“采购人”系指</w:t>
      </w:r>
      <w:r>
        <w:rPr>
          <w:rFonts w:hint="eastAsia" w:ascii="宋体" w:hAnsi="宋体" w:cs="宋体"/>
          <w:sz w:val="24"/>
          <w:szCs w:val="24"/>
          <w:lang w:eastAsia="zh-CN"/>
        </w:rPr>
        <w:t>诸暨市教育体育局</w:t>
      </w:r>
      <w:r>
        <w:rPr>
          <w:rFonts w:hint="eastAsia" w:ascii="宋体" w:hAnsi="宋体" w:eastAsia="宋体" w:cs="宋体"/>
          <w:color w:val="auto"/>
          <w:sz w:val="24"/>
        </w:rPr>
        <w:t>。</w:t>
      </w:r>
    </w:p>
    <w:p w14:paraId="3E3569F7">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2.2“采购代理机构”系指组织本次招标的</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w:t>
      </w:r>
    </w:p>
    <w:p w14:paraId="30B3312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2.3“投标人”系指向采购人和采购代理机构提交投标文件的供应商。</w:t>
      </w:r>
    </w:p>
    <w:p w14:paraId="336F4DD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2.4“产品”系指供方按招标文件规定，须向采购人提供的一切设备、保险、税金、备品备件、工具、手册及其它有关技术资料和材料。</w:t>
      </w:r>
    </w:p>
    <w:p w14:paraId="6F37A10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2.5“服务”系指招标文件规定投标人须承担的安装、调试、技术协助、校准、培训、技术指导以及其他类似的义务。</w:t>
      </w:r>
    </w:p>
    <w:p w14:paraId="2D38AA6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2.6“项目”系指投标人按招标文件规定向采购人提供的产品和服务。</w:t>
      </w:r>
    </w:p>
    <w:p w14:paraId="5A9C1339">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2.7“书面形式”包括信函、传真、电报等。</w:t>
      </w:r>
    </w:p>
    <w:p w14:paraId="3F0A78B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2.8本招标文件所述设备品牌、型号是结合实际现有情况的推荐性参考方案，投标方也可根据招标文件得要求参考性能相当或高于、服务条款相等或高于、符合招标方实际业务需求其他同档次优质品牌的产品，进行方案优化。所投产品不在参考品牌范围内的，是否符合招标文件要求由评标小组在投标文件评审时集体讨论决定。</w:t>
      </w:r>
    </w:p>
    <w:p w14:paraId="78BFFFE6">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3.采购方式</w:t>
      </w:r>
    </w:p>
    <w:p w14:paraId="526D345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本次采购采用公开招标方式进行。</w:t>
      </w:r>
    </w:p>
    <w:p w14:paraId="11D49F30">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4.投标委托</w:t>
      </w:r>
    </w:p>
    <w:p w14:paraId="5161EA0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投标人代表不是法定代表人/负责人，须有法定代表人/负责人出具的授权委托书。投标人代表是法定代表人/负责人的，只需提供法定代表人/负责人本人身份证复印件并加盖投标人公章。</w:t>
      </w:r>
    </w:p>
    <w:p w14:paraId="14C817C5">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5.投标费用</w:t>
      </w:r>
    </w:p>
    <w:p w14:paraId="5FD2CD7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投标人应自行承担获得招标文件和编制、提交投标文件所涉及的一切费用。不论投标结果如何，投标人均应自行承担所有与投标有关的全部费用。</w:t>
      </w:r>
    </w:p>
    <w:p w14:paraId="16E50FA5">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6.特别说明：</w:t>
      </w:r>
    </w:p>
    <w:p w14:paraId="2E203A05">
      <w:pPr>
        <w:pStyle w:val="25"/>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6.1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8801C05">
      <w:pPr>
        <w:pStyle w:val="25"/>
        <w:snapToGrid w:val="0"/>
        <w:spacing w:line="300" w:lineRule="auto"/>
        <w:ind w:left="2" w:leftChars="1" w:firstLine="480" w:firstLineChars="200"/>
        <w:rPr>
          <w:rFonts w:hint="eastAsia" w:ascii="宋体" w:hAnsi="宋体" w:eastAsia="宋体" w:cs="宋体"/>
          <w:b w:val="0"/>
          <w:bCs/>
        </w:rPr>
      </w:pPr>
      <w:r>
        <w:rPr>
          <w:rFonts w:hint="eastAsia" w:ascii="宋体" w:hAnsi="宋体" w:eastAsia="宋体" w:cs="宋体"/>
          <w:b w:val="0"/>
          <w:bCs/>
          <w:color w:val="auto"/>
          <w:highlight w:val="none"/>
        </w:rPr>
        <w:t>非单一产品采购项目，采购人应当根据采购项目技术构成、产品价格比重等合理确定核心产品，并在招标文件中载明。多家投标人提供的核心产品品牌相同的，按前款规定处理。</w:t>
      </w:r>
    </w:p>
    <w:p w14:paraId="12D04C70">
      <w:pPr>
        <w:pStyle w:val="25"/>
        <w:snapToGrid w:val="0"/>
        <w:spacing w:line="300" w:lineRule="auto"/>
        <w:ind w:left="481" w:leftChars="229"/>
        <w:jc w:val="left"/>
        <w:rPr>
          <w:rFonts w:hint="eastAsia" w:ascii="宋体" w:hAnsi="宋体" w:eastAsia="宋体" w:cs="宋体"/>
        </w:rPr>
      </w:pPr>
      <w:r>
        <w:rPr>
          <w:rFonts w:hint="eastAsia" w:ascii="宋体" w:hAnsi="宋体" w:eastAsia="宋体" w:cs="宋体"/>
          <w:b w:val="0"/>
          <w:bCs/>
        </w:rPr>
        <w:t>6.2投标人投标所使</w:t>
      </w:r>
      <w:r>
        <w:rPr>
          <w:rFonts w:hint="eastAsia" w:ascii="宋体" w:hAnsi="宋体" w:eastAsia="宋体" w:cs="宋体"/>
        </w:rPr>
        <w:t>用的资格、信誉、荣誉、业绩与企业认证必须为本法人所拥有。</w:t>
      </w:r>
    </w:p>
    <w:p w14:paraId="3A74BC70">
      <w:pPr>
        <w:pStyle w:val="25"/>
        <w:snapToGrid w:val="0"/>
        <w:spacing w:line="300" w:lineRule="auto"/>
        <w:ind w:firstLine="480" w:firstLineChars="200"/>
        <w:jc w:val="left"/>
        <w:rPr>
          <w:rFonts w:hint="eastAsia" w:ascii="宋体" w:hAnsi="宋体" w:eastAsia="宋体" w:cs="宋体"/>
        </w:rPr>
      </w:pPr>
      <w:r>
        <w:rPr>
          <w:rFonts w:hint="eastAsia" w:ascii="宋体" w:hAnsi="宋体" w:eastAsia="宋体" w:cs="宋体"/>
        </w:rPr>
        <w:t>6.3投标人应仔细阅读招标文件的所有内容，按照招标文件的要求提交投标文件，并对所提供的全部资料的真实性承担法律责任。</w:t>
      </w:r>
    </w:p>
    <w:p w14:paraId="4838BF7F">
      <w:pPr>
        <w:pStyle w:val="25"/>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6.4投标人在投标活动中提供任何虚假材料,其投标无效，并报监管部门查处；中标后发现的,中标单位须依照《中华人民共和国消费者权益保护法》第49条之规定双倍赔偿采购单位，且民事赔偿并不免除违法投标人的行政与刑事责任。</w:t>
      </w:r>
    </w:p>
    <w:p w14:paraId="2268C224">
      <w:pPr>
        <w:pStyle w:val="25"/>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6.5除评标办法采用最低评标价法的项目外，直接或者间接受采购单位控制的当事人，或者与采购单位受共同上级控制的当事人，为本次采购进行设计或编制规范和其他文件的当事人，或者直接或间接地与为本次采购进行设计或编制规范、其他文件的个人、企业、采购人或其附属机构有关联关系的当事人，不得参加本项目投标。</w:t>
      </w:r>
    </w:p>
    <w:p w14:paraId="64D13946">
      <w:pPr>
        <w:pStyle w:val="25"/>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6.6投标人须对所投产品、方案、技术和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归采购人所有。</w:t>
      </w:r>
    </w:p>
    <w:p w14:paraId="25E6B7C7">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7.质疑和投诉</w:t>
      </w:r>
    </w:p>
    <w:p w14:paraId="35F1663E">
      <w:pPr>
        <w:pStyle w:val="25"/>
        <w:snapToGrid w:val="0"/>
        <w:spacing w:line="300" w:lineRule="auto"/>
        <w:ind w:left="1" w:firstLine="480" w:firstLineChars="200"/>
        <w:rPr>
          <w:rFonts w:hint="eastAsia" w:ascii="宋体" w:hAnsi="宋体" w:eastAsia="宋体" w:cs="宋体"/>
          <w:bCs/>
        </w:rPr>
      </w:pPr>
      <w:r>
        <w:rPr>
          <w:rFonts w:hint="eastAsia" w:ascii="宋体" w:hAnsi="宋体" w:eastAsia="宋体" w:cs="宋体"/>
          <w:bCs/>
        </w:rPr>
        <w:t>7.1投标人认为招标文件、招标过程和中标结果使自己的合法权益受到损害的，应当在知道或者应知其权益受到损害之日起七个工作日内，以书面形式向采购人或采购代理机构提出质疑。</w:t>
      </w:r>
      <w:r>
        <w:rPr>
          <w:rFonts w:hint="eastAsia" w:ascii="宋体" w:hAnsi="宋体" w:eastAsia="宋体" w:cs="宋体"/>
        </w:rPr>
        <w:t>投标人对采购人或采购代理机构的质疑答复不满意或者采购人、采购代理机构未在规定时间内作出答复的，可以在答复期满后十五个工作日内向同级采购监管部门投诉。</w:t>
      </w:r>
      <w:r>
        <w:rPr>
          <w:rFonts w:hint="eastAsia" w:ascii="宋体" w:hAnsi="宋体" w:eastAsia="宋体" w:cs="宋体"/>
          <w:szCs w:val="24"/>
        </w:rPr>
        <w:t>逾期提出的，采购人及采购代理机构不予受理、答复。</w:t>
      </w:r>
    </w:p>
    <w:p w14:paraId="5244BBFC">
      <w:pPr>
        <w:pStyle w:val="25"/>
        <w:snapToGrid w:val="0"/>
        <w:spacing w:line="300" w:lineRule="auto"/>
        <w:ind w:left="1" w:firstLine="480" w:firstLineChars="200"/>
        <w:rPr>
          <w:rFonts w:hint="eastAsia" w:ascii="宋体" w:hAnsi="宋体" w:eastAsia="宋体" w:cs="宋体"/>
        </w:rPr>
      </w:pPr>
      <w:r>
        <w:rPr>
          <w:rFonts w:hint="eastAsia" w:ascii="宋体" w:hAnsi="宋体" w:eastAsia="宋体" w:cs="宋体"/>
          <w:bCs/>
        </w:rPr>
        <w:t>7.2质疑、投诉应当采用书面形式，质疑书、投诉书均应明确阐述招标文件、招标过程和中标结果中使自己合法权益受到损害的实质性内容，提供相关事实、依据和证据及</w:t>
      </w:r>
      <w:r>
        <w:rPr>
          <w:rFonts w:hint="eastAsia" w:ascii="宋体" w:hAnsi="宋体" w:eastAsia="宋体" w:cs="宋体"/>
        </w:rPr>
        <w:t>其来源或线索，便于有关单位调查、答复和处理。</w:t>
      </w:r>
    </w:p>
    <w:p w14:paraId="00B408CC">
      <w:pPr>
        <w:pStyle w:val="25"/>
        <w:snapToGrid w:val="0"/>
        <w:spacing w:line="300" w:lineRule="auto"/>
        <w:ind w:left="1" w:firstLine="480" w:firstLineChars="200"/>
        <w:rPr>
          <w:rFonts w:hint="eastAsia" w:ascii="宋体" w:hAnsi="宋体" w:eastAsia="宋体" w:cs="宋体"/>
          <w:szCs w:val="24"/>
        </w:rPr>
      </w:pPr>
      <w:bookmarkStart w:id="3" w:name="_Toc125344504"/>
      <w:r>
        <w:rPr>
          <w:rFonts w:hint="eastAsia" w:ascii="宋体" w:hAnsi="宋体" w:eastAsia="宋体" w:cs="宋体"/>
        </w:rPr>
        <w:t>7.3</w:t>
      </w:r>
      <w:r>
        <w:rPr>
          <w:rFonts w:hint="eastAsia" w:ascii="宋体" w:hAnsi="宋体" w:eastAsia="宋体" w:cs="宋体"/>
          <w:szCs w:val="24"/>
        </w:rPr>
        <w:t>采购代理机构与采购人研究后，对认为有必要回答的问题，采购人或采购代理机构将答疑内容以网上发布公告的形式通知所有投标人，答疑内容是招标文件的组成部份。</w:t>
      </w:r>
    </w:p>
    <w:p w14:paraId="7493464D">
      <w:pPr>
        <w:pStyle w:val="25"/>
        <w:snapToGrid w:val="0"/>
        <w:spacing w:line="300" w:lineRule="auto"/>
        <w:ind w:left="1" w:firstLine="480" w:firstLineChars="200"/>
        <w:rPr>
          <w:rFonts w:hint="eastAsia" w:ascii="宋体" w:hAnsi="宋体" w:eastAsia="宋体" w:cs="宋体"/>
        </w:rPr>
      </w:pPr>
      <w:r>
        <w:rPr>
          <w:rFonts w:hint="eastAsia" w:ascii="宋体" w:hAnsi="宋体" w:eastAsia="宋体" w:cs="宋体"/>
        </w:rPr>
        <w:t>7.4投标人一旦参与本次招标活动，即被视为接受了本招标文件的所有内容，如有任何异议，均须在答疑截止时间前提出。</w:t>
      </w:r>
    </w:p>
    <w:p w14:paraId="7A067B18">
      <w:pPr>
        <w:pStyle w:val="3"/>
        <w:spacing w:beforeLines="50" w:afterLines="50" w:line="240" w:lineRule="exact"/>
        <w:jc w:val="center"/>
        <w:rPr>
          <w:rFonts w:hint="eastAsia" w:ascii="宋体" w:hAnsi="宋体" w:eastAsia="宋体" w:cs="宋体"/>
        </w:rPr>
      </w:pPr>
      <w:r>
        <w:rPr>
          <w:rFonts w:hint="eastAsia" w:ascii="宋体" w:hAnsi="宋体" w:eastAsia="宋体" w:cs="宋体"/>
        </w:rPr>
        <w:t>二、招标文件</w:t>
      </w:r>
      <w:bookmarkEnd w:id="3"/>
    </w:p>
    <w:p w14:paraId="28D91EEA">
      <w:pPr>
        <w:snapToGrid w:val="0"/>
        <w:spacing w:beforeLines="50" w:line="300" w:lineRule="auto"/>
        <w:ind w:firstLine="472" w:firstLineChars="196"/>
        <w:jc w:val="left"/>
        <w:rPr>
          <w:rFonts w:hint="eastAsia" w:ascii="宋体" w:hAnsi="宋体" w:eastAsia="宋体" w:cs="宋体"/>
          <w:b/>
          <w:sz w:val="24"/>
        </w:rPr>
      </w:pPr>
      <w:r>
        <w:rPr>
          <w:rFonts w:hint="eastAsia" w:ascii="宋体" w:hAnsi="宋体" w:eastAsia="宋体" w:cs="宋体"/>
          <w:b/>
          <w:sz w:val="24"/>
        </w:rPr>
        <w:t>8.招标文件的构成</w:t>
      </w:r>
    </w:p>
    <w:p w14:paraId="0038F14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本招标文件由以下部份组成：</w:t>
      </w:r>
    </w:p>
    <w:p w14:paraId="12AB12F6">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8.1招标公告；</w:t>
      </w:r>
    </w:p>
    <w:p w14:paraId="195263BD">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8.2投标须知；</w:t>
      </w:r>
    </w:p>
    <w:p w14:paraId="1ED3BCF8">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8.3评标办法</w:t>
      </w:r>
    </w:p>
    <w:p w14:paraId="36AA19F4">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8.4</w:t>
      </w:r>
      <w:r>
        <w:rPr>
          <w:rFonts w:hint="eastAsia" w:ascii="宋体" w:hAnsi="宋体" w:eastAsia="宋体" w:cs="宋体"/>
          <w:sz w:val="24"/>
          <w:lang w:eastAsia="zh-CN"/>
        </w:rPr>
        <w:t>采购需求</w:t>
      </w:r>
      <w:r>
        <w:rPr>
          <w:rFonts w:hint="eastAsia" w:ascii="宋体" w:hAnsi="宋体" w:eastAsia="宋体" w:cs="宋体"/>
          <w:sz w:val="24"/>
        </w:rPr>
        <w:t>；</w:t>
      </w:r>
    </w:p>
    <w:p w14:paraId="25ED8AE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8.5应提交的有关格式范例；</w:t>
      </w:r>
    </w:p>
    <w:p w14:paraId="7D42992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8.6本项目招标文件的澄清、答复、修改、补充的内容（如有）。</w:t>
      </w:r>
    </w:p>
    <w:p w14:paraId="16F60C44">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9.投标人的风险</w:t>
      </w:r>
    </w:p>
    <w:p w14:paraId="15036F0B">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9.1投标人应仔细阅读招标文件的所有内容，并按照招标文件的要求提交投标文件。投标人没有按照招标文件要求提供全部资料，或者投标人没有对招标文件在各方面作出实质性响应是投标人的风险，并可能导致其投标被拒绝。</w:t>
      </w:r>
    </w:p>
    <w:p w14:paraId="0FE7D6AD">
      <w:pPr>
        <w:snapToGrid w:val="0"/>
        <w:spacing w:line="300" w:lineRule="auto"/>
        <w:ind w:firstLine="480" w:firstLineChars="200"/>
        <w:jc w:val="left"/>
        <w:rPr>
          <w:rFonts w:hint="eastAsia" w:ascii="宋体" w:hAnsi="宋体" w:eastAsia="宋体" w:cs="宋体"/>
        </w:rPr>
      </w:pPr>
      <w:r>
        <w:rPr>
          <w:rFonts w:hint="eastAsia" w:ascii="宋体" w:hAnsi="宋体" w:eastAsia="宋体" w:cs="宋体"/>
          <w:sz w:val="24"/>
        </w:rPr>
        <w:t>9.2任何人或任何组织向投标人提交的任何书面或口头资料，未经采购代理机构在网上发布或书面通知，均作无效处理，不得作为招标文件的组成部分。投标人由此而做出的推论、理解和结论，全部责任均由投标人自行负责，采购代理机构概不负责。</w:t>
      </w:r>
    </w:p>
    <w:p w14:paraId="2242685E">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10.招标文件的澄清与修改</w:t>
      </w:r>
    </w:p>
    <w:p w14:paraId="221D2A76">
      <w:pPr>
        <w:pStyle w:val="25"/>
        <w:snapToGrid w:val="0"/>
        <w:spacing w:line="300" w:lineRule="auto"/>
        <w:ind w:firstLine="480" w:firstLineChars="200"/>
        <w:rPr>
          <w:rFonts w:hint="eastAsia" w:ascii="宋体" w:hAnsi="宋体" w:eastAsia="宋体" w:cs="宋体"/>
          <w:szCs w:val="24"/>
        </w:rPr>
      </w:pPr>
      <w:r>
        <w:rPr>
          <w:rFonts w:hint="eastAsia" w:ascii="宋体" w:hAnsi="宋体" w:eastAsia="宋体" w:cs="宋体"/>
        </w:rPr>
        <w:t>10.1</w:t>
      </w:r>
      <w:r>
        <w:rPr>
          <w:rFonts w:hint="eastAsia" w:ascii="宋体" w:hAnsi="宋体" w:eastAsia="宋体" w:cs="宋体"/>
          <w:bCs/>
        </w:rPr>
        <w:t>投标人应认真阅读本招标文件，发现其中有误或有不合理要求的，投标人必须按前附表规定的时间前以书面形式</w:t>
      </w:r>
      <w:r>
        <w:rPr>
          <w:rFonts w:hint="eastAsia" w:ascii="宋体" w:hAnsi="宋体" w:eastAsia="宋体" w:cs="宋体"/>
        </w:rPr>
        <w:t>(包括书面文字、传真等) 要求采购人或采购代理机构澄清。逾期提出的，采购人及采购代理机构将不予受理。</w:t>
      </w:r>
      <w:r>
        <w:rPr>
          <w:rFonts w:hint="eastAsia" w:ascii="宋体" w:hAnsi="宋体" w:eastAsia="宋体" w:cs="宋体"/>
          <w:szCs w:val="24"/>
        </w:rPr>
        <w:t>采购代理机构与采购人研究后，对认为有必要回答的问题，将答疑内容以网上发布公告的形式通知所有投标人，答疑内容是招标文件的组成部份。投标人可以通过诸暨市公共资源交易网自行下载，以确认已阅知该澄清或修改内容，否则，由此导致的风险由投标人自行承担，采购人及采购代理机构不承担任何责任。</w:t>
      </w:r>
    </w:p>
    <w:p w14:paraId="322E48B1">
      <w:pPr>
        <w:pStyle w:val="25"/>
        <w:snapToGrid w:val="0"/>
        <w:spacing w:line="300" w:lineRule="auto"/>
        <w:ind w:firstLine="480" w:firstLineChars="200"/>
        <w:rPr>
          <w:rFonts w:hint="eastAsia" w:ascii="宋体" w:hAnsi="宋体" w:eastAsia="宋体" w:cs="宋体"/>
        </w:rPr>
      </w:pPr>
      <w:r>
        <w:rPr>
          <w:rFonts w:hint="eastAsia" w:ascii="宋体" w:hAnsi="宋体" w:eastAsia="宋体" w:cs="宋体"/>
        </w:rPr>
        <w:t>10.2招标文件澄清、答复、修改、补充的内容为招标文件的组成部分。当招标文件与招标文件的答复、澄清、修改、补充公告就同一内容的表述不一致时，以最后发出的文件或公告或通知为准。</w:t>
      </w:r>
    </w:p>
    <w:p w14:paraId="37E532F3">
      <w:pPr>
        <w:pStyle w:val="25"/>
        <w:snapToGrid w:val="0"/>
        <w:spacing w:line="300" w:lineRule="auto"/>
        <w:ind w:firstLine="480" w:firstLineChars="200"/>
        <w:rPr>
          <w:rFonts w:hint="eastAsia" w:ascii="宋体" w:hAnsi="宋体" w:eastAsia="宋体" w:cs="宋体"/>
        </w:rPr>
      </w:pPr>
      <w:r>
        <w:rPr>
          <w:rFonts w:hint="eastAsia" w:ascii="宋体" w:hAnsi="宋体" w:eastAsia="宋体" w:cs="宋体"/>
        </w:rPr>
        <w:t>10.3在投标截止时间前，采购人有权修改招标文件，并以网站发布</w:t>
      </w:r>
      <w:r>
        <w:rPr>
          <w:rFonts w:hint="eastAsia" w:ascii="宋体" w:hAnsi="宋体" w:eastAsia="宋体" w:cs="宋体"/>
          <w:szCs w:val="24"/>
        </w:rPr>
        <w:t>补充（更正）</w:t>
      </w:r>
      <w:r>
        <w:rPr>
          <w:rFonts w:hint="eastAsia" w:ascii="宋体" w:hAnsi="宋体" w:eastAsia="宋体" w:cs="宋体"/>
        </w:rPr>
        <w:t>公告的形式通知所有投标人，通知中没有注明更改投标截止时间的视为截止时间不变。修改的内容作为招标文件的补充和组成部分，对所有投标人均有约束力。</w:t>
      </w:r>
    </w:p>
    <w:p w14:paraId="5FB67DD2">
      <w:pPr>
        <w:pStyle w:val="25"/>
        <w:snapToGrid w:val="0"/>
        <w:spacing w:line="300" w:lineRule="auto"/>
        <w:ind w:firstLine="480" w:firstLineChars="200"/>
        <w:rPr>
          <w:rFonts w:hint="eastAsia" w:ascii="宋体" w:hAnsi="宋体" w:eastAsia="宋体" w:cs="宋体"/>
        </w:rPr>
      </w:pPr>
      <w:r>
        <w:rPr>
          <w:rFonts w:hint="eastAsia" w:ascii="宋体" w:hAnsi="宋体" w:eastAsia="宋体" w:cs="宋体"/>
        </w:rPr>
        <w:t>10.4为使投标人在编制投标文件时，把补充公告内容进行研究，采购代理机构可以酌情推迟递交投标文件的截止时间。</w:t>
      </w:r>
    </w:p>
    <w:p w14:paraId="31A46FF0">
      <w:pPr>
        <w:rPr>
          <w:rFonts w:hint="eastAsia"/>
        </w:rPr>
      </w:pPr>
    </w:p>
    <w:p w14:paraId="729A0A7B">
      <w:pPr>
        <w:pStyle w:val="3"/>
        <w:spacing w:beforeLines="50" w:afterLines="50" w:line="240" w:lineRule="exact"/>
        <w:jc w:val="center"/>
        <w:rPr>
          <w:rFonts w:hint="eastAsia" w:ascii="宋体" w:hAnsi="宋体" w:eastAsia="宋体" w:cs="宋体"/>
        </w:rPr>
      </w:pPr>
      <w:bookmarkStart w:id="4" w:name="_Toc125344505"/>
      <w:r>
        <w:rPr>
          <w:rFonts w:hint="eastAsia" w:ascii="宋体" w:hAnsi="宋体" w:eastAsia="宋体" w:cs="宋体"/>
        </w:rPr>
        <w:t>三、投标文件编制</w:t>
      </w:r>
      <w:bookmarkEnd w:id="4"/>
      <w:r>
        <w:rPr>
          <w:rFonts w:hint="eastAsia" w:ascii="宋体" w:hAnsi="宋体" w:eastAsia="宋体" w:cs="宋体"/>
        </w:rPr>
        <w:t>和提交</w:t>
      </w:r>
    </w:p>
    <w:p w14:paraId="46AC6994">
      <w:pPr>
        <w:snapToGrid w:val="0"/>
        <w:spacing w:beforeLines="50" w:line="300" w:lineRule="auto"/>
        <w:ind w:firstLine="472" w:firstLineChars="196"/>
        <w:jc w:val="left"/>
        <w:outlineLvl w:val="0"/>
        <w:rPr>
          <w:rFonts w:hint="eastAsia" w:ascii="宋体" w:hAnsi="宋体" w:eastAsia="宋体" w:cs="宋体"/>
          <w:b/>
          <w:sz w:val="24"/>
        </w:rPr>
      </w:pPr>
      <w:r>
        <w:rPr>
          <w:rFonts w:hint="eastAsia" w:ascii="宋体" w:hAnsi="宋体" w:eastAsia="宋体" w:cs="宋体"/>
          <w:b/>
          <w:sz w:val="24"/>
        </w:rPr>
        <w:t>11.投标文件的组成</w:t>
      </w:r>
    </w:p>
    <w:p w14:paraId="2EF9E863">
      <w:pPr>
        <w:snapToGrid w:val="0"/>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投标文件的组成详见前附表。</w:t>
      </w:r>
    </w:p>
    <w:p w14:paraId="30C1B0A1">
      <w:pPr>
        <w:snapToGrid w:val="0"/>
        <w:spacing w:line="300" w:lineRule="auto"/>
        <w:ind w:firstLine="472" w:firstLineChars="196"/>
        <w:outlineLvl w:val="0"/>
        <w:rPr>
          <w:rFonts w:hint="eastAsia" w:ascii="宋体" w:hAnsi="宋体" w:eastAsia="宋体" w:cs="宋体"/>
          <w:b/>
          <w:sz w:val="24"/>
        </w:rPr>
      </w:pPr>
      <w:r>
        <w:rPr>
          <w:rFonts w:hint="eastAsia" w:ascii="宋体" w:hAnsi="宋体" w:eastAsia="宋体" w:cs="宋体"/>
          <w:b/>
          <w:sz w:val="24"/>
        </w:rPr>
        <w:t>12.投标文件的语言及计量</w:t>
      </w:r>
    </w:p>
    <w:p w14:paraId="17C3FFB3">
      <w:pPr>
        <w:pStyle w:val="25"/>
        <w:snapToGrid w:val="0"/>
        <w:spacing w:line="300" w:lineRule="auto"/>
        <w:ind w:firstLine="480" w:firstLineChars="200"/>
        <w:rPr>
          <w:rFonts w:hint="eastAsia" w:ascii="宋体" w:hAnsi="宋体" w:eastAsia="宋体" w:cs="宋体"/>
        </w:rPr>
      </w:pPr>
      <w:r>
        <w:rPr>
          <w:rFonts w:hint="eastAsia" w:ascii="宋体" w:hAnsi="宋体" w:eastAsia="宋体" w:cs="宋体"/>
        </w:rPr>
        <w:t>12.1投标文件以及投标人与采购人就有关投标事宜的所有来往函电，均应以中文汉语书写。除签名、盖章、专用名称等特殊情形外，以中文汉语以外的文字表述的投标文件视同未提供。</w:t>
      </w:r>
    </w:p>
    <w:p w14:paraId="3AB8FAFE">
      <w:pPr>
        <w:pStyle w:val="25"/>
        <w:snapToGrid w:val="0"/>
        <w:spacing w:line="300" w:lineRule="auto"/>
        <w:ind w:firstLine="480" w:firstLineChars="200"/>
        <w:rPr>
          <w:rFonts w:hint="eastAsia" w:ascii="宋体" w:hAnsi="宋体" w:eastAsia="宋体" w:cs="宋体"/>
        </w:rPr>
      </w:pPr>
      <w:r>
        <w:rPr>
          <w:rFonts w:hint="eastAsia" w:ascii="宋体" w:hAnsi="宋体" w:eastAsia="宋体" w:cs="宋体"/>
        </w:rPr>
        <w:t>12.2投标计量单位，招标文件已有明确规定的，使用招标文件规定的计量单位；招标文件没有规定的，应采用中华人民共和国法定计量单位（货币单位：人民币元），否则视同未响应。</w:t>
      </w:r>
    </w:p>
    <w:p w14:paraId="3E9225C8">
      <w:pPr>
        <w:numPr>
          <w:ilvl w:val="0"/>
          <w:numId w:val="11"/>
        </w:numPr>
        <w:snapToGrid w:val="0"/>
        <w:spacing w:line="300" w:lineRule="auto"/>
        <w:ind w:firstLine="472" w:firstLineChars="196"/>
        <w:jc w:val="left"/>
        <w:outlineLvl w:val="0"/>
        <w:rPr>
          <w:rFonts w:hint="eastAsia" w:ascii="宋体" w:hAnsi="宋体" w:eastAsia="宋体" w:cs="宋体"/>
          <w:b/>
          <w:color w:val="000000"/>
          <w:sz w:val="24"/>
          <w:szCs w:val="24"/>
        </w:rPr>
      </w:pPr>
      <w:r>
        <w:rPr>
          <w:rFonts w:hint="eastAsia" w:ascii="宋体" w:hAnsi="宋体" w:eastAsia="宋体" w:cs="宋体"/>
          <w:b/>
          <w:sz w:val="24"/>
        </w:rPr>
        <w:t>投</w:t>
      </w:r>
      <w:r>
        <w:rPr>
          <w:rFonts w:hint="eastAsia" w:ascii="宋体" w:hAnsi="宋体" w:eastAsia="宋体" w:cs="宋体"/>
          <w:b/>
          <w:sz w:val="24"/>
          <w:szCs w:val="24"/>
        </w:rPr>
        <w:t>标报价</w:t>
      </w:r>
      <w:r>
        <w:rPr>
          <w:rFonts w:hint="eastAsia" w:ascii="宋体" w:hAnsi="宋体" w:eastAsia="宋体" w:cs="宋体"/>
          <w:b/>
          <w:sz w:val="24"/>
          <w:szCs w:val="24"/>
          <w:lang w:eastAsia="zh-CN"/>
        </w:rPr>
        <w:t>：</w:t>
      </w:r>
    </w:p>
    <w:p w14:paraId="4ED434BD">
      <w:pPr>
        <w:pStyle w:val="25"/>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13.1投标报价应按招标文件中相关附表格式填写。</w:t>
      </w:r>
    </w:p>
    <w:p w14:paraId="17625426">
      <w:pPr>
        <w:pStyle w:val="25"/>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13.2投标报价应包括货款、标准附件、备品备件、专用工具、包装、运输、装卸、保险、税金、货到就位以及安装、调试、培训、保修等一切税金和费用。</w:t>
      </w:r>
    </w:p>
    <w:p w14:paraId="335CFF2B">
      <w:pPr>
        <w:pStyle w:val="25"/>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13.3投标文件只允许有一个报价，有选择的或有条件的报价将不予接受。</w:t>
      </w:r>
    </w:p>
    <w:p w14:paraId="15086B31">
      <w:pPr>
        <w:pStyle w:val="25"/>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13.4招标文件未列明，而投标人认为必需的费用也需列入报价。</w:t>
      </w:r>
    </w:p>
    <w:p w14:paraId="7C2A5CF2">
      <w:pPr>
        <w:pStyle w:val="25"/>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w:t>
      </w:r>
      <w:r>
        <w:rPr>
          <w:rFonts w:hint="eastAsia" w:ascii="宋体" w:hAnsi="宋体" w:eastAsia="宋体" w:cs="宋体"/>
          <w:b/>
          <w:color w:val="auto"/>
          <w:highlight w:val="none"/>
        </w:rPr>
        <w:t>投标人若有方案和报价未被唱标，应在开标时及时声明或提请采购代理机构宣读，否则是投标人自己的风险，采购代理机构对此不承担任何责任。</w:t>
      </w:r>
    </w:p>
    <w:p w14:paraId="7791AC7C">
      <w:pPr>
        <w:numPr>
          <w:ilvl w:val="0"/>
          <w:numId w:val="0"/>
        </w:numPr>
        <w:snapToGrid w:val="0"/>
        <w:spacing w:line="300" w:lineRule="auto"/>
        <w:jc w:val="left"/>
        <w:outlineLvl w:val="0"/>
        <w:rPr>
          <w:rFonts w:hint="eastAsia" w:ascii="宋体" w:hAnsi="宋体" w:eastAsia="宋体" w:cs="宋体"/>
          <w:b/>
          <w:color w:val="00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color w:val="000000"/>
          <w:sz w:val="24"/>
          <w:szCs w:val="24"/>
        </w:rPr>
        <w:t>14.投标文件的有效期</w:t>
      </w:r>
    </w:p>
    <w:p w14:paraId="32C039F7">
      <w:pPr>
        <w:pStyle w:val="25"/>
        <w:snapToGrid w:val="0"/>
        <w:spacing w:line="300" w:lineRule="auto"/>
        <w:ind w:firstLine="480" w:firstLineChars="200"/>
        <w:rPr>
          <w:rFonts w:hint="eastAsia" w:ascii="宋体" w:hAnsi="宋体" w:eastAsia="宋体" w:cs="宋体"/>
        </w:rPr>
      </w:pPr>
      <w:r>
        <w:rPr>
          <w:rFonts w:hint="eastAsia" w:ascii="宋体" w:hAnsi="宋体" w:eastAsia="宋体" w:cs="宋体"/>
          <w:sz w:val="24"/>
          <w:szCs w:val="24"/>
        </w:rPr>
        <w:t>14.1自投</w:t>
      </w:r>
      <w:r>
        <w:rPr>
          <w:rFonts w:hint="eastAsia" w:ascii="宋体" w:hAnsi="宋体" w:eastAsia="宋体" w:cs="宋体"/>
        </w:rPr>
        <w:t>标截止日起90天投标书应保持有效。如采购人认为必要，可延长投标有效期。有效期短于这个规定期限的投标将被拒绝。</w:t>
      </w:r>
    </w:p>
    <w:p w14:paraId="3B4AC6E5">
      <w:pPr>
        <w:pStyle w:val="25"/>
        <w:snapToGrid w:val="0"/>
        <w:spacing w:line="300" w:lineRule="auto"/>
        <w:ind w:firstLine="480" w:firstLineChars="200"/>
        <w:rPr>
          <w:rFonts w:hint="eastAsia" w:ascii="宋体" w:hAnsi="宋体" w:eastAsia="宋体" w:cs="宋体"/>
        </w:rPr>
      </w:pPr>
      <w:r>
        <w:rPr>
          <w:rFonts w:hint="eastAsia" w:ascii="宋体" w:hAnsi="宋体" w:eastAsia="宋体" w:cs="宋体"/>
        </w:rPr>
        <w:t>14.2在特殊情况下，采购人可与投标人协商延长投标书的有效期，这种要求和答复均以书面形式进行。</w:t>
      </w:r>
    </w:p>
    <w:p w14:paraId="4FA65769">
      <w:pPr>
        <w:pStyle w:val="25"/>
        <w:snapToGrid w:val="0"/>
        <w:spacing w:line="300" w:lineRule="auto"/>
        <w:ind w:firstLine="480" w:firstLineChars="200"/>
        <w:rPr>
          <w:rFonts w:hint="eastAsia" w:ascii="宋体" w:hAnsi="宋体" w:eastAsia="宋体" w:cs="宋体"/>
        </w:rPr>
      </w:pPr>
      <w:r>
        <w:rPr>
          <w:rFonts w:hint="eastAsia" w:ascii="宋体" w:hAnsi="宋体" w:eastAsia="宋体" w:cs="宋体"/>
        </w:rPr>
        <w:t>14.3投标人可拒绝接受延期要求而不会导致投标保证金被没收。同意延长有效期的投标人需要相应延长投标保证金的有效期，但不能修改投标文件。</w:t>
      </w:r>
    </w:p>
    <w:p w14:paraId="4C73517D">
      <w:pPr>
        <w:pStyle w:val="25"/>
        <w:snapToGrid w:val="0"/>
        <w:spacing w:line="300" w:lineRule="auto"/>
        <w:ind w:firstLine="480" w:firstLineChars="200"/>
        <w:rPr>
          <w:rFonts w:hint="eastAsia" w:ascii="宋体" w:hAnsi="宋体" w:eastAsia="宋体" w:cs="宋体"/>
        </w:rPr>
      </w:pPr>
      <w:r>
        <w:rPr>
          <w:rFonts w:hint="eastAsia" w:ascii="宋体" w:hAnsi="宋体" w:eastAsia="宋体" w:cs="宋体"/>
        </w:rPr>
        <w:t>14.4中标单位的投标文件自开标之日起至合同履行完毕止均应保持有效。</w:t>
      </w:r>
    </w:p>
    <w:p w14:paraId="55345A7A">
      <w:pPr>
        <w:keepNext w:val="0"/>
        <w:keepLines w:val="0"/>
        <w:pageBreakBefore w:val="0"/>
        <w:widowControl w:val="0"/>
        <w:kinsoku/>
        <w:wordWrap/>
        <w:overflowPunct/>
        <w:topLinePunct w:val="0"/>
        <w:bidi w:val="0"/>
        <w:snapToGrid/>
        <w:spacing w:line="288" w:lineRule="auto"/>
        <w:ind w:left="0" w:leftChars="0" w:firstLine="482" w:firstLineChars="200"/>
        <w:textAlignment w:val="auto"/>
        <w:rPr>
          <w:rFonts w:hint="eastAsia" w:ascii="宋体" w:hAnsi="宋体" w:eastAsia="宋体" w:cs="宋体"/>
          <w:b/>
          <w:sz w:val="24"/>
        </w:rPr>
      </w:pPr>
      <w:r>
        <w:rPr>
          <w:rFonts w:hint="eastAsia" w:ascii="宋体" w:hAnsi="宋体" w:eastAsia="宋体" w:cs="宋体"/>
          <w:b/>
          <w:sz w:val="24"/>
        </w:rPr>
        <w:t>15.投标保证金：</w:t>
      </w:r>
    </w:p>
    <w:p w14:paraId="6B6DD932">
      <w:pPr>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b/>
          <w:sz w:val="24"/>
        </w:rPr>
      </w:pPr>
      <w:r>
        <w:rPr>
          <w:rFonts w:hint="eastAsia" w:ascii="宋体" w:hAnsi="宋体" w:eastAsia="宋体" w:cs="宋体"/>
          <w:color w:val="auto"/>
          <w:sz w:val="24"/>
          <w:szCs w:val="24"/>
          <w:highlight w:val="none"/>
        </w:rPr>
        <w:t>15.1本项目免收投标保证金。</w:t>
      </w:r>
    </w:p>
    <w:p w14:paraId="30A92CD3">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szCs w:val="24"/>
        </w:rPr>
        <w:t>16.投标文件的签署和份数</w:t>
      </w:r>
    </w:p>
    <w:p w14:paraId="10728568">
      <w:pPr>
        <w:snapToGrid w:val="0"/>
        <w:spacing w:line="300" w:lineRule="auto"/>
        <w:ind w:firstLine="480" w:firstLineChars="200"/>
        <w:jc w:val="left"/>
        <w:rPr>
          <w:rFonts w:hint="eastAsia" w:ascii="宋体" w:hAnsi="宋体" w:eastAsia="宋体" w:cs="宋体"/>
          <w:b/>
          <w:color w:val="FF0000"/>
          <w:sz w:val="24"/>
          <w:szCs w:val="24"/>
        </w:rPr>
      </w:pPr>
      <w:r>
        <w:rPr>
          <w:rFonts w:hint="eastAsia" w:ascii="宋体" w:hAnsi="宋体" w:eastAsia="宋体" w:cs="宋体"/>
          <w:sz w:val="24"/>
          <w:szCs w:val="24"/>
        </w:rPr>
        <w:t>16.1投标人应按招标文件前附表规定的内容和份数编制投标文件。并在封面上标明“正本”和“副本”。投标文件“正本”和“副本”如有不一致之处，以“正本”为准。</w:t>
      </w:r>
      <w:r>
        <w:rPr>
          <w:rFonts w:hint="eastAsia" w:ascii="宋体" w:hAnsi="宋体" w:eastAsia="宋体" w:cs="宋体"/>
          <w:b/>
          <w:color w:val="auto"/>
          <w:sz w:val="24"/>
          <w:szCs w:val="24"/>
        </w:rPr>
        <w:t>当投标文件未注明“正本”和“副本”且出现不一致时，评标委员会可以认定投标人出现选择性投标而认定其为无效投标。</w:t>
      </w:r>
    </w:p>
    <w:p w14:paraId="5C3DEE47">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16.2投标人应按本招标文件规定的格式和顺序编制、装订投标文件并标注页码，投标文件内容不完整、编排混乱导致投标文件被误读、漏读或者查找不到相关内容的，是投标人的责任。</w:t>
      </w:r>
    </w:p>
    <w:p w14:paraId="1B4F265F">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16.3投标文件须由投标人在规定位置盖章并由法定代表人或法定代表授权人签署，投标人应写全称。</w:t>
      </w:r>
      <w:r>
        <w:rPr>
          <w:rFonts w:hint="eastAsia" w:ascii="宋体" w:hAnsi="宋体" w:eastAsia="宋体" w:cs="宋体"/>
          <w:b/>
          <w:sz w:val="24"/>
          <w:szCs w:val="24"/>
        </w:rPr>
        <w:t>投标文件中所涉及的公章必须是投标人全称的公章，不得使用投标专用章、合同章等类似图章代替。</w:t>
      </w:r>
    </w:p>
    <w:p w14:paraId="6FD85691">
      <w:pPr>
        <w:snapToGrid w:val="0"/>
        <w:spacing w:line="30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16.4投标文件不得涂改，若有修改错漏处，须加盖投标人公章或者法定代表人或授权委托人签字或盖章。投标文件因表达不清所引起的后果由投标人负责。</w:t>
      </w:r>
    </w:p>
    <w:p w14:paraId="63F8090B">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16.5投标人应使用招标文件中提供的文本格式，如表格不够用，可以按同样格式扩展。</w:t>
      </w:r>
    </w:p>
    <w:p w14:paraId="4E6F648D">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16.6投标文件必须统一用A4纸(除特殊项目外)，文件内容均要求打印（除注明要求签字或提供复印件外）。</w:t>
      </w:r>
    </w:p>
    <w:p w14:paraId="11E106B3">
      <w:pPr>
        <w:snapToGrid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16.7</w:t>
      </w:r>
      <w:r>
        <w:rPr>
          <w:rFonts w:hint="eastAsia" w:ascii="宋体" w:hAnsi="宋体" w:eastAsia="宋体" w:cs="宋体"/>
          <w:b/>
          <w:color w:val="auto"/>
          <w:sz w:val="24"/>
          <w:szCs w:val="24"/>
        </w:rPr>
        <w:t>投标人应认真阅读招标文件中所有的内容。如果投标人编制的投标文件实质上不响应招标文件的要求或开标一览表中报价进行手写的，其投标文件将作无效标处理。</w:t>
      </w:r>
    </w:p>
    <w:p w14:paraId="7EDA1486">
      <w:pPr>
        <w:snapToGrid w:val="0"/>
        <w:spacing w:line="300" w:lineRule="auto"/>
        <w:ind w:firstLine="472" w:firstLineChars="196"/>
        <w:jc w:val="left"/>
        <w:outlineLvl w:val="0"/>
        <w:rPr>
          <w:rFonts w:hint="eastAsia" w:ascii="宋体" w:hAnsi="宋体" w:eastAsia="宋体" w:cs="宋体"/>
          <w:b/>
          <w:color w:val="auto"/>
          <w:sz w:val="24"/>
          <w:szCs w:val="24"/>
        </w:rPr>
      </w:pPr>
      <w:r>
        <w:rPr>
          <w:rFonts w:hint="eastAsia" w:ascii="宋体" w:hAnsi="宋体" w:eastAsia="宋体" w:cs="宋体"/>
          <w:b/>
          <w:sz w:val="24"/>
        </w:rPr>
        <w:t>17.投标文件的包装、递交</w:t>
      </w:r>
      <w:r>
        <w:rPr>
          <w:rFonts w:hint="eastAsia" w:ascii="宋体" w:hAnsi="宋体" w:eastAsia="宋体" w:cs="宋体"/>
          <w:b/>
          <w:color w:val="auto"/>
          <w:sz w:val="24"/>
        </w:rPr>
        <w:t>、修改和撤回</w:t>
      </w:r>
    </w:p>
    <w:p w14:paraId="46B24022">
      <w:pPr>
        <w:pStyle w:val="8"/>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17.1</w:t>
      </w:r>
      <w:r>
        <w:rPr>
          <w:rFonts w:hint="eastAsia" w:ascii="宋体" w:hAnsi="宋体" w:eastAsia="宋体" w:cs="宋体"/>
          <w:b/>
          <w:bCs/>
          <w:color w:val="auto"/>
          <w:sz w:val="24"/>
          <w:szCs w:val="24"/>
          <w:u w:val="single"/>
        </w:rPr>
        <w:t>投标人应将投标文件的技术文件、商务文件分开包装密封</w:t>
      </w:r>
      <w:r>
        <w:rPr>
          <w:rFonts w:hint="eastAsia" w:ascii="宋体" w:hAnsi="宋体" w:eastAsia="宋体" w:cs="宋体"/>
          <w:color w:val="auto"/>
          <w:sz w:val="24"/>
          <w:szCs w:val="24"/>
        </w:rPr>
        <w:t>。同时在封面上注明投标项目名称、编号、投标人名</w:t>
      </w:r>
      <w:r>
        <w:rPr>
          <w:rFonts w:hint="eastAsia" w:ascii="宋体" w:hAnsi="宋体" w:eastAsia="宋体" w:cs="宋体"/>
          <w:sz w:val="24"/>
          <w:szCs w:val="24"/>
        </w:rPr>
        <w:t>称（写全称），并由投标人盖章及其法定代表人（或委托代理人）签字或盖章。</w:t>
      </w:r>
    </w:p>
    <w:p w14:paraId="09AC75EC">
      <w:pPr>
        <w:pStyle w:val="8"/>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17.2未按规定密封或标记的投标文件将有可能被拒绝，由此造成投标文件被误投或提前拆封的风险由投标人承担。</w:t>
      </w:r>
    </w:p>
    <w:p w14:paraId="5B2AC4E6">
      <w:pPr>
        <w:pStyle w:val="8"/>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投标人应按前附表规定的时间、地点将投标文件递交给采购代理机构，采购代理机构将拒绝接受逾期送达的投标文件。采购代理机构可以按本须知“招标文件的澄清与修改”规定，酌情推迟递交投标文件的截止时间。在上述情况下，采购代理机构与投标人以前在投标截止期方面的全部权利、责任和义务，将适用于延长至新的投标截止期。</w:t>
      </w:r>
    </w:p>
    <w:p w14:paraId="7093DF35">
      <w:pPr>
        <w:pStyle w:val="8"/>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17.4投标人在投标截止时间之前，可以对已提交的投标文件进行修改或撤回，并书面通知采购人或采购代理机构。修改后重新递交的投标文件应当按本招标文件的要求签署、盖章和密封。</w:t>
      </w:r>
    </w:p>
    <w:p w14:paraId="08686E6B">
      <w:pPr>
        <w:pStyle w:val="8"/>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17.5投标截止时间后，投标人不得撤回、修改投标文件，否则其投标保证金将不予退还。</w:t>
      </w:r>
    </w:p>
    <w:p w14:paraId="4ACB0EF3">
      <w:pPr>
        <w:pStyle w:val="8"/>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17.6不论投标人中标与否，投标文件均不退回。</w:t>
      </w:r>
    </w:p>
    <w:p w14:paraId="4E900676">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rPr>
        <w:t>18.投标无效的情形</w:t>
      </w:r>
    </w:p>
    <w:p w14:paraId="32240991">
      <w:pPr>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7695BC20">
      <w:pPr>
        <w:pStyle w:val="21"/>
        <w:snapToGrid w:val="0"/>
        <w:spacing w:after="0" w:line="300" w:lineRule="auto"/>
        <w:ind w:left="0" w:leftChars="0" w:firstLine="472" w:firstLineChars="196"/>
        <w:rPr>
          <w:rFonts w:hint="eastAsia" w:ascii="宋体" w:hAnsi="宋体" w:eastAsia="宋体" w:cs="宋体"/>
          <w:b/>
          <w:bCs/>
          <w:sz w:val="24"/>
          <w:szCs w:val="24"/>
        </w:rPr>
      </w:pPr>
      <w:r>
        <w:rPr>
          <w:rFonts w:hint="eastAsia" w:ascii="宋体" w:hAnsi="宋体" w:eastAsia="宋体" w:cs="宋体"/>
          <w:b/>
          <w:bCs/>
          <w:sz w:val="24"/>
          <w:szCs w:val="24"/>
        </w:rPr>
        <w:t>18.1在资格性审查和符合性审查时，如发现下列情形之一的，投标文件将被视为无效投标：</w:t>
      </w:r>
    </w:p>
    <w:p w14:paraId="1BB1A97A">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18.1.1资格证明文件不全的，或者不符合招标文件标明的资格要求的；</w:t>
      </w:r>
    </w:p>
    <w:p w14:paraId="08358A73">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18.1.2投标文件项目不齐全或者内容虚假的；</w:t>
      </w:r>
    </w:p>
    <w:p w14:paraId="53DE83A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18.1.3投标文件的实质性内容未使用中文表述、意思表述不明确、前后矛盾或者使用计量单位不符合招标文件要求的（经评标委员会认定并允许其当场更正的笔误除外）；</w:t>
      </w:r>
    </w:p>
    <w:p w14:paraId="31700E7D">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18.1.4投标有效期、交货时间、质保期、售后服务承诺等条款不能满足招标文件要求的；</w:t>
      </w:r>
    </w:p>
    <w:p w14:paraId="07B8E66E">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18.1.5未按照招标文件规定要求密封、装订、签署、盖章或投标文件正、副本份数不足的；</w:t>
      </w:r>
    </w:p>
    <w:p w14:paraId="0E06F308">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18.1.6应交未交投标保证金的；</w:t>
      </w:r>
    </w:p>
    <w:p w14:paraId="714FF61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18.1.7商务条款存在偏离情况的；</w:t>
      </w:r>
    </w:p>
    <w:p w14:paraId="271DED2E">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sz w:val="24"/>
          <w:szCs w:val="24"/>
        </w:rPr>
        <w:t>18.1.8不符合法律、法规或未实质性响应招标文件要求或者投标文件有招标方不能接受的附加条件的。</w:t>
      </w:r>
    </w:p>
    <w:p w14:paraId="03F85DF5">
      <w:pPr>
        <w:snapToGrid w:val="0"/>
        <w:spacing w:line="300" w:lineRule="auto"/>
        <w:ind w:firstLine="472" w:firstLineChars="196"/>
        <w:rPr>
          <w:rFonts w:hint="eastAsia"/>
          <w:b/>
          <w:bCs/>
          <w:color w:val="FF0000"/>
        </w:rPr>
      </w:pPr>
      <w:r>
        <w:rPr>
          <w:rFonts w:hint="eastAsia" w:ascii="宋体" w:hAnsi="宋体" w:eastAsia="宋体" w:cs="宋体"/>
          <w:b/>
          <w:bCs/>
          <w:color w:val="FF0000"/>
          <w:sz w:val="24"/>
          <w:szCs w:val="24"/>
        </w:rPr>
        <w:t>18.1.</w:t>
      </w:r>
      <w:r>
        <w:rPr>
          <w:rFonts w:hint="eastAsia" w:ascii="宋体" w:hAnsi="宋体" w:eastAsia="宋体" w:cs="宋体"/>
          <w:b/>
          <w:bCs/>
          <w:color w:val="FF0000"/>
          <w:sz w:val="24"/>
          <w:szCs w:val="24"/>
          <w:lang w:val="en-US" w:eastAsia="zh-CN"/>
        </w:rPr>
        <w:t>9</w:t>
      </w:r>
      <w:r>
        <w:rPr>
          <w:rFonts w:hint="eastAsia" w:ascii="宋体" w:hAnsi="宋体" w:cs="宋体"/>
          <w:b/>
          <w:bCs/>
          <w:color w:val="FF0000"/>
          <w:sz w:val="24"/>
          <w:szCs w:val="24"/>
          <w:lang w:val="en-US" w:eastAsia="zh-CN"/>
        </w:rPr>
        <w:t>技术</w:t>
      </w:r>
      <w:r>
        <w:rPr>
          <w:rFonts w:hint="eastAsia" w:ascii="宋体" w:hAnsi="宋体" w:eastAsia="宋体" w:cs="宋体"/>
          <w:b/>
          <w:bCs/>
          <w:color w:val="FF0000"/>
          <w:sz w:val="24"/>
          <w:szCs w:val="24"/>
          <w:lang w:val="en-US" w:eastAsia="zh-CN"/>
        </w:rPr>
        <w:t>文件超过</w:t>
      </w:r>
      <w:r>
        <w:rPr>
          <w:rFonts w:hint="eastAsia" w:ascii="宋体" w:hAnsi="宋体" w:cs="宋体"/>
          <w:b/>
          <w:bCs/>
          <w:color w:val="FF0000"/>
          <w:sz w:val="24"/>
          <w:szCs w:val="24"/>
          <w:lang w:val="en-US" w:eastAsia="zh-CN"/>
        </w:rPr>
        <w:t>2</w:t>
      </w:r>
      <w:r>
        <w:rPr>
          <w:rFonts w:hint="eastAsia" w:ascii="宋体" w:hAnsi="宋体" w:eastAsia="宋体" w:cs="宋体"/>
          <w:b/>
          <w:bCs/>
          <w:color w:val="FF0000"/>
          <w:sz w:val="24"/>
          <w:szCs w:val="24"/>
          <w:lang w:val="en-US" w:eastAsia="zh-CN"/>
        </w:rPr>
        <w:t>00页的，或者商务文件超过</w:t>
      </w:r>
      <w:r>
        <w:rPr>
          <w:rFonts w:hint="eastAsia" w:ascii="宋体" w:hAnsi="宋体" w:cs="宋体"/>
          <w:b/>
          <w:bCs/>
          <w:color w:val="FF0000"/>
          <w:sz w:val="24"/>
          <w:szCs w:val="24"/>
          <w:lang w:val="en-US" w:eastAsia="zh-CN"/>
        </w:rPr>
        <w:t>2</w:t>
      </w:r>
      <w:r>
        <w:rPr>
          <w:rFonts w:hint="eastAsia" w:ascii="宋体" w:hAnsi="宋体" w:eastAsia="宋体" w:cs="宋体"/>
          <w:b/>
          <w:bCs/>
          <w:color w:val="FF0000"/>
          <w:sz w:val="24"/>
          <w:szCs w:val="24"/>
          <w:lang w:val="en-US" w:eastAsia="zh-CN"/>
        </w:rPr>
        <w:t>00页的。</w:t>
      </w:r>
    </w:p>
    <w:p w14:paraId="5B12D46A">
      <w:pPr>
        <w:pStyle w:val="21"/>
        <w:snapToGrid w:val="0"/>
        <w:spacing w:after="0" w:line="300"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18.2 在</w:t>
      </w:r>
      <w:r>
        <w:rPr>
          <w:rFonts w:hint="eastAsia" w:ascii="宋体" w:hAnsi="宋体" w:cs="宋体"/>
          <w:b/>
          <w:bCs/>
          <w:sz w:val="24"/>
          <w:szCs w:val="24"/>
          <w:lang w:val="en-US" w:eastAsia="zh-CN"/>
        </w:rPr>
        <w:t>商务</w:t>
      </w:r>
      <w:r>
        <w:rPr>
          <w:rFonts w:hint="eastAsia" w:ascii="宋体" w:hAnsi="宋体" w:eastAsia="宋体" w:cs="宋体"/>
          <w:b/>
          <w:bCs/>
          <w:sz w:val="24"/>
          <w:szCs w:val="24"/>
        </w:rPr>
        <w:t>技术评审时，如发现下列情形之一的，投标文件将被视为无效：</w:t>
      </w:r>
    </w:p>
    <w:p w14:paraId="2AED8CF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18.2.1未提供或未如实提供投标货物的技术参数，或者投标文件标明的响应或偏离与事实不符或虚假投标的；</w:t>
      </w:r>
    </w:p>
    <w:p w14:paraId="6CB790EB">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color w:val="auto"/>
          <w:sz w:val="24"/>
          <w:szCs w:val="24"/>
        </w:rPr>
        <w:t>18.2.2明显不符合招标文件要求的规格型号、质量标准，或者与招标文件中标“★”的技术</w:t>
      </w:r>
      <w:r>
        <w:rPr>
          <w:rFonts w:hint="eastAsia" w:ascii="宋体" w:hAnsi="宋体" w:eastAsia="宋体" w:cs="宋体"/>
          <w:sz w:val="24"/>
          <w:szCs w:val="24"/>
        </w:rPr>
        <w:t>指标、主要功能项目发生实质性偏离的；</w:t>
      </w:r>
    </w:p>
    <w:p w14:paraId="318C4C9F">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18.2.3允许偏离的技术、性能指标或者辅助功能项目发生负偏离达20项（含）以上的；</w:t>
      </w:r>
    </w:p>
    <w:p w14:paraId="71ACDE01">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18.2.4投标技术方案不明确，存在一个或一个以上备选（替代）投标方案的；</w:t>
      </w:r>
    </w:p>
    <w:p w14:paraId="59F089D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18.2.5发现有二份及二份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工作继续评标。</w:t>
      </w:r>
    </w:p>
    <w:p w14:paraId="588667C0">
      <w:pPr>
        <w:snapToGrid w:val="0"/>
        <w:spacing w:line="300" w:lineRule="auto"/>
        <w:ind w:firstLine="472" w:firstLineChars="196"/>
        <w:rPr>
          <w:rFonts w:hint="eastAsia" w:ascii="宋体" w:hAnsi="宋体" w:eastAsia="宋体" w:cs="宋体"/>
          <w:color w:val="auto"/>
          <w:sz w:val="24"/>
        </w:rPr>
      </w:pPr>
      <w:r>
        <w:rPr>
          <w:rFonts w:hint="eastAsia" w:ascii="宋体" w:hAnsi="宋体" w:eastAsia="宋体" w:cs="宋体"/>
          <w:b/>
          <w:sz w:val="24"/>
          <w:szCs w:val="24"/>
        </w:rPr>
        <w:t>18.</w:t>
      </w:r>
      <w:r>
        <w:rPr>
          <w:rFonts w:hint="eastAsia" w:ascii="宋体" w:hAnsi="宋体" w:cs="宋体"/>
          <w:b/>
          <w:sz w:val="24"/>
          <w:szCs w:val="24"/>
          <w:lang w:val="en-US" w:eastAsia="zh-CN"/>
        </w:rPr>
        <w:t>3</w:t>
      </w:r>
      <w:r>
        <w:rPr>
          <w:rFonts w:hint="eastAsia" w:ascii="宋体" w:hAnsi="宋体" w:eastAsia="宋体" w:cs="宋体"/>
          <w:b/>
          <w:color w:val="auto"/>
          <w:sz w:val="24"/>
          <w:szCs w:val="24"/>
        </w:rPr>
        <w:t xml:space="preserve"> 有下列情形之一的，视为投标人串通投标，其投标无效</w:t>
      </w:r>
      <w:r>
        <w:rPr>
          <w:rFonts w:hint="eastAsia" w:ascii="宋体" w:hAnsi="宋体" w:eastAsia="宋体" w:cs="宋体"/>
          <w:b/>
          <w:color w:val="auto"/>
          <w:sz w:val="24"/>
        </w:rPr>
        <w:t>，</w:t>
      </w:r>
      <w:r>
        <w:rPr>
          <w:rFonts w:hint="eastAsia" w:ascii="宋体" w:hAnsi="宋体" w:eastAsia="宋体" w:cs="宋体"/>
          <w:color w:val="auto"/>
          <w:sz w:val="24"/>
          <w:szCs w:val="24"/>
        </w:rPr>
        <w:t>除有关方投标保证金不予退还外，</w:t>
      </w:r>
      <w:r>
        <w:rPr>
          <w:rFonts w:hint="eastAsia" w:ascii="宋体" w:hAnsi="宋体" w:eastAsia="宋体" w:cs="宋体"/>
          <w:sz w:val="24"/>
          <w:szCs w:val="24"/>
        </w:rPr>
        <w:t>情节严重的还将移送有关部门依法处理</w:t>
      </w:r>
      <w:r>
        <w:rPr>
          <w:rFonts w:hint="eastAsia" w:ascii="宋体" w:hAnsi="宋体" w:eastAsia="宋体" w:cs="宋体"/>
          <w:b/>
          <w:color w:val="auto"/>
          <w:sz w:val="24"/>
        </w:rPr>
        <w:t>：</w:t>
      </w:r>
    </w:p>
    <w:p w14:paraId="0959A8E8">
      <w:pPr>
        <w:spacing w:line="300" w:lineRule="auto"/>
        <w:ind w:firstLine="477" w:firstLineChars="19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.1不同投标人的投标文件由同一单位或者个人编制的； </w:t>
      </w:r>
    </w:p>
    <w:p w14:paraId="475FEB64">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.2不同投标人委托同一单位或者个人办理投标事宜的；</w:t>
      </w:r>
    </w:p>
    <w:p w14:paraId="5D3504A3">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.3不同投标人的投标文件中的内容出现异常一致，或者报价细目呈明显规律性变化，或在完全可比的情况下投标总报价均高于市场平均价的； </w:t>
      </w:r>
    </w:p>
    <w:p w14:paraId="764F1877">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.4不同投标人的投标文件载明的项目管理成员或实施人员或者联系人员出现同一单位的工作人员或同一人的；</w:t>
      </w:r>
    </w:p>
    <w:p w14:paraId="7121AD7B">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.5不同投标人的授权代表为同一单位的工作人员或同一人的； </w:t>
      </w:r>
    </w:p>
    <w:p w14:paraId="318B8D05">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.6不同投标人的投标文件相互混装，或在一个投标人的投标文件内遗留有其他投标人的签名、盖章等不属于本投标人参加本次采购必需的信息资料的； </w:t>
      </w:r>
    </w:p>
    <w:p w14:paraId="592DFD4A">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.7不同投标人的投标保证金从同一单位或者个人的账户转出的；</w:t>
      </w:r>
    </w:p>
    <w:p w14:paraId="1CD7F819">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.8投标文件递交截止时间后，采购人或采购代理机构协助投标人撤换或更改投标文件的； </w:t>
      </w:r>
    </w:p>
    <w:p w14:paraId="0435DCBD">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.9不同投标人之间事先达成书面或口头协议，指定一家投标人中标或轮流中标的；</w:t>
      </w:r>
    </w:p>
    <w:p w14:paraId="7ED3C0B0">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.10不同投标人之间商定部分投标人放弃参加采购活动或者放弃中标、成交的；</w:t>
      </w:r>
    </w:p>
    <w:p w14:paraId="6C3A9619">
      <w:pPr>
        <w:snapToGrid w:val="0"/>
        <w:spacing w:line="30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.11相关法律法规及其它文件规定的串通行为。</w:t>
      </w:r>
    </w:p>
    <w:p w14:paraId="387E25CB">
      <w:pPr>
        <w:pStyle w:val="21"/>
        <w:snapToGrid w:val="0"/>
        <w:spacing w:after="0" w:line="300" w:lineRule="auto"/>
        <w:rPr>
          <w:rFonts w:hint="eastAsia" w:ascii="宋体" w:hAnsi="宋体" w:eastAsia="宋体" w:cs="宋体"/>
          <w:b/>
          <w:bCs/>
          <w:sz w:val="24"/>
          <w:szCs w:val="24"/>
        </w:rPr>
      </w:pPr>
      <w:r>
        <w:rPr>
          <w:rFonts w:hint="eastAsia" w:ascii="宋体" w:hAnsi="宋体" w:eastAsia="宋体" w:cs="宋体"/>
          <w:b/>
          <w:bCs/>
          <w:sz w:val="24"/>
          <w:szCs w:val="24"/>
        </w:rPr>
        <w:t>18.</w:t>
      </w:r>
      <w:r>
        <w:rPr>
          <w:rFonts w:hint="eastAsia" w:ascii="宋体" w:hAnsi="宋体" w:cs="宋体"/>
          <w:b/>
          <w:bCs/>
          <w:sz w:val="24"/>
          <w:szCs w:val="24"/>
          <w:lang w:val="en-US" w:eastAsia="zh-CN"/>
        </w:rPr>
        <w:t>4</w:t>
      </w:r>
      <w:r>
        <w:rPr>
          <w:rFonts w:hint="eastAsia" w:ascii="宋体" w:hAnsi="宋体" w:eastAsia="宋体" w:cs="宋体"/>
          <w:b/>
          <w:bCs/>
          <w:sz w:val="24"/>
          <w:szCs w:val="24"/>
        </w:rPr>
        <w:t xml:space="preserve"> 符合招标文件明确规定的其他无效投标条款的。</w:t>
      </w:r>
    </w:p>
    <w:p w14:paraId="77E081EE">
      <w:pPr>
        <w:pStyle w:val="3"/>
        <w:keepNext/>
        <w:keepLines/>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宋体" w:hAnsi="宋体" w:eastAsia="宋体" w:cs="宋体"/>
        </w:rPr>
      </w:pPr>
      <w:bookmarkStart w:id="5" w:name="_Toc125344507"/>
      <w:r>
        <w:rPr>
          <w:rFonts w:hint="eastAsia" w:ascii="宋体" w:hAnsi="宋体" w:eastAsia="宋体" w:cs="宋体"/>
        </w:rPr>
        <w:t>四、开  标</w:t>
      </w:r>
      <w:bookmarkEnd w:id="5"/>
    </w:p>
    <w:p w14:paraId="1735ABC7">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bCs/>
          <w:sz w:val="24"/>
        </w:rPr>
        <w:t>19.</w:t>
      </w:r>
      <w:r>
        <w:rPr>
          <w:rFonts w:hint="eastAsia" w:ascii="宋体" w:hAnsi="宋体" w:eastAsia="宋体" w:cs="宋体"/>
          <w:b/>
          <w:sz w:val="24"/>
        </w:rPr>
        <w:t>开标准备</w:t>
      </w:r>
    </w:p>
    <w:p w14:paraId="2BB906C8">
      <w:pPr>
        <w:spacing w:line="300" w:lineRule="auto"/>
        <w:ind w:firstLine="480" w:firstLineChars="200"/>
        <w:rPr>
          <w:rFonts w:hint="eastAsia" w:ascii="宋体" w:hAnsi="宋体" w:eastAsia="宋体" w:cs="宋体"/>
          <w:sz w:val="24"/>
        </w:rPr>
      </w:pPr>
      <w:r>
        <w:rPr>
          <w:rFonts w:hint="eastAsia" w:ascii="宋体" w:hAnsi="宋体" w:eastAsia="宋体" w:cs="宋体"/>
          <w:sz w:val="24"/>
        </w:rPr>
        <w:t>19.1采购代理机构将在前附表规定的时间、地点进行开标。</w:t>
      </w:r>
    </w:p>
    <w:p w14:paraId="09E42815">
      <w:pPr>
        <w:spacing w:line="300" w:lineRule="auto"/>
        <w:ind w:firstLine="480" w:firstLineChars="200"/>
        <w:rPr>
          <w:rFonts w:hint="eastAsia" w:ascii="宋体" w:hAnsi="宋体" w:eastAsia="宋体" w:cs="宋体"/>
          <w:sz w:val="24"/>
        </w:rPr>
      </w:pPr>
      <w:r>
        <w:rPr>
          <w:rFonts w:hint="eastAsia" w:ascii="宋体" w:hAnsi="宋体" w:eastAsia="宋体" w:cs="宋体"/>
          <w:sz w:val="24"/>
        </w:rPr>
        <w:t>19.2</w:t>
      </w:r>
      <w:r>
        <w:rPr>
          <w:rFonts w:hint="eastAsia" w:ascii="宋体" w:hAnsi="宋体" w:eastAsia="宋体" w:cs="宋体"/>
          <w:color w:val="auto"/>
          <w:sz w:val="24"/>
        </w:rPr>
        <w:t>投标人逾期提交（邮寄）投标文件的，</w:t>
      </w:r>
      <w:r>
        <w:rPr>
          <w:rFonts w:hint="eastAsia" w:ascii="宋体" w:hAnsi="宋体" w:eastAsia="宋体" w:cs="宋体"/>
          <w:sz w:val="24"/>
        </w:rPr>
        <w:t>事后不得对采购相关人员、开标过程和开标结果提出异议。</w:t>
      </w:r>
    </w:p>
    <w:p w14:paraId="02554836">
      <w:pPr>
        <w:spacing w:line="300" w:lineRule="auto"/>
        <w:ind w:firstLine="480" w:firstLineChars="200"/>
        <w:rPr>
          <w:rFonts w:hint="eastAsia" w:ascii="宋体" w:hAnsi="宋体" w:eastAsia="宋体" w:cs="宋体"/>
          <w:sz w:val="24"/>
        </w:rPr>
      </w:pPr>
      <w:r>
        <w:rPr>
          <w:rFonts w:hint="eastAsia" w:ascii="宋体" w:hAnsi="宋体" w:eastAsia="宋体" w:cs="宋体"/>
          <w:sz w:val="24"/>
        </w:rPr>
        <w:t>19.3开标会可以在采购单位代表现场监督下由</w:t>
      </w:r>
      <w:r>
        <w:rPr>
          <w:rFonts w:hint="eastAsia" w:ascii="宋体" w:hAnsi="宋体" w:eastAsia="宋体" w:cs="宋体"/>
          <w:sz w:val="24"/>
          <w:lang w:eastAsia="zh-CN"/>
        </w:rPr>
        <w:t>诸暨市</w:t>
      </w:r>
      <w:r>
        <w:rPr>
          <w:rFonts w:hint="eastAsia" w:ascii="宋体" w:hAnsi="宋体" w:eastAsia="宋体" w:cs="宋体"/>
          <w:sz w:val="24"/>
          <w:lang w:val="en-US" w:eastAsia="zh-CN"/>
        </w:rPr>
        <w:t>教育体育局项目交易办公室</w:t>
      </w:r>
      <w:r>
        <w:rPr>
          <w:rFonts w:hint="eastAsia" w:ascii="宋体" w:hAnsi="宋体" w:eastAsia="宋体" w:cs="宋体"/>
          <w:sz w:val="24"/>
        </w:rPr>
        <w:t>工作人员进行主持。</w:t>
      </w:r>
    </w:p>
    <w:p w14:paraId="38610FD4">
      <w:pPr>
        <w:spacing w:line="300" w:lineRule="auto"/>
        <w:ind w:firstLine="480" w:firstLineChars="200"/>
        <w:rPr>
          <w:rFonts w:hint="eastAsia" w:ascii="宋体" w:hAnsi="宋体" w:eastAsia="宋体" w:cs="宋体"/>
          <w:sz w:val="24"/>
        </w:rPr>
      </w:pPr>
      <w:r>
        <w:rPr>
          <w:rFonts w:hint="eastAsia" w:ascii="宋体" w:hAnsi="宋体" w:eastAsia="宋体" w:cs="宋体"/>
          <w:sz w:val="24"/>
        </w:rPr>
        <w:t>19.4本项目开标采用启封、评审投标文件的方式进行。</w:t>
      </w:r>
    </w:p>
    <w:p w14:paraId="4E91B8F8">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20.开标程序</w:t>
      </w:r>
    </w:p>
    <w:p w14:paraId="1EBCCE20">
      <w:pPr>
        <w:spacing w:line="300" w:lineRule="auto"/>
        <w:ind w:firstLine="480" w:firstLineChars="200"/>
        <w:rPr>
          <w:rFonts w:hint="eastAsia" w:ascii="宋体" w:hAnsi="宋体" w:eastAsia="宋体" w:cs="宋体"/>
          <w:sz w:val="24"/>
        </w:rPr>
      </w:pPr>
      <w:bookmarkStart w:id="6" w:name="_Toc125344508"/>
      <w:r>
        <w:rPr>
          <w:rFonts w:hint="eastAsia" w:ascii="宋体" w:hAnsi="宋体" w:eastAsia="宋体" w:cs="宋体"/>
          <w:sz w:val="24"/>
        </w:rPr>
        <w:t>20.1主持人宣布开标大会开始。</w:t>
      </w:r>
    </w:p>
    <w:p w14:paraId="7EA9FC61">
      <w:pPr>
        <w:spacing w:line="300" w:lineRule="auto"/>
        <w:ind w:firstLine="480" w:firstLineChars="200"/>
        <w:rPr>
          <w:rFonts w:hint="eastAsia" w:ascii="宋体" w:hAnsi="宋体" w:eastAsia="宋体" w:cs="宋体"/>
          <w:sz w:val="24"/>
        </w:rPr>
      </w:pPr>
      <w:r>
        <w:rPr>
          <w:rFonts w:hint="eastAsia" w:ascii="宋体" w:hAnsi="宋体" w:eastAsia="宋体" w:cs="宋体"/>
          <w:sz w:val="24"/>
        </w:rPr>
        <w:t>20.2主持人清点投标文件，宣读参与本项目投标的供应商名称。</w:t>
      </w:r>
    </w:p>
    <w:p w14:paraId="0AB6C8AE">
      <w:pPr>
        <w:spacing w:line="300" w:lineRule="auto"/>
        <w:ind w:firstLine="480" w:firstLineChars="200"/>
        <w:rPr>
          <w:rFonts w:hint="eastAsia" w:ascii="宋体" w:hAnsi="宋体" w:eastAsia="宋体" w:cs="宋体"/>
          <w:sz w:val="24"/>
        </w:rPr>
      </w:pPr>
      <w:r>
        <w:rPr>
          <w:rFonts w:hint="eastAsia" w:ascii="宋体" w:hAnsi="宋体" w:eastAsia="宋体" w:cs="宋体"/>
          <w:sz w:val="24"/>
        </w:rPr>
        <w:t>20.3主持人检查投标文件密封的完整性并签字确认。</w:t>
      </w:r>
    </w:p>
    <w:p w14:paraId="264B23D6">
      <w:pPr>
        <w:spacing w:line="300" w:lineRule="auto"/>
        <w:ind w:firstLine="480" w:firstLineChars="200"/>
        <w:rPr>
          <w:rFonts w:hint="eastAsia" w:ascii="宋体" w:hAnsi="宋体" w:eastAsia="宋体" w:cs="宋体"/>
          <w:sz w:val="24"/>
        </w:rPr>
      </w:pPr>
      <w:r>
        <w:rPr>
          <w:rFonts w:hint="eastAsia" w:ascii="宋体" w:hAnsi="宋体" w:eastAsia="宋体" w:cs="宋体"/>
          <w:sz w:val="24"/>
        </w:rPr>
        <w:t>20.4主持人统一启封技术文件，将密封的</w:t>
      </w:r>
      <w:r>
        <w:rPr>
          <w:rFonts w:hint="eastAsia" w:ascii="宋体" w:hAnsi="宋体" w:cs="宋体"/>
          <w:sz w:val="24"/>
          <w:lang w:val="en-US" w:eastAsia="zh-CN"/>
        </w:rPr>
        <w:t>商务</w:t>
      </w:r>
      <w:r>
        <w:rPr>
          <w:rFonts w:hint="eastAsia" w:ascii="宋体" w:hAnsi="宋体" w:eastAsia="宋体" w:cs="宋体"/>
          <w:sz w:val="24"/>
        </w:rPr>
        <w:t>文件现场集中封存保管等候启封。</w:t>
      </w:r>
    </w:p>
    <w:p w14:paraId="6679E06D">
      <w:pPr>
        <w:spacing w:line="300" w:lineRule="auto"/>
        <w:ind w:firstLine="480" w:firstLineChars="200"/>
        <w:rPr>
          <w:rFonts w:hint="eastAsia" w:ascii="宋体" w:hAnsi="宋体" w:eastAsia="宋体" w:cs="宋体"/>
          <w:sz w:val="24"/>
        </w:rPr>
      </w:pPr>
      <w:r>
        <w:rPr>
          <w:rFonts w:hint="eastAsia" w:ascii="宋体" w:hAnsi="宋体" w:eastAsia="宋体" w:cs="宋体"/>
          <w:sz w:val="24"/>
        </w:rPr>
        <w:t>20.5工作人员将技术文件等资料送达评标室，交评标委员会评审。</w:t>
      </w:r>
    </w:p>
    <w:p w14:paraId="626347A4">
      <w:pPr>
        <w:spacing w:line="300" w:lineRule="auto"/>
        <w:ind w:firstLine="480" w:firstLineChars="200"/>
        <w:rPr>
          <w:rFonts w:hint="eastAsia" w:ascii="仿宋" w:hAnsi="仿宋" w:eastAsia="仿宋" w:cs="仿宋"/>
          <w:color w:val="auto"/>
          <w:sz w:val="24"/>
        </w:rPr>
      </w:pPr>
      <w:r>
        <w:rPr>
          <w:rFonts w:hint="eastAsia" w:ascii="宋体" w:hAnsi="宋体" w:eastAsia="宋体" w:cs="宋体"/>
          <w:sz w:val="24"/>
        </w:rPr>
        <w:t>20.6技术标评审结束后，由主持人当场宣读有效投标人的技术评审结果（由于本项目采用不见面开标方式，因此主持人将通过电子邮箱发送或电话告知评审无效投标人名称及理由）。</w:t>
      </w:r>
    </w:p>
    <w:p w14:paraId="4EC16F7F">
      <w:pPr>
        <w:spacing w:line="300" w:lineRule="auto"/>
        <w:ind w:firstLine="480" w:firstLineChars="200"/>
        <w:rPr>
          <w:rFonts w:hint="eastAsia" w:ascii="宋体" w:hAnsi="宋体" w:eastAsia="宋体" w:cs="宋体"/>
          <w:sz w:val="24"/>
        </w:rPr>
      </w:pPr>
      <w:r>
        <w:rPr>
          <w:rFonts w:hint="eastAsia" w:ascii="宋体" w:hAnsi="宋体" w:eastAsia="宋体" w:cs="宋体"/>
          <w:sz w:val="24"/>
        </w:rPr>
        <w:t>20.7主持人统一启封</w:t>
      </w:r>
      <w:r>
        <w:rPr>
          <w:rFonts w:hint="eastAsia" w:ascii="宋体" w:hAnsi="宋体" w:cs="宋体"/>
          <w:sz w:val="24"/>
          <w:lang w:val="en-US" w:eastAsia="zh-CN"/>
        </w:rPr>
        <w:t>商务</w:t>
      </w:r>
      <w:r>
        <w:rPr>
          <w:rFonts w:hint="eastAsia" w:ascii="宋体" w:hAnsi="宋体" w:eastAsia="宋体" w:cs="宋体"/>
          <w:sz w:val="24"/>
        </w:rPr>
        <w:t>文件，同时当场宣读开标一览表中的投标报价。</w:t>
      </w:r>
    </w:p>
    <w:p w14:paraId="308687D5">
      <w:pPr>
        <w:spacing w:line="300" w:lineRule="auto"/>
        <w:ind w:firstLine="480" w:firstLineChars="200"/>
        <w:rPr>
          <w:rFonts w:hint="eastAsia" w:ascii="宋体" w:hAnsi="宋体" w:eastAsia="宋体" w:cs="宋体"/>
          <w:sz w:val="24"/>
        </w:rPr>
      </w:pPr>
      <w:r>
        <w:rPr>
          <w:rFonts w:hint="eastAsia" w:ascii="宋体" w:hAnsi="宋体" w:eastAsia="宋体" w:cs="宋体"/>
          <w:sz w:val="24"/>
        </w:rPr>
        <w:t>20.8工作人员将</w:t>
      </w:r>
      <w:r>
        <w:rPr>
          <w:rFonts w:hint="eastAsia" w:ascii="宋体" w:hAnsi="宋体" w:cs="宋体"/>
          <w:sz w:val="24"/>
          <w:lang w:val="en-US" w:eastAsia="zh-CN"/>
        </w:rPr>
        <w:t>商务</w:t>
      </w:r>
      <w:r>
        <w:rPr>
          <w:rFonts w:hint="eastAsia" w:ascii="宋体" w:hAnsi="宋体" w:eastAsia="宋体" w:cs="宋体"/>
          <w:sz w:val="24"/>
        </w:rPr>
        <w:t>文件等资料送达评标室，评标委员会对入围单位进行投标报价评审。</w:t>
      </w:r>
    </w:p>
    <w:p w14:paraId="2E064FA1">
      <w:pPr>
        <w:spacing w:line="300" w:lineRule="auto"/>
        <w:ind w:firstLine="480" w:firstLineChars="200"/>
        <w:rPr>
          <w:rFonts w:hint="eastAsia" w:ascii="宋体" w:hAnsi="宋体" w:eastAsia="宋体" w:cs="宋体"/>
          <w:sz w:val="24"/>
        </w:rPr>
      </w:pPr>
      <w:r>
        <w:rPr>
          <w:rFonts w:hint="eastAsia" w:ascii="宋体" w:hAnsi="宋体" w:eastAsia="宋体" w:cs="宋体"/>
          <w:sz w:val="24"/>
        </w:rPr>
        <w:t>20.9评标委员会汇总商务分</w:t>
      </w:r>
      <w:r>
        <w:rPr>
          <w:rFonts w:hint="eastAsia" w:ascii="宋体" w:hAnsi="宋体" w:cs="宋体"/>
          <w:sz w:val="24"/>
          <w:lang w:eastAsia="zh-CN"/>
        </w:rPr>
        <w:t>、</w:t>
      </w:r>
      <w:r>
        <w:rPr>
          <w:rFonts w:hint="eastAsia" w:ascii="宋体" w:hAnsi="宋体" w:eastAsia="宋体" w:cs="宋体"/>
          <w:sz w:val="24"/>
        </w:rPr>
        <w:t>技术分，根据得分排序确定中标候选人。</w:t>
      </w:r>
    </w:p>
    <w:p w14:paraId="32C92409">
      <w:pPr>
        <w:spacing w:line="300" w:lineRule="auto"/>
        <w:ind w:firstLine="480" w:firstLineChars="200"/>
        <w:rPr>
          <w:rFonts w:hint="eastAsia" w:ascii="宋体" w:hAnsi="宋体" w:eastAsia="宋体" w:cs="宋体"/>
          <w:sz w:val="24"/>
        </w:rPr>
      </w:pPr>
      <w:r>
        <w:rPr>
          <w:rFonts w:hint="eastAsia" w:ascii="宋体" w:hAnsi="宋体" w:eastAsia="宋体" w:cs="宋体"/>
          <w:sz w:val="24"/>
        </w:rPr>
        <w:t>20.10主持人向投标单位公布评标结果（由于本项目采用不见面开标方式，预中标结果将及时在网上发布）。</w:t>
      </w:r>
    </w:p>
    <w:p w14:paraId="194F2CCD">
      <w:pPr>
        <w:spacing w:line="300" w:lineRule="auto"/>
        <w:ind w:firstLine="480" w:firstLineChars="200"/>
        <w:rPr>
          <w:rFonts w:hint="eastAsia" w:ascii="仿宋" w:hAnsi="仿宋" w:eastAsia="仿宋" w:cs="仿宋"/>
          <w:color w:val="auto"/>
          <w:sz w:val="24"/>
        </w:rPr>
      </w:pPr>
      <w:r>
        <w:rPr>
          <w:rFonts w:hint="eastAsia" w:ascii="宋体" w:hAnsi="宋体" w:eastAsia="宋体" w:cs="宋体"/>
          <w:sz w:val="24"/>
        </w:rPr>
        <w:t>20.11开标会议结束。</w:t>
      </w:r>
    </w:p>
    <w:p w14:paraId="070521EE">
      <w:pPr>
        <w:pStyle w:val="3"/>
        <w:keepNext/>
        <w:keepLines/>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宋体" w:hAnsi="宋体" w:eastAsia="宋体" w:cs="宋体"/>
        </w:rPr>
      </w:pPr>
      <w:r>
        <w:rPr>
          <w:rFonts w:hint="eastAsia" w:ascii="宋体" w:hAnsi="宋体" w:eastAsia="宋体" w:cs="宋体"/>
        </w:rPr>
        <w:t>五、评　标</w:t>
      </w:r>
      <w:bookmarkEnd w:id="6"/>
    </w:p>
    <w:p w14:paraId="0E2E19B2">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sz w:val="24"/>
        </w:rPr>
        <w:t>21. 组建评标委员会</w:t>
      </w:r>
    </w:p>
    <w:p w14:paraId="3142DF4A">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评标委员会按照有关规定组建。</w:t>
      </w:r>
    </w:p>
    <w:p w14:paraId="273EAFBB">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22.评标原则</w:t>
      </w:r>
    </w:p>
    <w:p w14:paraId="3DC563C1">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评标委员会必须公平、公正、客观，不带任何倾向性和启发性；不得向外界透露任何与评标有关的内容；任何单位和个人不得干扰、影响评标的正常进行；评标委员会及有关工作人员不得私下与投标人接触。</w:t>
      </w:r>
    </w:p>
    <w:p w14:paraId="506FC7CA">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23.评标程序</w:t>
      </w:r>
    </w:p>
    <w:p w14:paraId="19B72854">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23.1形式审查</w:t>
      </w:r>
    </w:p>
    <w:p w14:paraId="5556D84F">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评标委员会对投标人的资格和投标文件的完整性、合法性等进行审查。</w:t>
      </w:r>
    </w:p>
    <w:p w14:paraId="3BE69532">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23.2实质审查与比较</w:t>
      </w:r>
    </w:p>
    <w:p w14:paraId="365D9AC1">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23.2.1评标时，评标委员会将以招标文件为基本依据，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平的影响。</w:t>
      </w:r>
    </w:p>
    <w:p w14:paraId="058CB198">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23.2.2评标委员会将根据投标人的投标文件进行审查、核对,如有疑问,将对投标人进行询标,投标人要向评标委员会澄清有关问题,并最终以书面形式进行答复。投标人代表未到场或者拒绝澄清或者澄清的内容改变了投标文件的实质性内容的，评标委员会有权对该投标文件作出不利于投标人的评判。</w:t>
      </w:r>
    </w:p>
    <w:p w14:paraId="286D863F">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23.2.3如果投标文件实质不响应招标文件的各项要求，评标委员会将予以拒绝，并且不允许投标人通过修改或撤销其不符合要求的差异或保留，使之成为具有响应性的投标。</w:t>
      </w:r>
    </w:p>
    <w:p w14:paraId="61EA6564">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23.2.4评标委员会完成评标后,按评标原则推荐中标候选人同时起草评标报告。</w:t>
      </w:r>
    </w:p>
    <w:p w14:paraId="4C457852">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23.2.5评标委员会成员对需要共同认定的事项存在争议的，应当按照少数服从多数的原则作出结论。持不同意见的评标委员会成员应当在评标报告上签署不同意见及理由，否则视为同意评标报告。</w:t>
      </w:r>
    </w:p>
    <w:p w14:paraId="6EAC6DE8">
      <w:pPr>
        <w:spacing w:line="30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24.投标文件的澄清</w:t>
      </w:r>
    </w:p>
    <w:p w14:paraId="24A16D65">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24.1</w:t>
      </w:r>
      <w:r>
        <w:rPr>
          <w:rFonts w:hint="eastAsia" w:ascii="宋体" w:hAnsi="宋体" w:eastAsia="宋体" w:cs="宋体"/>
          <w:sz w:val="24"/>
        </w:rPr>
        <w:t>对投标文件中含义不明确、同类问题表述不一致或者有明显文字错误的内容，评标委员会可以要求投标人作出必要的澄清、说明或者纠正。投标人的澄清、说明或者补正应当采用书面形式，由其授权代表签字或盖章确认，并不得超出投标文件的范围或者改变投标文件的实质性内容。但属于评标委员会在评标中发现的计算错误并进行核实的修改不在此列。投标人的澄清文件是其投标文件的组成部分。</w:t>
      </w:r>
    </w:p>
    <w:p w14:paraId="7DB8646D">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注：本项目澄清说明采用扫描件形式发送至电子邮箱（邮箱：</w:t>
      </w:r>
      <w:r>
        <w:rPr>
          <w:rFonts w:hint="eastAsia" w:ascii="宋体" w:hAnsi="宋体" w:eastAsia="宋体" w:cs="宋体"/>
          <w:sz w:val="24"/>
          <w:u w:val="single"/>
          <w:lang w:eastAsia="zh-CN"/>
        </w:rPr>
        <w:t>123373395@qq.com</w:t>
      </w:r>
      <w:r>
        <w:rPr>
          <w:rFonts w:hint="eastAsia" w:ascii="宋体" w:hAnsi="宋体" w:eastAsia="宋体" w:cs="宋体"/>
          <w:sz w:val="24"/>
          <w:u w:val="single"/>
        </w:rPr>
        <w:t>）</w:t>
      </w:r>
      <w:r>
        <w:rPr>
          <w:rFonts w:hint="eastAsia" w:ascii="宋体" w:hAnsi="宋体" w:eastAsia="宋体" w:cs="宋体"/>
          <w:sz w:val="24"/>
        </w:rPr>
        <w:t>，</w:t>
      </w:r>
      <w:r>
        <w:rPr>
          <w:rFonts w:hint="eastAsia" w:ascii="宋体" w:hAnsi="宋体" w:eastAsia="宋体" w:cs="宋体"/>
          <w:sz w:val="24"/>
          <w:u w:val="single"/>
        </w:rPr>
        <w:t>书面原件采用EMS、顺丰邮寄或现场提交方式在中标公示期间送达至</w:t>
      </w:r>
      <w:r>
        <w:rPr>
          <w:rFonts w:hint="eastAsia" w:ascii="宋体" w:hAnsi="宋体" w:eastAsia="宋体" w:cs="宋体"/>
          <w:sz w:val="24"/>
          <w:u w:val="single"/>
          <w:lang w:eastAsia="zh-CN"/>
        </w:rPr>
        <w:t>诸暨市教育体育局项目交易办公室</w:t>
      </w:r>
      <w:r>
        <w:rPr>
          <w:rFonts w:hint="eastAsia" w:ascii="宋体" w:hAnsi="宋体" w:eastAsia="宋体" w:cs="宋体"/>
          <w:sz w:val="24"/>
        </w:rPr>
        <w:t>。）</w:t>
      </w:r>
    </w:p>
    <w:p w14:paraId="6B44E5FB">
      <w:pPr>
        <w:pStyle w:val="40"/>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24.2</w:t>
      </w:r>
      <w:r>
        <w:rPr>
          <w:rFonts w:hint="eastAsia" w:ascii="宋体" w:hAnsi="宋体" w:eastAsia="宋体" w:cs="Times New Roman"/>
          <w:b/>
          <w:color w:val="auto"/>
          <w:sz w:val="24"/>
          <w:highlight w:val="none"/>
        </w:rPr>
        <w:t>评标委员会对明显不合理的投标报价，有权要求投标人在规定时间内提交说明，投标人不能提供的或提供的材料不能说明问题的，评标委员会可以判定其投标无效。</w:t>
      </w:r>
    </w:p>
    <w:p w14:paraId="013AD2B2">
      <w:pPr>
        <w:pStyle w:val="40"/>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宋体"/>
          <w:b/>
          <w:bCs w:val="0"/>
          <w:i w:val="0"/>
          <w:iCs w:val="0"/>
          <w:strike w:val="0"/>
          <w:dstrike w:val="0"/>
          <w:color w:val="auto"/>
          <w:sz w:val="24"/>
          <w:szCs w:val="24"/>
          <w:highlight w:val="none"/>
        </w:rPr>
      </w:pPr>
      <w:r>
        <w:rPr>
          <w:rFonts w:hint="eastAsia" w:ascii="宋体" w:hAnsi="宋体" w:eastAsia="宋体" w:cs="宋体"/>
          <w:b/>
          <w:bCs w:val="0"/>
          <w:i w:val="0"/>
          <w:iCs w:val="0"/>
          <w:strike w:val="0"/>
          <w:dstrike w:val="0"/>
          <w:color w:val="auto"/>
          <w:sz w:val="24"/>
          <w:szCs w:val="24"/>
          <w:highlight w:val="none"/>
        </w:rPr>
        <w:t>评标委员会认为供应商的报价明显低于其他通过符合性审查供应商的报价，有可能影响产品质量或者不能诚信履约的，应当要求其在评标现场合理的时间内（不少于</w:t>
      </w:r>
      <w:r>
        <w:rPr>
          <w:rFonts w:hint="eastAsia" w:ascii="宋体" w:hAnsi="宋体" w:eastAsia="宋体" w:cs="宋体"/>
          <w:b/>
          <w:bCs w:val="0"/>
          <w:i w:val="0"/>
          <w:iCs w:val="0"/>
          <w:strike w:val="0"/>
          <w:dstrike w:val="0"/>
          <w:color w:val="auto"/>
          <w:sz w:val="24"/>
          <w:szCs w:val="24"/>
          <w:highlight w:val="none"/>
          <w:lang w:val="en-US" w:eastAsia="zh-CN"/>
        </w:rPr>
        <w:t>30分钟</w:t>
      </w:r>
      <w:r>
        <w:rPr>
          <w:rFonts w:hint="eastAsia" w:ascii="宋体" w:hAnsi="宋体" w:eastAsia="宋体" w:cs="宋体"/>
          <w:b/>
          <w:bCs w:val="0"/>
          <w:i w:val="0"/>
          <w:iCs w:val="0"/>
          <w:strike w:val="0"/>
          <w:dstrike w:val="0"/>
          <w:color w:val="auto"/>
          <w:sz w:val="24"/>
          <w:szCs w:val="24"/>
          <w:highlight w:val="none"/>
        </w:rPr>
        <w:t>）提供书面说明，必要时提交相关证明材料；供应商不能证明其报价合理性的，评标委员会应当将其作为无效投标处理。</w:t>
      </w:r>
    </w:p>
    <w:p w14:paraId="637CB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评审中出现下列情形之一的，评标委员会应当启动异常低价投标审查程序：</w:t>
      </w:r>
    </w:p>
    <w:p w14:paraId="1C856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（一）投标报价低于全部通过符合性审查供应商投标报价平均值50%的，即投标报价&lt;全部通过符合性审查供应商投标报价平均值×50%；</w:t>
      </w:r>
    </w:p>
    <w:p w14:paraId="4BF93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（二）投标报价低于通过符合性审查且报价次低供应商投标报价50%的，即投标报价&lt;通过符合性审查且报价次低供应商投标报价×50%；</w:t>
      </w:r>
    </w:p>
    <w:p w14:paraId="033FD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（三）投标报价低于采购项目最高限价45%的，即投标报价&lt;采购项目最高限价×45%；</w:t>
      </w:r>
    </w:p>
    <w:p w14:paraId="51F0FE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（四）其他评标委员会认为供应商报价过低，有可能影响产品质量或者不能诚信履约的情形。</w:t>
      </w:r>
    </w:p>
    <w:p w14:paraId="30FF9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32A8A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r>
        <w:rPr>
          <w:rFonts w:hint="eastAsia" w:ascii="宋体" w:hAnsi="宋体" w:eastAsia="宋体" w:cs="宋体"/>
          <w:b/>
          <w:bCs w:val="0"/>
          <w:color w:val="auto"/>
          <w:sz w:val="24"/>
          <w:szCs w:val="24"/>
          <w:highlight w:val="none"/>
        </w:rPr>
        <w:t>。</w:t>
      </w:r>
    </w:p>
    <w:p w14:paraId="0D7CD9D8">
      <w:pPr>
        <w:pStyle w:val="25"/>
        <w:snapToGrid w:val="0"/>
        <w:spacing w:line="300" w:lineRule="auto"/>
        <w:ind w:left="720" w:leftChars="228" w:hanging="241" w:hangingChars="100"/>
        <w:rPr>
          <w:rFonts w:hint="eastAsia" w:ascii="宋体" w:hAnsi="宋体" w:eastAsia="宋体" w:cs="宋体"/>
          <w:b/>
        </w:rPr>
      </w:pPr>
      <w:r>
        <w:rPr>
          <w:rFonts w:hint="eastAsia" w:ascii="宋体" w:hAnsi="宋体" w:eastAsia="宋体" w:cs="宋体"/>
          <w:b/>
        </w:rPr>
        <w:t>25.错误修正</w:t>
      </w:r>
    </w:p>
    <w:p w14:paraId="25C498F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投标文件报价出现前后不一致的，按照下列规定修正：</w:t>
      </w:r>
    </w:p>
    <w:p w14:paraId="585CF27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25.1投标文件中开标一览表（报价表）内容与投标文件中相应内容不一致的，以开标一览表（报价表）为准。</w:t>
      </w:r>
    </w:p>
    <w:p w14:paraId="1BF83677">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25.2大写金额和小写金额不一致的，以大写金额为准。</w:t>
      </w:r>
    </w:p>
    <w:p w14:paraId="6B4D959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25.3单价金额小数点或者百分比有明显错位的，以开标一览表的总价为准，并修改单价。</w:t>
      </w:r>
    </w:p>
    <w:p w14:paraId="60018005">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25.4总价金额与按单价汇总金额不一致的，以单价金额计算结果为准。</w:t>
      </w:r>
    </w:p>
    <w:p w14:paraId="518A97E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同时出现两种以上不一致的，按照上述规定的顺序修正。</w:t>
      </w:r>
    </w:p>
    <w:p w14:paraId="6843831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4A5B3F11">
      <w:pPr>
        <w:pStyle w:val="40"/>
        <w:spacing w:line="300" w:lineRule="auto"/>
        <w:ind w:firstLine="482" w:firstLineChars="200"/>
        <w:rPr>
          <w:rFonts w:hint="eastAsia" w:ascii="宋体" w:hAnsi="宋体" w:eastAsia="宋体" w:cs="宋体"/>
          <w:b/>
          <w:sz w:val="24"/>
        </w:rPr>
      </w:pPr>
      <w:r>
        <w:rPr>
          <w:rFonts w:hint="eastAsia" w:ascii="宋体" w:hAnsi="宋体" w:eastAsia="宋体" w:cs="宋体"/>
          <w:b/>
          <w:sz w:val="24"/>
        </w:rPr>
        <w:t>26.评标办法</w:t>
      </w:r>
    </w:p>
    <w:p w14:paraId="1EBED8F7">
      <w:pPr>
        <w:pStyle w:val="40"/>
        <w:ind w:firstLine="480" w:firstLineChars="200"/>
        <w:rPr>
          <w:rFonts w:hint="eastAsia" w:ascii="宋体" w:hAnsi="宋体" w:eastAsia="宋体" w:cs="宋体"/>
          <w:sz w:val="24"/>
          <w:u w:val="single"/>
        </w:rPr>
      </w:pPr>
      <w:r>
        <w:rPr>
          <w:rFonts w:hint="eastAsia" w:ascii="宋体" w:hAnsi="宋体" w:eastAsia="宋体" w:cs="宋体"/>
          <w:sz w:val="24"/>
        </w:rPr>
        <w:t>本项目评标办法是综合评分法，具体评标办法内容详见《第三章：评标办法</w:t>
      </w:r>
      <w:r>
        <w:rPr>
          <w:rFonts w:hint="eastAsia" w:ascii="宋体" w:hAnsi="宋体" w:eastAsia="宋体" w:cs="宋体"/>
          <w:sz w:val="24"/>
          <w:lang w:val="en-US" w:eastAsia="zh-CN"/>
        </w:rPr>
        <w:t>及评分标准</w:t>
      </w:r>
      <w:r>
        <w:rPr>
          <w:rFonts w:hint="eastAsia" w:ascii="宋体" w:hAnsi="宋体" w:eastAsia="宋体" w:cs="宋体"/>
          <w:sz w:val="24"/>
        </w:rPr>
        <w:t>》。</w:t>
      </w:r>
    </w:p>
    <w:p w14:paraId="6684A7B0">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27.</w:t>
      </w:r>
      <w:r>
        <w:rPr>
          <w:rFonts w:hint="eastAsia" w:ascii="宋体" w:hAnsi="宋体" w:eastAsia="宋体" w:cs="宋体"/>
          <w:b/>
          <w:bCs/>
          <w:sz w:val="24"/>
        </w:rPr>
        <w:t>评标过程的保密</w:t>
      </w:r>
    </w:p>
    <w:p w14:paraId="407AAC6F">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27.1开标后，直到宣布授予中标单位合同为止，凡属于审查、澄清、评价和比较投标文件的有关资料和授予合同的信息，采购人、评标委员会成员都不应向投标人或与该过程无关的其他人员泄露。</w:t>
      </w:r>
    </w:p>
    <w:p w14:paraId="07294836">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27.2任何单位和个人都不得干扰、影响评标活动的正常进行。投标人在评标过程中所进行的试图影响评标结果的一切不符合法律或招标规定的活动，都可能导致其被取消投标资格，并由其承担相应的法律责任。</w:t>
      </w:r>
    </w:p>
    <w:p w14:paraId="3BA87354">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27.3中标单位确定后，采购人不对未中标单位就评标过程以及未能中标原因作出任何解释。未中标单位不得向评标委员会或其他有关人员索问评标过程的情况和材料。</w:t>
      </w:r>
    </w:p>
    <w:p w14:paraId="4E971F91">
      <w:pPr>
        <w:pStyle w:val="3"/>
        <w:spacing w:beforeLines="50" w:afterLines="50" w:line="360" w:lineRule="exact"/>
        <w:jc w:val="center"/>
        <w:rPr>
          <w:rFonts w:hint="eastAsia" w:ascii="宋体" w:hAnsi="宋体" w:eastAsia="宋体" w:cs="宋体"/>
        </w:rPr>
      </w:pPr>
      <w:bookmarkStart w:id="7" w:name="_Toc125344509"/>
      <w:r>
        <w:rPr>
          <w:rFonts w:hint="eastAsia" w:ascii="宋体" w:hAnsi="宋体" w:eastAsia="宋体" w:cs="宋体"/>
        </w:rPr>
        <w:t>六、</w:t>
      </w:r>
      <w:bookmarkEnd w:id="7"/>
      <w:r>
        <w:rPr>
          <w:rFonts w:hint="eastAsia" w:ascii="宋体" w:hAnsi="宋体" w:eastAsia="宋体" w:cs="宋体"/>
        </w:rPr>
        <w:t>定标</w:t>
      </w:r>
    </w:p>
    <w:p w14:paraId="5CC7A5A3">
      <w:pPr>
        <w:pStyle w:val="40"/>
        <w:spacing w:beforeLines="50" w:line="300" w:lineRule="auto"/>
        <w:ind w:firstLine="482" w:firstLineChars="200"/>
        <w:rPr>
          <w:rFonts w:hint="eastAsia" w:ascii="宋体" w:hAnsi="宋体" w:eastAsia="宋体" w:cs="宋体"/>
          <w:sz w:val="24"/>
        </w:rPr>
      </w:pPr>
      <w:r>
        <w:rPr>
          <w:rFonts w:hint="eastAsia" w:ascii="宋体" w:hAnsi="宋体" w:eastAsia="宋体" w:cs="宋体"/>
          <w:b/>
          <w:bCs/>
          <w:sz w:val="24"/>
        </w:rPr>
        <w:t>28.确定中标单位：本项目由采购人确定中标单位。</w:t>
      </w:r>
    </w:p>
    <w:p w14:paraId="581364C6">
      <w:pPr>
        <w:spacing w:line="300" w:lineRule="auto"/>
        <w:ind w:firstLine="480" w:firstLineChars="200"/>
        <w:rPr>
          <w:rFonts w:hint="eastAsia" w:ascii="宋体" w:hAnsi="宋体" w:eastAsia="宋体" w:cs="宋体"/>
          <w:sz w:val="24"/>
        </w:rPr>
      </w:pPr>
      <w:r>
        <w:rPr>
          <w:rFonts w:hint="eastAsia" w:ascii="宋体" w:hAnsi="宋体" w:eastAsia="宋体" w:cs="宋体"/>
          <w:sz w:val="24"/>
        </w:rPr>
        <w:t>28.1中标结果网上公告。</w:t>
      </w:r>
    </w:p>
    <w:p w14:paraId="53561F12">
      <w:pPr>
        <w:spacing w:line="300" w:lineRule="auto"/>
        <w:ind w:firstLine="480" w:firstLineChars="200"/>
        <w:rPr>
          <w:rFonts w:hint="eastAsia" w:ascii="宋体" w:hAnsi="宋体" w:eastAsia="宋体" w:cs="宋体"/>
          <w:sz w:val="24"/>
        </w:rPr>
      </w:pPr>
      <w:r>
        <w:rPr>
          <w:rFonts w:hint="eastAsia" w:ascii="宋体" w:hAnsi="宋体" w:eastAsia="宋体" w:cs="宋体"/>
          <w:sz w:val="24"/>
        </w:rPr>
        <w:t>28.2第一名中标候选人无正当理由放弃中标成交或被取消中标资格的，除其投标保证金不予退还外，同时</w:t>
      </w:r>
      <w:r>
        <w:rPr>
          <w:rFonts w:hint="eastAsia" w:ascii="宋体" w:hAnsi="宋体" w:eastAsia="宋体" w:cs="宋体"/>
          <w:color w:val="auto"/>
          <w:sz w:val="24"/>
          <w:szCs w:val="24"/>
        </w:rPr>
        <w:t>将</w:t>
      </w:r>
      <w:r>
        <w:rPr>
          <w:rFonts w:hint="eastAsia" w:ascii="宋体" w:hAnsi="宋体" w:eastAsia="宋体" w:cs="宋体"/>
          <w:sz w:val="24"/>
        </w:rPr>
        <w:t>上</w:t>
      </w:r>
      <w:r>
        <w:rPr>
          <w:rFonts w:hint="eastAsia" w:ascii="宋体" w:hAnsi="宋体" w:eastAsia="宋体" w:cs="宋体"/>
          <w:color w:val="auto"/>
          <w:sz w:val="24"/>
        </w:rPr>
        <w:t>报诸暨市教体局项目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办公室将按《诸暨市招投标市</w:t>
      </w:r>
      <w:r>
        <w:rPr>
          <w:rFonts w:hint="eastAsia" w:ascii="宋体" w:hAnsi="宋体" w:eastAsia="宋体" w:cs="宋体"/>
          <w:sz w:val="24"/>
        </w:rPr>
        <w:t>场不良行为记录暂行规定》等有关法律、法规、制度进行处理。此标的将另行组织采购。</w:t>
      </w:r>
    </w:p>
    <w:p w14:paraId="2A18368B">
      <w:pPr>
        <w:pStyle w:val="40"/>
        <w:spacing w:line="300" w:lineRule="auto"/>
        <w:ind w:firstLine="482" w:firstLineChars="200"/>
        <w:rPr>
          <w:rFonts w:hint="eastAsia" w:ascii="宋体" w:hAnsi="宋体" w:eastAsia="宋体" w:cs="宋体"/>
          <w:b/>
          <w:bCs/>
          <w:sz w:val="24"/>
        </w:rPr>
      </w:pPr>
      <w:r>
        <w:rPr>
          <w:rFonts w:hint="eastAsia" w:ascii="宋体" w:hAnsi="宋体" w:eastAsia="宋体" w:cs="宋体"/>
          <w:b/>
          <w:bCs/>
          <w:sz w:val="24"/>
        </w:rPr>
        <w:t>29.中标通知</w:t>
      </w:r>
    </w:p>
    <w:p w14:paraId="72375BE9">
      <w:pPr>
        <w:spacing w:line="300" w:lineRule="auto"/>
        <w:ind w:firstLine="480" w:firstLineChars="200"/>
        <w:rPr>
          <w:rFonts w:hint="eastAsia" w:ascii="宋体" w:hAnsi="宋体" w:eastAsia="宋体" w:cs="宋体"/>
          <w:sz w:val="24"/>
        </w:rPr>
      </w:pPr>
      <w:r>
        <w:rPr>
          <w:rFonts w:hint="eastAsia" w:ascii="宋体" w:hAnsi="宋体" w:eastAsia="宋体" w:cs="宋体"/>
          <w:sz w:val="24"/>
        </w:rPr>
        <w:t>29.1 采购人确认中</w:t>
      </w:r>
      <w:r>
        <w:rPr>
          <w:rFonts w:hint="eastAsia" w:ascii="宋体" w:hAnsi="宋体" w:eastAsia="宋体" w:cs="宋体"/>
          <w:color w:val="auto"/>
          <w:sz w:val="24"/>
        </w:rPr>
        <w:t>标结果后，</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核发</w:t>
      </w:r>
      <w:r>
        <w:rPr>
          <w:rFonts w:hint="eastAsia" w:ascii="宋体" w:hAnsi="宋体" w:eastAsia="宋体" w:cs="宋体"/>
          <w:sz w:val="24"/>
        </w:rPr>
        <w:t>《中标通知书》。《中标通知书》一经发出即发生法律效力。</w:t>
      </w:r>
    </w:p>
    <w:p w14:paraId="240F308A">
      <w:pPr>
        <w:spacing w:line="300" w:lineRule="auto"/>
        <w:ind w:firstLine="480" w:firstLineChars="200"/>
        <w:rPr>
          <w:rFonts w:hint="eastAsia" w:ascii="宋体" w:hAnsi="宋体" w:eastAsia="宋体" w:cs="宋体"/>
          <w:sz w:val="24"/>
        </w:rPr>
      </w:pPr>
      <w:r>
        <w:rPr>
          <w:rFonts w:hint="eastAsia" w:ascii="宋体" w:hAnsi="宋体" w:eastAsia="宋体" w:cs="宋体"/>
          <w:sz w:val="24"/>
        </w:rPr>
        <w:t>29.2中标单位须在中标公告发布</w:t>
      </w:r>
      <w:r>
        <w:rPr>
          <w:rFonts w:hint="eastAsia" w:ascii="宋体" w:hAnsi="宋体" w:eastAsia="宋体" w:cs="宋体"/>
          <w:color w:val="auto"/>
          <w:sz w:val="24"/>
        </w:rPr>
        <w:t>后到</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领取书</w:t>
      </w:r>
      <w:r>
        <w:rPr>
          <w:rFonts w:hint="eastAsia" w:ascii="宋体" w:hAnsi="宋体" w:eastAsia="宋体" w:cs="宋体"/>
          <w:sz w:val="24"/>
        </w:rPr>
        <w:t>面通知。</w:t>
      </w:r>
    </w:p>
    <w:p w14:paraId="0885F8E7">
      <w:pPr>
        <w:spacing w:line="300" w:lineRule="auto"/>
        <w:ind w:firstLine="480" w:firstLineChars="200"/>
        <w:rPr>
          <w:rFonts w:hint="eastAsia" w:ascii="宋体" w:hAnsi="宋体" w:eastAsia="宋体" w:cs="宋体"/>
          <w:sz w:val="24"/>
        </w:rPr>
      </w:pPr>
      <w:r>
        <w:rPr>
          <w:rFonts w:hint="eastAsia" w:ascii="宋体" w:hAnsi="宋体" w:eastAsia="宋体" w:cs="宋体"/>
          <w:sz w:val="24"/>
        </w:rPr>
        <w:t>29.3采购人对中标结果不作任何说明和解释，也不回答任何提问。</w:t>
      </w:r>
    </w:p>
    <w:p w14:paraId="77C540D0">
      <w:pPr>
        <w:snapToGrid w:val="0"/>
        <w:spacing w:line="300" w:lineRule="auto"/>
        <w:ind w:firstLine="472" w:firstLineChars="196"/>
        <w:rPr>
          <w:rFonts w:hint="eastAsia" w:ascii="宋体" w:hAnsi="宋体" w:eastAsia="宋体" w:cs="宋体"/>
          <w:b/>
          <w:bCs/>
          <w:sz w:val="24"/>
        </w:rPr>
      </w:pPr>
      <w:r>
        <w:rPr>
          <w:rFonts w:hint="eastAsia" w:ascii="宋体" w:hAnsi="宋体" w:eastAsia="宋体" w:cs="宋体"/>
          <w:b/>
          <w:bCs/>
          <w:color w:val="auto"/>
          <w:sz w:val="24"/>
        </w:rPr>
        <w:t>30. 中标无效情形</w:t>
      </w:r>
    </w:p>
    <w:p w14:paraId="3BA14A83">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中标单位存在下列情形之一的，中标无效：</w:t>
      </w:r>
    </w:p>
    <w:p w14:paraId="4B9F02F2">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30.1提供虚假材料谋取中标的；</w:t>
      </w:r>
    </w:p>
    <w:p w14:paraId="52C4B472">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30.2采取不正当手段诋毁、排挤其他投标人的；</w:t>
      </w:r>
    </w:p>
    <w:p w14:paraId="6D004589">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30.3与采购单位、其他投标人恶意串通的；</w:t>
      </w:r>
    </w:p>
    <w:p w14:paraId="773A459C">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30.4向采购单位行贿或者提供其他不正当利益的；</w:t>
      </w:r>
    </w:p>
    <w:p w14:paraId="7769A97F">
      <w:pPr>
        <w:pStyle w:val="40"/>
        <w:spacing w:line="300" w:lineRule="auto"/>
        <w:ind w:firstLine="480" w:firstLineChars="200"/>
        <w:rPr>
          <w:rFonts w:hint="eastAsia" w:ascii="宋体" w:hAnsi="宋体" w:eastAsia="宋体" w:cs="宋体"/>
          <w:sz w:val="24"/>
        </w:rPr>
      </w:pPr>
      <w:r>
        <w:rPr>
          <w:rFonts w:hint="eastAsia" w:ascii="宋体" w:hAnsi="宋体" w:eastAsia="宋体" w:cs="宋体"/>
          <w:sz w:val="24"/>
        </w:rPr>
        <w:t>30.5在招标过程中与采购单位进行协商谈判、不按照招标文件和中标供应商的投标文件订立合同，或者与采购人另行背离合同实质性内容的协议的；</w:t>
      </w:r>
    </w:p>
    <w:p w14:paraId="2B5BCA78">
      <w:pPr>
        <w:spacing w:line="300" w:lineRule="auto"/>
        <w:ind w:firstLine="480" w:firstLineChars="200"/>
        <w:rPr>
          <w:rFonts w:hint="eastAsia" w:ascii="宋体" w:hAnsi="宋体" w:eastAsia="宋体" w:cs="宋体"/>
          <w:sz w:val="24"/>
        </w:rPr>
      </w:pPr>
      <w:r>
        <w:rPr>
          <w:rFonts w:hint="eastAsia" w:ascii="宋体" w:hAnsi="宋体" w:eastAsia="宋体" w:cs="宋体"/>
          <w:sz w:val="24"/>
        </w:rPr>
        <w:t>30.6存在法律、法规规定的其它损害采购人或用户单位利益或社会公共利益的情形的；</w:t>
      </w:r>
    </w:p>
    <w:p w14:paraId="6CDDF614">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31.重新招标</w:t>
      </w:r>
    </w:p>
    <w:p w14:paraId="439E2D7F">
      <w:pPr>
        <w:snapToGrid w:val="0"/>
        <w:spacing w:line="300" w:lineRule="auto"/>
        <w:ind w:firstLine="470" w:firstLineChars="196"/>
        <w:rPr>
          <w:rFonts w:hint="eastAsia" w:ascii="宋体" w:hAnsi="宋体" w:eastAsia="宋体" w:cs="宋体"/>
          <w:b/>
          <w:bCs/>
          <w:color w:val="auto"/>
          <w:sz w:val="24"/>
        </w:rPr>
      </w:pPr>
      <w:r>
        <w:rPr>
          <w:rFonts w:hint="eastAsia" w:ascii="宋体" w:hAnsi="宋体" w:eastAsia="宋体" w:cs="宋体"/>
          <w:sz w:val="24"/>
          <w:szCs w:val="24"/>
        </w:rPr>
        <w:t>投标截止时间及评审期间，出现有效供应商不足3家的</w:t>
      </w:r>
      <w:r>
        <w:rPr>
          <w:rFonts w:hint="eastAsia" w:ascii="宋体" w:hAnsi="宋体" w:eastAsia="宋体" w:cs="宋体"/>
          <w:sz w:val="24"/>
        </w:rPr>
        <w:t>，</w:t>
      </w:r>
      <w:r>
        <w:rPr>
          <w:rFonts w:hint="eastAsia" w:ascii="宋体" w:hAnsi="宋体" w:eastAsia="宋体" w:cs="宋体"/>
          <w:sz w:val="24"/>
          <w:szCs w:val="24"/>
        </w:rPr>
        <w:t>重新组织采购活动。</w:t>
      </w:r>
    </w:p>
    <w:p w14:paraId="2D8DE5F5">
      <w:pPr>
        <w:pStyle w:val="3"/>
        <w:spacing w:beforeLines="50" w:afterLines="50" w:line="360" w:lineRule="exact"/>
        <w:jc w:val="center"/>
        <w:rPr>
          <w:rFonts w:hint="eastAsia" w:ascii="宋体" w:hAnsi="宋体" w:eastAsia="宋体" w:cs="宋体"/>
        </w:rPr>
      </w:pPr>
      <w:r>
        <w:rPr>
          <w:rFonts w:hint="eastAsia" w:ascii="宋体" w:hAnsi="宋体" w:eastAsia="宋体" w:cs="宋体"/>
        </w:rPr>
        <w:t>七、授予合同</w:t>
      </w:r>
    </w:p>
    <w:p w14:paraId="12BF3A5C">
      <w:pPr>
        <w:snapToGrid w:val="0"/>
        <w:spacing w:beforeLines="50" w:line="300" w:lineRule="auto"/>
        <w:ind w:firstLine="472" w:firstLineChars="196"/>
        <w:rPr>
          <w:rFonts w:hint="eastAsia" w:ascii="宋体" w:hAnsi="宋体" w:eastAsia="宋体" w:cs="宋体"/>
          <w:b/>
          <w:bCs/>
          <w:sz w:val="24"/>
        </w:rPr>
      </w:pPr>
      <w:r>
        <w:rPr>
          <w:rFonts w:hint="eastAsia" w:ascii="宋体" w:hAnsi="宋体" w:eastAsia="宋体" w:cs="宋体"/>
          <w:b/>
          <w:bCs/>
          <w:sz w:val="24"/>
        </w:rPr>
        <w:t>32.签订合同</w:t>
      </w:r>
    </w:p>
    <w:p w14:paraId="3B43AC0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中标单位须在领取《中标通知书》之日起5个工作日内，根据《中华人民共和国民法典》、《中华人民共和国政府采购法》等有关规定，依据招标文件和投标文件的有关条款上门与相关用户单位（即采购单位）签订合同。</w:t>
      </w:r>
    </w:p>
    <w:p w14:paraId="160A9131">
      <w:pPr>
        <w:spacing w:line="300" w:lineRule="auto"/>
        <w:ind w:firstLine="436" w:firstLineChars="200"/>
        <w:rPr>
          <w:rFonts w:hint="eastAsia" w:ascii="宋体" w:hAnsi="宋体" w:eastAsia="宋体" w:cs="宋体"/>
          <w:spacing w:val="-11"/>
          <w:sz w:val="24"/>
          <w:szCs w:val="24"/>
        </w:rPr>
      </w:pPr>
      <w:r>
        <w:rPr>
          <w:rFonts w:hint="eastAsia" w:ascii="宋体" w:hAnsi="宋体" w:eastAsia="宋体" w:cs="宋体"/>
          <w:spacing w:val="-11"/>
          <w:sz w:val="24"/>
          <w:szCs w:val="24"/>
        </w:rPr>
        <w:t>32.2 招标文件、投标文件和《中标通知书》作为合同签订的依据和主要附件。合同签订时中标单位须提供相应的</w:t>
      </w:r>
      <w:r>
        <w:rPr>
          <w:rFonts w:hint="eastAsia" w:ascii="宋体" w:hAnsi="宋体" w:eastAsia="宋体" w:cs="宋体"/>
          <w:bCs/>
          <w:spacing w:val="-11"/>
          <w:sz w:val="24"/>
          <w:szCs w:val="24"/>
        </w:rPr>
        <w:t>《中标通知书》复印件和售后服务承诺</w:t>
      </w:r>
      <w:r>
        <w:rPr>
          <w:rFonts w:hint="eastAsia" w:ascii="宋体" w:hAnsi="宋体" w:eastAsia="宋体" w:cs="宋体"/>
          <w:spacing w:val="-11"/>
          <w:sz w:val="24"/>
          <w:szCs w:val="24"/>
        </w:rPr>
        <w:t>给用户单位，以方便验收货物（或工程）。</w:t>
      </w:r>
    </w:p>
    <w:p w14:paraId="66E05FEA">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合同一式三份，用户单位和中标单位各执一份、</w:t>
      </w:r>
      <w:r>
        <w:rPr>
          <w:rFonts w:hint="eastAsia" w:ascii="宋体" w:hAnsi="宋体" w:cs="宋体"/>
          <w:sz w:val="24"/>
          <w:szCs w:val="24"/>
          <w:lang w:val="en-US" w:eastAsia="zh-CN"/>
        </w:rPr>
        <w:t>局项目交易办公室</w:t>
      </w:r>
      <w:r>
        <w:rPr>
          <w:rFonts w:hint="eastAsia" w:ascii="宋体" w:hAnsi="宋体" w:eastAsia="宋体" w:cs="宋体"/>
          <w:sz w:val="24"/>
          <w:szCs w:val="24"/>
        </w:rPr>
        <w:t>各备案一份。</w:t>
      </w:r>
    </w:p>
    <w:p w14:paraId="09676860">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中标单位和用户单位不得擅自变更、中止或者终止合同，不得另外订立背离合同实质性内容的其它协议。</w:t>
      </w:r>
    </w:p>
    <w:p w14:paraId="1AF48D1B">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33.履约保证金</w:t>
      </w:r>
    </w:p>
    <w:p w14:paraId="7D6A9C7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33.1中标单位在签订采购合同前，应按招标文件要求向采购人提交履</w:t>
      </w:r>
      <w:r>
        <w:rPr>
          <w:rFonts w:hint="eastAsia" w:ascii="宋体" w:hAnsi="宋体" w:eastAsia="宋体" w:cs="宋体"/>
          <w:color w:val="auto"/>
          <w:sz w:val="24"/>
          <w:szCs w:val="24"/>
        </w:rPr>
        <w:t>约保证金，履约保证金作为中标单位在履行合同和服务承诺的保证。</w:t>
      </w:r>
      <w:r>
        <w:rPr>
          <w:rFonts w:hint="eastAsia" w:ascii="宋体" w:hAnsi="宋体" w:eastAsia="宋体" w:cs="宋体"/>
          <w:sz w:val="24"/>
          <w:szCs w:val="24"/>
        </w:rPr>
        <w:t>履约保证金须单独提交，中标人的投标保证金不能转为履约保证金。</w:t>
      </w:r>
    </w:p>
    <w:p w14:paraId="222AA0E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w:t>
      </w:r>
      <w:r>
        <w:rPr>
          <w:rFonts w:hint="eastAsia" w:ascii="宋体" w:hAnsi="宋体" w:eastAsia="宋体" w:cs="宋体"/>
          <w:color w:val="auto"/>
          <w:sz w:val="24"/>
        </w:rPr>
        <w:t>中标单位应当以支票、汇票、本票等非现金形式提交。中标单位在履行完合同约定事项后，采购人应及时退还履约保证金。履约保证金不计息。</w:t>
      </w:r>
    </w:p>
    <w:p w14:paraId="254D5521">
      <w:pPr>
        <w:spacing w:line="300" w:lineRule="auto"/>
        <w:ind w:firstLine="480" w:firstLineChars="200"/>
        <w:rPr>
          <w:rFonts w:hint="eastAsia" w:ascii="宋体" w:hAnsi="宋体" w:eastAsia="宋体" w:cs="宋体"/>
          <w:color w:val="auto"/>
          <w:sz w:val="24"/>
        </w:rPr>
      </w:pPr>
      <w:r>
        <w:rPr>
          <w:rFonts w:hint="eastAsia" w:ascii="宋体" w:hAnsi="宋体" w:eastAsia="宋体" w:cs="宋体"/>
          <w:sz w:val="24"/>
          <w:szCs w:val="24"/>
        </w:rPr>
        <w:t>33.3签订合同后，如中标单位不按双方合同约定履约，则没收其全部履约保证金，履约保证金不足以赔偿损失的，按实际损失赔偿</w:t>
      </w:r>
      <w:r>
        <w:rPr>
          <w:rFonts w:hint="eastAsia" w:ascii="宋体" w:hAnsi="宋体" w:eastAsia="宋体" w:cs="宋体"/>
          <w:color w:val="auto"/>
          <w:sz w:val="24"/>
        </w:rPr>
        <w:t>。</w:t>
      </w:r>
    </w:p>
    <w:p w14:paraId="31FF77D3">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34.合同备案</w:t>
      </w:r>
    </w:p>
    <w:p w14:paraId="67F76008">
      <w:pPr>
        <w:spacing w:line="300" w:lineRule="auto"/>
        <w:ind w:firstLine="480" w:firstLineChars="200"/>
        <w:rPr>
          <w:rFonts w:hint="eastAsia" w:ascii="宋体" w:hAnsi="宋体" w:eastAsia="宋体" w:cs="宋体"/>
          <w:lang w:val="en-US" w:eastAsia="zh-CN"/>
        </w:rPr>
      </w:pPr>
      <w:r>
        <w:rPr>
          <w:rFonts w:hint="eastAsia" w:ascii="宋体" w:hAnsi="宋体" w:eastAsia="宋体" w:cs="宋体"/>
          <w:sz w:val="24"/>
          <w:szCs w:val="24"/>
        </w:rPr>
        <w:t>采购人应当自采购合同签订之日起七个工作日内，按照有关</w:t>
      </w:r>
      <w:r>
        <w:rPr>
          <w:rFonts w:hint="eastAsia" w:ascii="宋体" w:hAnsi="宋体" w:eastAsia="宋体" w:cs="宋体"/>
          <w:color w:val="auto"/>
          <w:sz w:val="24"/>
          <w:szCs w:val="24"/>
        </w:rPr>
        <w:t>规定将采购合同送至</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szCs w:val="24"/>
        </w:rPr>
        <w:t>备案。</w:t>
      </w:r>
      <w:r>
        <w:rPr>
          <w:rFonts w:hint="eastAsia" w:ascii="宋体" w:hAnsi="宋体" w:cs="宋体"/>
          <w:color w:val="auto"/>
          <w:sz w:val="24"/>
          <w:szCs w:val="24"/>
          <w:lang w:val="en-US" w:eastAsia="zh-CN"/>
        </w:rPr>
        <w:t xml:space="preserve"> </w:t>
      </w:r>
    </w:p>
    <w:p w14:paraId="23861EC1">
      <w:pPr>
        <w:pStyle w:val="3"/>
        <w:spacing w:beforeLines="50" w:afterLines="50" w:line="360" w:lineRule="exact"/>
        <w:jc w:val="center"/>
        <w:rPr>
          <w:rFonts w:hint="eastAsia" w:ascii="宋体" w:hAnsi="宋体" w:eastAsia="宋体" w:cs="宋体"/>
        </w:rPr>
      </w:pPr>
      <w:bookmarkStart w:id="8" w:name="_Toc352165696"/>
      <w:bookmarkStart w:id="9" w:name="_Toc339459646"/>
      <w:bookmarkStart w:id="10" w:name="_Toc125344511"/>
      <w:bookmarkStart w:id="11" w:name="_Toc125344512"/>
      <w:r>
        <w:rPr>
          <w:rFonts w:hint="eastAsia" w:ascii="宋体" w:hAnsi="宋体" w:eastAsia="宋体" w:cs="宋体"/>
        </w:rPr>
        <w:t>八、不良行为记录</w:t>
      </w:r>
      <w:bookmarkEnd w:id="8"/>
      <w:bookmarkEnd w:id="9"/>
    </w:p>
    <w:p w14:paraId="1D927B44">
      <w:pPr>
        <w:spacing w:line="300" w:lineRule="auto"/>
        <w:ind w:firstLine="480" w:firstLineChars="200"/>
        <w:rPr>
          <w:rFonts w:hint="eastAsia" w:ascii="宋体" w:hAnsi="宋体" w:eastAsia="宋体" w:cs="宋体"/>
          <w:sz w:val="24"/>
        </w:rPr>
      </w:pPr>
      <w:r>
        <w:rPr>
          <w:rFonts w:hint="eastAsia" w:ascii="宋体" w:hAnsi="宋体" w:eastAsia="宋体" w:cs="宋体"/>
          <w:sz w:val="24"/>
        </w:rPr>
        <w:t>投标人在采购活动中出现下列违规</w:t>
      </w:r>
      <w:r>
        <w:rPr>
          <w:rFonts w:hint="eastAsia" w:ascii="宋体" w:hAnsi="宋体" w:eastAsia="宋体" w:cs="宋体"/>
          <w:color w:val="auto"/>
          <w:sz w:val="24"/>
        </w:rPr>
        <w:t>行为的将记入</w:t>
      </w:r>
      <w:r>
        <w:rPr>
          <w:rFonts w:hint="eastAsia" w:ascii="宋体" w:hAnsi="宋体" w:eastAsia="宋体" w:cs="宋体"/>
          <w:color w:val="auto"/>
          <w:sz w:val="24"/>
          <w:szCs w:val="24"/>
        </w:rPr>
        <w:t>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办公室采购不良行为记录</w:t>
      </w:r>
      <w:r>
        <w:rPr>
          <w:rFonts w:hint="eastAsia" w:ascii="宋体" w:hAnsi="宋体" w:eastAsia="宋体" w:cs="宋体"/>
          <w:sz w:val="24"/>
        </w:rPr>
        <w:t>。</w:t>
      </w:r>
    </w:p>
    <w:tbl>
      <w:tblPr>
        <w:tblStyle w:val="5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796"/>
        <w:gridCol w:w="1188"/>
      </w:tblGrid>
      <w:tr w14:paraId="0A17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3" w:type="dxa"/>
            <w:vAlign w:val="center"/>
          </w:tcPr>
          <w:p w14:paraId="06604BA0">
            <w:pPr>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7796" w:type="dxa"/>
            <w:vAlign w:val="center"/>
          </w:tcPr>
          <w:p w14:paraId="3F40DC52">
            <w:pPr>
              <w:jc w:val="center"/>
              <w:rPr>
                <w:rFonts w:hint="eastAsia" w:ascii="宋体" w:hAnsi="宋体" w:eastAsia="宋体" w:cs="宋体"/>
                <w:b/>
                <w:bCs/>
                <w:color w:val="auto"/>
                <w:sz w:val="24"/>
              </w:rPr>
            </w:pPr>
            <w:r>
              <w:rPr>
                <w:rFonts w:hint="eastAsia" w:ascii="宋体" w:hAnsi="宋体" w:eastAsia="宋体" w:cs="宋体"/>
                <w:b/>
                <w:bCs/>
                <w:color w:val="auto"/>
                <w:sz w:val="24"/>
              </w:rPr>
              <w:t>不良行为</w:t>
            </w:r>
          </w:p>
        </w:tc>
        <w:tc>
          <w:tcPr>
            <w:tcW w:w="1188" w:type="dxa"/>
            <w:vAlign w:val="center"/>
          </w:tcPr>
          <w:p w14:paraId="504989DD">
            <w:pPr>
              <w:jc w:val="center"/>
              <w:rPr>
                <w:rFonts w:hint="eastAsia" w:ascii="宋体" w:hAnsi="宋体" w:eastAsia="宋体" w:cs="宋体"/>
                <w:b/>
                <w:bCs/>
                <w:color w:val="auto"/>
                <w:sz w:val="24"/>
              </w:rPr>
            </w:pPr>
            <w:r>
              <w:rPr>
                <w:rFonts w:hint="eastAsia" w:ascii="宋体" w:hAnsi="宋体" w:eastAsia="宋体" w:cs="宋体"/>
                <w:b/>
                <w:bCs/>
                <w:color w:val="auto"/>
                <w:sz w:val="24"/>
              </w:rPr>
              <w:t>记录时限</w:t>
            </w:r>
          </w:p>
        </w:tc>
      </w:tr>
      <w:tr w14:paraId="4FDA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331888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796" w:type="dxa"/>
            <w:vAlign w:val="center"/>
          </w:tcPr>
          <w:p w14:paraId="72BD878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在招标采购过程中，与采购人进行协商谈判的</w:t>
            </w:r>
          </w:p>
        </w:tc>
        <w:tc>
          <w:tcPr>
            <w:tcW w:w="1188" w:type="dxa"/>
            <w:vAlign w:val="center"/>
          </w:tcPr>
          <w:p w14:paraId="698FFCE8">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496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B4E00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796" w:type="dxa"/>
            <w:vAlign w:val="center"/>
          </w:tcPr>
          <w:p w14:paraId="7368337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投标有效期内撤回其投标文件的</w:t>
            </w:r>
          </w:p>
        </w:tc>
        <w:tc>
          <w:tcPr>
            <w:tcW w:w="1188" w:type="dxa"/>
            <w:vAlign w:val="center"/>
          </w:tcPr>
          <w:p w14:paraId="77C3634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0807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A4519A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7796" w:type="dxa"/>
            <w:vAlign w:val="center"/>
          </w:tcPr>
          <w:p w14:paraId="6E8B5D1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拒绝有关部门监督检查的</w:t>
            </w:r>
          </w:p>
        </w:tc>
        <w:tc>
          <w:tcPr>
            <w:tcW w:w="1188" w:type="dxa"/>
            <w:vAlign w:val="center"/>
          </w:tcPr>
          <w:p w14:paraId="0D39A7F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2CFB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4B7C5E3">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7796" w:type="dxa"/>
            <w:vAlign w:val="center"/>
          </w:tcPr>
          <w:p w14:paraId="055D984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不积极配合采购人做好标的验收工作的</w:t>
            </w:r>
          </w:p>
        </w:tc>
        <w:tc>
          <w:tcPr>
            <w:tcW w:w="1188" w:type="dxa"/>
            <w:vAlign w:val="center"/>
          </w:tcPr>
          <w:p w14:paraId="1A89C5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CF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769A78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7796" w:type="dxa"/>
            <w:vAlign w:val="center"/>
          </w:tcPr>
          <w:p w14:paraId="1AAB003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在有关部门的监督检查或考核中被通报批评或处以警告及以上处罚的</w:t>
            </w:r>
          </w:p>
        </w:tc>
        <w:tc>
          <w:tcPr>
            <w:tcW w:w="1188" w:type="dxa"/>
            <w:vAlign w:val="center"/>
          </w:tcPr>
          <w:p w14:paraId="62E439B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74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1BB23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7796" w:type="dxa"/>
            <w:vAlign w:val="center"/>
          </w:tcPr>
          <w:p w14:paraId="1F8D362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不遵守投标会场纪律，无理取闹，扰乱交易秩序的</w:t>
            </w:r>
          </w:p>
        </w:tc>
        <w:tc>
          <w:tcPr>
            <w:tcW w:w="1188" w:type="dxa"/>
            <w:vAlign w:val="center"/>
          </w:tcPr>
          <w:p w14:paraId="4A25B03B">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3DE8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AE7FD1">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7</w:t>
            </w:r>
          </w:p>
        </w:tc>
        <w:tc>
          <w:tcPr>
            <w:tcW w:w="7796" w:type="dxa"/>
            <w:vAlign w:val="center"/>
          </w:tcPr>
          <w:p w14:paraId="40810AC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中标后无正当理由放弃中标，或在规定时间内不与采购人签订采购合同，或在签订合同时提出附加条件或更改合同实质性内容，或拒不提交所要求的履约保证金的</w:t>
            </w:r>
          </w:p>
        </w:tc>
        <w:tc>
          <w:tcPr>
            <w:tcW w:w="1188" w:type="dxa"/>
            <w:vAlign w:val="center"/>
          </w:tcPr>
          <w:p w14:paraId="711DC06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52B4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4C8C4D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8</w:t>
            </w:r>
          </w:p>
        </w:tc>
        <w:tc>
          <w:tcPr>
            <w:tcW w:w="7796" w:type="dxa"/>
            <w:vAlign w:val="center"/>
          </w:tcPr>
          <w:p w14:paraId="0B4EB38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虚假投诉、恶意投诉和不按程序、规定时间进行质疑投诉而影响采购工作正常进行或造成不良影响的</w:t>
            </w:r>
          </w:p>
        </w:tc>
        <w:tc>
          <w:tcPr>
            <w:tcW w:w="1188" w:type="dxa"/>
            <w:vAlign w:val="center"/>
          </w:tcPr>
          <w:p w14:paraId="15A61E8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086B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5C2C322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9</w:t>
            </w:r>
          </w:p>
        </w:tc>
        <w:tc>
          <w:tcPr>
            <w:tcW w:w="7796" w:type="dxa"/>
            <w:vAlign w:val="center"/>
          </w:tcPr>
          <w:p w14:paraId="04415FD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不按照与采购人订立的合同履行义务（包括提供标的、售后服务、技术支持等），严重违反合同规定和廉政合同要求的</w:t>
            </w:r>
          </w:p>
        </w:tc>
        <w:tc>
          <w:tcPr>
            <w:tcW w:w="1188" w:type="dxa"/>
            <w:vAlign w:val="center"/>
          </w:tcPr>
          <w:p w14:paraId="15079BB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6F2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2F5DB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7796" w:type="dxa"/>
            <w:vAlign w:val="center"/>
          </w:tcPr>
          <w:p w14:paraId="16815F0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项目负责人不到位，或擅自变换项目负责人，或不认真履行职责造成采购人损失的</w:t>
            </w:r>
          </w:p>
        </w:tc>
        <w:tc>
          <w:tcPr>
            <w:tcW w:w="1188" w:type="dxa"/>
            <w:vAlign w:val="center"/>
          </w:tcPr>
          <w:p w14:paraId="5CF0EA2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9D3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0F8FB62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7796" w:type="dxa"/>
            <w:vAlign w:val="center"/>
          </w:tcPr>
          <w:p w14:paraId="12E5947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发生经营状况重大变化以及重要担保、重大合同纠纷或诉讼、信用等级和资质变化等可能影响履约能力的重大事项，未及时向</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提供书面报告，因而造成采购人损失的</w:t>
            </w:r>
          </w:p>
        </w:tc>
        <w:tc>
          <w:tcPr>
            <w:tcW w:w="1188" w:type="dxa"/>
            <w:vAlign w:val="center"/>
          </w:tcPr>
          <w:p w14:paraId="24E0F10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56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F5AD9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7796" w:type="dxa"/>
            <w:vAlign w:val="center"/>
          </w:tcPr>
          <w:p w14:paraId="5B844604">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与采购人、其他供应商或者采购代理机构相互串通的</w:t>
            </w:r>
          </w:p>
        </w:tc>
        <w:tc>
          <w:tcPr>
            <w:tcW w:w="1188" w:type="dxa"/>
            <w:vAlign w:val="center"/>
          </w:tcPr>
          <w:p w14:paraId="37AA5C4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B99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6681C6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7796" w:type="dxa"/>
            <w:vAlign w:val="center"/>
          </w:tcPr>
          <w:p w14:paraId="05ED341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采取不正当手段排挤其他供应商，进行不公平竞争的</w:t>
            </w:r>
          </w:p>
        </w:tc>
        <w:tc>
          <w:tcPr>
            <w:tcW w:w="1188" w:type="dxa"/>
            <w:vAlign w:val="center"/>
          </w:tcPr>
          <w:p w14:paraId="6C213E2D">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1E26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87A609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7796" w:type="dxa"/>
            <w:vAlign w:val="center"/>
          </w:tcPr>
          <w:p w14:paraId="0D8D93D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中标后与采购人另行订立背离合同实质内容的协议的</w:t>
            </w:r>
          </w:p>
        </w:tc>
        <w:tc>
          <w:tcPr>
            <w:tcW w:w="1188" w:type="dxa"/>
            <w:vAlign w:val="center"/>
          </w:tcPr>
          <w:p w14:paraId="4ADAB582">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2FA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73616A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7796" w:type="dxa"/>
            <w:vAlign w:val="center"/>
          </w:tcPr>
          <w:p w14:paraId="61FF5C4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事先有承诺，而事后违反承诺内容的</w:t>
            </w:r>
          </w:p>
        </w:tc>
        <w:tc>
          <w:tcPr>
            <w:tcW w:w="1188" w:type="dxa"/>
            <w:vAlign w:val="center"/>
          </w:tcPr>
          <w:p w14:paraId="08C5E5C7">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772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F72E75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16</w:t>
            </w:r>
          </w:p>
        </w:tc>
        <w:tc>
          <w:tcPr>
            <w:tcW w:w="7796" w:type="dxa"/>
            <w:vAlign w:val="center"/>
          </w:tcPr>
          <w:p w14:paraId="1E9E828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将中标项目转包或违反规定进行分包的</w:t>
            </w:r>
          </w:p>
        </w:tc>
        <w:tc>
          <w:tcPr>
            <w:tcW w:w="1188" w:type="dxa"/>
            <w:vAlign w:val="center"/>
          </w:tcPr>
          <w:p w14:paraId="08D2F09F">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52C0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1CA76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17</w:t>
            </w:r>
          </w:p>
        </w:tc>
        <w:tc>
          <w:tcPr>
            <w:tcW w:w="7796" w:type="dxa"/>
            <w:vAlign w:val="center"/>
          </w:tcPr>
          <w:p w14:paraId="05D30E3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提供虚假资料参加投标的</w:t>
            </w:r>
          </w:p>
        </w:tc>
        <w:tc>
          <w:tcPr>
            <w:tcW w:w="1188" w:type="dxa"/>
            <w:vAlign w:val="center"/>
          </w:tcPr>
          <w:p w14:paraId="5F65F76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C94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B6C38F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18</w:t>
            </w:r>
          </w:p>
        </w:tc>
        <w:tc>
          <w:tcPr>
            <w:tcW w:w="7796" w:type="dxa"/>
            <w:vAlign w:val="center"/>
          </w:tcPr>
          <w:p w14:paraId="49EF230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以他人名义投标或允许他人以自己名义投标，或者以其他方式弄虚作假的</w:t>
            </w:r>
          </w:p>
        </w:tc>
        <w:tc>
          <w:tcPr>
            <w:tcW w:w="1188" w:type="dxa"/>
            <w:vAlign w:val="center"/>
          </w:tcPr>
          <w:p w14:paraId="6339350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058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4C3EC1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19</w:t>
            </w:r>
          </w:p>
        </w:tc>
        <w:tc>
          <w:tcPr>
            <w:tcW w:w="7796" w:type="dxa"/>
            <w:vAlign w:val="center"/>
          </w:tcPr>
          <w:p w14:paraId="26FAF4F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未按照采购合同约定及时提供全部货物的，或无故拖延工期的</w:t>
            </w:r>
          </w:p>
        </w:tc>
        <w:tc>
          <w:tcPr>
            <w:tcW w:w="1188" w:type="dxa"/>
            <w:vAlign w:val="center"/>
          </w:tcPr>
          <w:p w14:paraId="0B45CD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0E29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3" w:type="dxa"/>
            <w:vAlign w:val="center"/>
          </w:tcPr>
          <w:p w14:paraId="78E992E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20</w:t>
            </w:r>
          </w:p>
        </w:tc>
        <w:tc>
          <w:tcPr>
            <w:tcW w:w="7796" w:type="dxa"/>
            <w:vAlign w:val="center"/>
          </w:tcPr>
          <w:p w14:paraId="402D913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无故不提供中标要求的型号、配置等产品的，或有拆换、调换、截留产品零部件和备品备件的行为的</w:t>
            </w:r>
          </w:p>
        </w:tc>
        <w:tc>
          <w:tcPr>
            <w:tcW w:w="1188" w:type="dxa"/>
            <w:vAlign w:val="center"/>
          </w:tcPr>
          <w:p w14:paraId="22F2183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F1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15CE5CC0">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7796" w:type="dxa"/>
            <w:vAlign w:val="center"/>
          </w:tcPr>
          <w:p w14:paraId="743E97D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为获取自身利益，向采购人及其他有利害关系的单位或个人提供不正当利益的</w:t>
            </w:r>
          </w:p>
        </w:tc>
        <w:tc>
          <w:tcPr>
            <w:tcW w:w="1188" w:type="dxa"/>
            <w:vAlign w:val="center"/>
          </w:tcPr>
          <w:p w14:paraId="0DE3AB2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6B8E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E18CEAC">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7796" w:type="dxa"/>
            <w:vAlign w:val="center"/>
          </w:tcPr>
          <w:p w14:paraId="70BA268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提供假冒伪劣产品或走私物品的</w:t>
            </w:r>
          </w:p>
        </w:tc>
        <w:tc>
          <w:tcPr>
            <w:tcW w:w="1188" w:type="dxa"/>
            <w:vAlign w:val="center"/>
          </w:tcPr>
          <w:p w14:paraId="444CE3D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62B9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59A60C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7796" w:type="dxa"/>
            <w:vAlign w:val="center"/>
          </w:tcPr>
          <w:p w14:paraId="13AF95B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擅自变更、中止、终止或解除采购合同的</w:t>
            </w:r>
          </w:p>
        </w:tc>
        <w:tc>
          <w:tcPr>
            <w:tcW w:w="1188" w:type="dxa"/>
            <w:vAlign w:val="center"/>
          </w:tcPr>
          <w:p w14:paraId="58671C3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498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8A8A2C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7796" w:type="dxa"/>
            <w:vAlign w:val="center"/>
          </w:tcPr>
          <w:p w14:paraId="44343BC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向有关人员行贿或者提供不正当利益谋取中标的</w:t>
            </w:r>
          </w:p>
        </w:tc>
        <w:tc>
          <w:tcPr>
            <w:tcW w:w="1188" w:type="dxa"/>
            <w:vAlign w:val="center"/>
          </w:tcPr>
          <w:p w14:paraId="102881B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088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5B686B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25</w:t>
            </w:r>
          </w:p>
        </w:tc>
        <w:tc>
          <w:tcPr>
            <w:tcW w:w="7796" w:type="dxa"/>
            <w:vAlign w:val="center"/>
          </w:tcPr>
          <w:p w14:paraId="566F1CF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在采购活动期间，对管理机构、采购人、其他投标人、评标专家、中介机构等采购相关机构和人员，采取诋毁、诽谤、胁迫、暴力等不正当手段的</w:t>
            </w:r>
          </w:p>
        </w:tc>
        <w:tc>
          <w:tcPr>
            <w:tcW w:w="1188" w:type="dxa"/>
            <w:vAlign w:val="center"/>
          </w:tcPr>
          <w:p w14:paraId="108730A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7E3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vAlign w:val="center"/>
          </w:tcPr>
          <w:p w14:paraId="36AFB45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26</w:t>
            </w:r>
          </w:p>
        </w:tc>
        <w:tc>
          <w:tcPr>
            <w:tcW w:w="7796" w:type="dxa"/>
            <w:vAlign w:val="center"/>
          </w:tcPr>
          <w:p w14:paraId="2FEE618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szCs w:val="24"/>
              </w:rPr>
              <w:t>诸暨市教体局</w:t>
            </w:r>
            <w:r>
              <w:rPr>
                <w:rFonts w:hint="eastAsia" w:ascii="宋体" w:hAnsi="宋体" w:cs="宋体"/>
                <w:color w:val="auto"/>
                <w:sz w:val="24"/>
                <w:szCs w:val="24"/>
                <w:lang w:val="en-US" w:eastAsia="zh-CN"/>
              </w:rPr>
              <w:t>项目交易监管办公室</w:t>
            </w:r>
            <w:r>
              <w:rPr>
                <w:rFonts w:hint="eastAsia" w:ascii="宋体" w:hAnsi="宋体" w:eastAsia="宋体" w:cs="宋体"/>
                <w:color w:val="auto"/>
                <w:sz w:val="24"/>
              </w:rPr>
              <w:t>认定的其他违反采购管理的行为</w:t>
            </w:r>
          </w:p>
        </w:tc>
        <w:tc>
          <w:tcPr>
            <w:tcW w:w="1188" w:type="dxa"/>
            <w:vAlign w:val="center"/>
          </w:tcPr>
          <w:p w14:paraId="2099225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酌情处理</w:t>
            </w:r>
          </w:p>
        </w:tc>
      </w:tr>
    </w:tbl>
    <w:p w14:paraId="402C2150">
      <w:pPr>
        <w:pStyle w:val="3"/>
        <w:spacing w:beforeLines="50" w:afterLines="50" w:line="240" w:lineRule="exact"/>
        <w:jc w:val="center"/>
        <w:rPr>
          <w:rFonts w:hint="eastAsia" w:ascii="宋体" w:hAnsi="宋体" w:eastAsia="宋体" w:cs="宋体"/>
        </w:rPr>
      </w:pPr>
    </w:p>
    <w:p w14:paraId="7D5C1B37">
      <w:pPr>
        <w:pStyle w:val="3"/>
        <w:keepNext/>
        <w:keepLines/>
        <w:pageBreakBefore w:val="0"/>
        <w:widowControl w:val="0"/>
        <w:kinsoku/>
        <w:wordWrap/>
        <w:overflowPunct/>
        <w:topLinePunct w:val="0"/>
        <w:autoSpaceDE/>
        <w:autoSpaceDN/>
        <w:bidi w:val="0"/>
        <w:adjustRightInd/>
        <w:snapToGrid/>
        <w:spacing w:beforeLines="50" w:afterLines="50" w:line="240" w:lineRule="atLeast"/>
        <w:jc w:val="center"/>
        <w:textAlignment w:val="auto"/>
        <w:rPr>
          <w:rFonts w:hint="eastAsia" w:ascii="宋体" w:hAnsi="宋体" w:eastAsia="宋体" w:cs="宋体"/>
        </w:rPr>
      </w:pPr>
      <w:r>
        <w:rPr>
          <w:rFonts w:hint="eastAsia" w:ascii="宋体" w:hAnsi="宋体" w:eastAsia="宋体" w:cs="宋体"/>
        </w:rPr>
        <w:t>九、解释</w:t>
      </w:r>
      <w:bookmarkEnd w:id="10"/>
    </w:p>
    <w:p w14:paraId="63BBFB64">
      <w:pPr>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35.</w:t>
      </w:r>
      <w:r>
        <w:rPr>
          <w:rFonts w:hint="eastAsia" w:ascii="宋体" w:hAnsi="宋体" w:eastAsia="宋体" w:cs="宋体"/>
          <w:color w:val="auto"/>
          <w:sz w:val="24"/>
          <w:szCs w:val="24"/>
        </w:rPr>
        <w:t>本次采购活动接受诸暨市教体局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w:t>
      </w:r>
      <w:r>
        <w:rPr>
          <w:rFonts w:hint="eastAsia" w:ascii="宋体" w:hAnsi="宋体" w:eastAsia="宋体" w:cs="宋体"/>
          <w:color w:val="auto"/>
          <w:sz w:val="24"/>
          <w:szCs w:val="24"/>
        </w:rPr>
        <w:t>监督。</w:t>
      </w:r>
    </w:p>
    <w:p w14:paraId="0F9083FB">
      <w:pPr>
        <w:spacing w:line="300" w:lineRule="auto"/>
        <w:ind w:firstLine="482" w:firstLineChars="200"/>
        <w:rPr>
          <w:rFonts w:hint="eastAsia" w:ascii="宋体" w:hAnsi="宋体" w:eastAsia="宋体" w:cs="宋体"/>
          <w:b/>
          <w:sz w:val="24"/>
          <w:szCs w:val="24"/>
        </w:rPr>
        <w:sectPr>
          <w:pgSz w:w="11906" w:h="16838"/>
          <w:pgMar w:top="1021" w:right="1247" w:bottom="1021" w:left="1247" w:header="567" w:footer="454" w:gutter="0"/>
          <w:pgNumType w:fmt="numberInDash"/>
          <w:cols w:space="720" w:num="1"/>
          <w:titlePg/>
          <w:docGrid w:type="lines" w:linePitch="312" w:charSpace="0"/>
        </w:sectPr>
      </w:pPr>
      <w:r>
        <w:rPr>
          <w:rFonts w:hint="eastAsia" w:ascii="宋体" w:hAnsi="宋体" w:eastAsia="宋体" w:cs="宋体"/>
          <w:b/>
          <w:bCs/>
          <w:color w:val="auto"/>
          <w:sz w:val="24"/>
        </w:rPr>
        <w:t>36.</w:t>
      </w:r>
      <w:r>
        <w:rPr>
          <w:rFonts w:hint="eastAsia" w:ascii="宋体" w:hAnsi="宋体" w:eastAsia="宋体" w:cs="宋体"/>
          <w:color w:val="auto"/>
          <w:sz w:val="24"/>
        </w:rPr>
        <w:t>本招标文件的解释权属于采购单位和</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w:t>
      </w:r>
    </w:p>
    <w:p w14:paraId="512553F8">
      <w:pPr>
        <w:pStyle w:val="2"/>
        <w:spacing w:beforeLines="50" w:afterLines="50" w:line="400" w:lineRule="exact"/>
        <w:jc w:val="center"/>
        <w:rPr>
          <w:rFonts w:hint="eastAsia" w:ascii="宋体" w:hAnsi="宋体" w:eastAsia="宋体" w:cs="宋体"/>
          <w:bCs/>
          <w:color w:val="auto"/>
          <w:sz w:val="30"/>
          <w:szCs w:val="30"/>
          <w:u w:val="single"/>
        </w:rPr>
      </w:pPr>
      <w:r>
        <w:rPr>
          <w:rFonts w:hint="eastAsia" w:ascii="宋体" w:hAnsi="宋体" w:eastAsia="宋体" w:cs="宋体"/>
          <w:color w:val="auto"/>
          <w:sz w:val="36"/>
          <w:szCs w:val="36"/>
        </w:rPr>
        <w:t>第三章   评标办法及评分标准</w:t>
      </w:r>
    </w:p>
    <w:p w14:paraId="5BB6BED4">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sz w:val="24"/>
          <w:szCs w:val="24"/>
          <w:lang w:val="en-US" w:eastAsia="zh-CN"/>
        </w:rPr>
        <w:t>1、</w:t>
      </w:r>
      <w:r>
        <w:rPr>
          <w:rFonts w:hint="eastAsia" w:ascii="宋体" w:hAnsi="宋体" w:eastAsia="宋体" w:cs="宋体"/>
          <w:color w:val="auto"/>
          <w:sz w:val="24"/>
          <w:highlight w:val="none"/>
        </w:rPr>
        <w:t>采用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。即在符合招标文件要求的前提下，择定最高得分者为第一中标候选人，即预中标人。</w:t>
      </w:r>
    </w:p>
    <w:p w14:paraId="32D05B38">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sz w:val="24"/>
          <w:szCs w:val="24"/>
          <w:lang w:val="en-US" w:eastAsia="zh-CN"/>
        </w:rPr>
        <w:t>合格投标人的评标得分为各项目汇总得分，中标候选资格按评标得分由高到低顺序排列，得分相同的，按投标报价由低到高顺序排列；得分且投标报价相同的，按技术指标由高到低顺序排列。排名第一的投标人为中标候选人。评分过程中采用四舍五入法，并保留小数2位。</w:t>
      </w:r>
    </w:p>
    <w:p w14:paraId="1378D2BF">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、评分办法</w:t>
      </w:r>
    </w:p>
    <w:p w14:paraId="295D5915">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（1）满分为100分。得分=技术得分+商务得分；</w:t>
      </w:r>
    </w:p>
    <w:p w14:paraId="77BD37B7">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（2）技术得分=技术评分，技术评分=各评委的有效评分的算术平均数；</w:t>
      </w:r>
    </w:p>
    <w:p w14:paraId="7B065F0E">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（3）商务得分=（评标基准价/投标报价）*价格权值*100，评标基准价=有效投标人的最低投标报价，价格权值=</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0%。</w:t>
      </w:r>
    </w:p>
    <w:p w14:paraId="7E5B1924">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sz w:val="24"/>
          <w:szCs w:val="24"/>
          <w:lang w:val="en-US" w:eastAsia="zh-CN"/>
        </w:rPr>
        <w:t>（4）技术评分细则（50分）</w:t>
      </w:r>
    </w:p>
    <w:tbl>
      <w:tblPr>
        <w:tblStyle w:val="52"/>
        <w:tblW w:w="10073" w:type="dxa"/>
        <w:jc w:val="center"/>
        <w:tblLayout w:type="fixed"/>
        <w:tblCellMar>
          <w:top w:w="0" w:type="dxa"/>
          <w:left w:w="108" w:type="dxa"/>
          <w:bottom w:w="0" w:type="dxa"/>
          <w:right w:w="108" w:type="dxa"/>
        </w:tblCellMar>
      </w:tblPr>
      <w:tblGrid>
        <w:gridCol w:w="1475"/>
        <w:gridCol w:w="7645"/>
        <w:gridCol w:w="953"/>
      </w:tblGrid>
      <w:tr w14:paraId="4E4334EA">
        <w:tblPrEx>
          <w:tblCellMar>
            <w:top w:w="0" w:type="dxa"/>
            <w:left w:w="108" w:type="dxa"/>
            <w:bottom w:w="0" w:type="dxa"/>
            <w:right w:w="108" w:type="dxa"/>
          </w:tblCellMar>
        </w:tblPrEx>
        <w:trPr>
          <w:trHeight w:val="476"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000323F">
            <w:pPr>
              <w:widowControl/>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评分项</w:t>
            </w:r>
          </w:p>
        </w:tc>
        <w:tc>
          <w:tcPr>
            <w:tcW w:w="7645" w:type="dxa"/>
            <w:tcBorders>
              <w:top w:val="single" w:color="000000" w:sz="4" w:space="0"/>
              <w:left w:val="nil"/>
              <w:bottom w:val="single" w:color="000000" w:sz="4" w:space="0"/>
              <w:right w:val="single" w:color="000000" w:sz="4" w:space="0"/>
            </w:tcBorders>
            <w:noWrap w:val="0"/>
            <w:vAlign w:val="center"/>
          </w:tcPr>
          <w:p w14:paraId="2731042F">
            <w:pPr>
              <w:widowControl/>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953" w:type="dxa"/>
            <w:tcBorders>
              <w:top w:val="single" w:color="000000" w:sz="4" w:space="0"/>
              <w:left w:val="nil"/>
              <w:bottom w:val="single" w:color="000000" w:sz="4" w:space="0"/>
              <w:right w:val="single" w:color="000000" w:sz="4" w:space="0"/>
            </w:tcBorders>
            <w:noWrap w:val="0"/>
            <w:vAlign w:val="center"/>
          </w:tcPr>
          <w:p w14:paraId="74FD585A">
            <w:pPr>
              <w:keepNext w:val="0"/>
              <w:keepLines w:val="0"/>
              <w:pageBreakBefore w:val="0"/>
              <w:widowControl/>
              <w:kinsoku/>
              <w:wordWrap/>
              <w:overflowPunct/>
              <w:topLinePunct w:val="0"/>
              <w:bidi w:val="0"/>
              <w:adjustRightInd w:val="0"/>
              <w:snapToGrid w:val="0"/>
              <w:spacing w:line="240"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分值</w:t>
            </w:r>
          </w:p>
        </w:tc>
      </w:tr>
      <w:tr w14:paraId="60FDD0ED">
        <w:tblPrEx>
          <w:tblCellMar>
            <w:top w:w="0" w:type="dxa"/>
            <w:left w:w="108" w:type="dxa"/>
            <w:bottom w:w="0" w:type="dxa"/>
            <w:right w:w="108" w:type="dxa"/>
          </w:tblCellMar>
        </w:tblPrEx>
        <w:trPr>
          <w:trHeight w:val="712" w:hRule="atLeast"/>
          <w:jc w:val="center"/>
        </w:trPr>
        <w:tc>
          <w:tcPr>
            <w:tcW w:w="1475" w:type="dxa"/>
            <w:tcBorders>
              <w:top w:val="single" w:color="auto" w:sz="4" w:space="0"/>
              <w:left w:val="single" w:color="auto" w:sz="4" w:space="0"/>
              <w:bottom w:val="single" w:color="auto" w:sz="4" w:space="0"/>
              <w:right w:val="single" w:color="auto" w:sz="4" w:space="0"/>
            </w:tcBorders>
            <w:noWrap w:val="0"/>
            <w:vAlign w:val="center"/>
          </w:tcPr>
          <w:p w14:paraId="69691A43">
            <w:pPr>
              <w:widowControl/>
              <w:snapToGrid w:val="0"/>
              <w:jc w:val="center"/>
              <w:rPr>
                <w:rFonts w:hint="eastAsia" w:ascii="宋体" w:hAnsi="宋体" w:cs="宋体"/>
                <w:b/>
                <w:bCs/>
                <w:color w:val="auto"/>
                <w:sz w:val="24"/>
                <w:szCs w:val="24"/>
                <w:highlight w:val="none"/>
              </w:rPr>
            </w:pPr>
            <w:r>
              <w:rPr>
                <w:rFonts w:hint="eastAsia" w:ascii="宋体" w:hAnsi="宋体" w:cs="宋体"/>
                <w:b/>
                <w:color w:val="auto"/>
                <w:sz w:val="24"/>
                <w:szCs w:val="24"/>
                <w:highlight w:val="none"/>
              </w:rPr>
              <w:t>项目经验</w:t>
            </w:r>
          </w:p>
        </w:tc>
        <w:tc>
          <w:tcPr>
            <w:tcW w:w="7645" w:type="dxa"/>
            <w:tcBorders>
              <w:top w:val="single" w:color="000000" w:sz="4" w:space="0"/>
              <w:left w:val="single" w:color="auto" w:sz="4" w:space="0"/>
              <w:bottom w:val="single" w:color="auto" w:sz="4" w:space="0"/>
              <w:right w:val="single" w:color="000000" w:sz="4" w:space="0"/>
            </w:tcBorders>
            <w:noWrap w:val="0"/>
            <w:vAlign w:val="top"/>
          </w:tcPr>
          <w:p w14:paraId="68810DF0">
            <w:pPr>
              <w:widowControl/>
              <w:tabs>
                <w:tab w:val="left" w:pos="720"/>
              </w:tabs>
              <w:snapToGri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投标人在202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年1月1日以来参与同类保险合作项目（财产综合保险）的相关事例或者项目经验，</w:t>
            </w:r>
            <w:r>
              <w:rPr>
                <w:rFonts w:hint="eastAsia" w:ascii="宋体" w:hAnsi="宋体" w:eastAsia="宋体" w:cs="宋体"/>
                <w:kern w:val="0"/>
                <w:sz w:val="24"/>
                <w:szCs w:val="24"/>
              </w:rPr>
              <w:t>每个业绩合同得</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分，本项最多得</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w:t>
            </w:r>
            <w:r>
              <w:rPr>
                <w:rFonts w:hint="eastAsia" w:ascii="宋体" w:hAnsi="宋体" w:eastAsia="宋体" w:cs="宋体"/>
                <w:bCs/>
                <w:color w:val="auto"/>
                <w:sz w:val="24"/>
                <w:szCs w:val="24"/>
                <w:highlight w:val="none"/>
              </w:rPr>
              <w:t>需提供证明材料，如政府文件、公共资源交易网截图、中标通知书、保险协议、保险单复印件等相关证明资料。不提供不得分。</w:t>
            </w:r>
          </w:p>
        </w:tc>
        <w:tc>
          <w:tcPr>
            <w:tcW w:w="953" w:type="dxa"/>
            <w:tcBorders>
              <w:top w:val="single" w:color="000000" w:sz="4" w:space="0"/>
              <w:left w:val="single" w:color="auto" w:sz="4" w:space="0"/>
              <w:bottom w:val="single" w:color="000000" w:sz="4" w:space="0"/>
              <w:right w:val="single" w:color="000000" w:sz="4" w:space="0"/>
            </w:tcBorders>
            <w:noWrap w:val="0"/>
            <w:vAlign w:val="center"/>
          </w:tcPr>
          <w:p w14:paraId="15E367FE">
            <w:pPr>
              <w:keepNext w:val="0"/>
              <w:keepLines w:val="0"/>
              <w:pageBreakBefore w:val="0"/>
              <w:widowControl/>
              <w:tabs>
                <w:tab w:val="left" w:pos="720"/>
              </w:tabs>
              <w:kinsoku/>
              <w:wordWrap/>
              <w:overflowPunct/>
              <w:topLinePunct w:val="0"/>
              <w:bidi w:val="0"/>
              <w:adjustRightInd w:val="0"/>
              <w:snapToGrid w:val="0"/>
              <w:spacing w:line="240" w:lineRule="atLeas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3分</w:t>
            </w:r>
          </w:p>
        </w:tc>
      </w:tr>
      <w:tr w14:paraId="71586FB4">
        <w:tblPrEx>
          <w:tblCellMar>
            <w:top w:w="0" w:type="dxa"/>
            <w:left w:w="108" w:type="dxa"/>
            <w:bottom w:w="0" w:type="dxa"/>
            <w:right w:w="108" w:type="dxa"/>
          </w:tblCellMar>
        </w:tblPrEx>
        <w:trPr>
          <w:trHeight w:val="983" w:hRule="atLeast"/>
          <w:jc w:val="center"/>
        </w:trPr>
        <w:tc>
          <w:tcPr>
            <w:tcW w:w="1475" w:type="dxa"/>
            <w:vMerge w:val="restart"/>
            <w:tcBorders>
              <w:top w:val="nil"/>
              <w:left w:val="single" w:color="000000" w:sz="4" w:space="0"/>
              <w:bottom w:val="single" w:color="000000" w:sz="4" w:space="0"/>
              <w:right w:val="single" w:color="000000" w:sz="4" w:space="0"/>
            </w:tcBorders>
            <w:noWrap w:val="0"/>
            <w:vAlign w:val="center"/>
          </w:tcPr>
          <w:p w14:paraId="5B169E64">
            <w:pPr>
              <w:widowControl/>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商务资信</w:t>
            </w:r>
          </w:p>
        </w:tc>
        <w:tc>
          <w:tcPr>
            <w:tcW w:w="7645" w:type="dxa"/>
            <w:tcBorders>
              <w:top w:val="single" w:color="000000" w:sz="4" w:space="0"/>
              <w:left w:val="nil"/>
              <w:bottom w:val="single" w:color="000000" w:sz="4" w:space="0"/>
              <w:right w:val="single" w:color="000000" w:sz="4" w:space="0"/>
            </w:tcBorders>
            <w:noWrap w:val="0"/>
            <w:vAlign w:val="top"/>
          </w:tcPr>
          <w:p w14:paraId="4BD74DB1">
            <w:pPr>
              <w:widowControl/>
              <w:numPr>
                <w:ilvl w:val="0"/>
                <w:numId w:val="12"/>
              </w:numPr>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投标人整体实力(5分)</w:t>
            </w:r>
          </w:p>
          <w:p w14:paraId="7A97EEDA">
            <w:pPr>
              <w:widowControl/>
              <w:numPr>
                <w:ilvl w:val="0"/>
                <w:numId w:val="0"/>
              </w:numPr>
              <w:snapToGrid w:val="0"/>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rPr>
              <w:t>根据投标人在本项目实施地的分支机构2025年整体保费规模情况进行打分，第一名得5分，第二名得4分，第三名得3分，第4名得2分，第五名及以</w:t>
            </w:r>
            <w:r>
              <w:rPr>
                <w:rFonts w:hint="eastAsia" w:ascii="宋体" w:hAnsi="宋体" w:cs="宋体"/>
                <w:b w:val="0"/>
                <w:bCs w:val="0"/>
                <w:color w:val="auto"/>
                <w:sz w:val="24"/>
                <w:szCs w:val="24"/>
                <w:highlight w:val="none"/>
                <w:lang w:val="en-US" w:eastAsia="zh-CN"/>
              </w:rPr>
              <w:t>后</w:t>
            </w:r>
            <w:r>
              <w:rPr>
                <w:rFonts w:hint="eastAsia" w:ascii="宋体" w:hAnsi="宋体" w:eastAsia="宋体" w:cs="宋体"/>
                <w:b w:val="0"/>
                <w:bCs w:val="0"/>
                <w:color w:val="auto"/>
                <w:sz w:val="24"/>
                <w:szCs w:val="24"/>
                <w:highlight w:val="none"/>
              </w:rPr>
              <w:t>的得1分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(以绍兴市保险行业协会官网公布的诸暨市全市保险业务统计表数据为依据，并加盖投标人盖章，不提供不得分)</w:t>
            </w:r>
          </w:p>
        </w:tc>
        <w:tc>
          <w:tcPr>
            <w:tcW w:w="953" w:type="dxa"/>
            <w:tcBorders>
              <w:top w:val="single" w:color="000000" w:sz="4" w:space="0"/>
              <w:left w:val="nil"/>
              <w:bottom w:val="single" w:color="000000" w:sz="4" w:space="0"/>
              <w:right w:val="single" w:color="000000" w:sz="4" w:space="0"/>
            </w:tcBorders>
            <w:noWrap w:val="0"/>
            <w:vAlign w:val="center"/>
          </w:tcPr>
          <w:p w14:paraId="390D914F">
            <w:pPr>
              <w:keepNext w:val="0"/>
              <w:keepLines w:val="0"/>
              <w:pageBreakBefore w:val="0"/>
              <w:widowControl/>
              <w:kinsoku/>
              <w:wordWrap/>
              <w:overflowPunct/>
              <w:topLinePunct w:val="0"/>
              <w:bidi w:val="0"/>
              <w:adjustRightInd w:val="0"/>
              <w:snapToGrid w:val="0"/>
              <w:spacing w:line="24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14:paraId="1A1E2226">
        <w:tblPrEx>
          <w:tblCellMar>
            <w:top w:w="0" w:type="dxa"/>
            <w:left w:w="108" w:type="dxa"/>
            <w:bottom w:w="0" w:type="dxa"/>
            <w:right w:w="108" w:type="dxa"/>
          </w:tblCellMar>
        </w:tblPrEx>
        <w:trPr>
          <w:trHeight w:val="666" w:hRule="atLeast"/>
          <w:jc w:val="center"/>
        </w:trPr>
        <w:tc>
          <w:tcPr>
            <w:tcW w:w="1475" w:type="dxa"/>
            <w:vMerge w:val="continue"/>
            <w:tcBorders>
              <w:top w:val="nil"/>
              <w:left w:val="single" w:color="000000" w:sz="4" w:space="0"/>
              <w:bottom w:val="single" w:color="000000" w:sz="4" w:space="0"/>
              <w:right w:val="single" w:color="000000" w:sz="4" w:space="0"/>
            </w:tcBorders>
            <w:noWrap w:val="0"/>
            <w:vAlign w:val="center"/>
          </w:tcPr>
          <w:p w14:paraId="383F2BFB">
            <w:pPr>
              <w:widowControl/>
              <w:snapToGrid w:val="0"/>
              <w:jc w:val="center"/>
              <w:rPr>
                <w:rFonts w:hint="eastAsia" w:ascii="宋体" w:hAnsi="宋体" w:cs="宋体"/>
                <w:b/>
                <w:bCs/>
                <w:color w:val="auto"/>
                <w:sz w:val="24"/>
                <w:szCs w:val="24"/>
                <w:highlight w:val="none"/>
              </w:rPr>
            </w:pPr>
          </w:p>
        </w:tc>
        <w:tc>
          <w:tcPr>
            <w:tcW w:w="7645" w:type="dxa"/>
            <w:tcBorders>
              <w:top w:val="single" w:color="000000" w:sz="4" w:space="0"/>
              <w:left w:val="nil"/>
              <w:bottom w:val="single" w:color="000000" w:sz="4" w:space="0"/>
              <w:right w:val="single" w:color="000000" w:sz="4" w:space="0"/>
            </w:tcBorders>
            <w:noWrap w:val="0"/>
            <w:vAlign w:val="top"/>
          </w:tcPr>
          <w:p w14:paraId="3D56821C">
            <w:pPr>
              <w:widowControl/>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综合</w:t>
            </w:r>
            <w:r>
              <w:rPr>
                <w:rFonts w:hint="eastAsia" w:ascii="宋体" w:hAnsi="宋体" w:eastAsia="宋体" w:cs="宋体"/>
                <w:b/>
                <w:color w:val="auto"/>
                <w:sz w:val="24"/>
                <w:szCs w:val="24"/>
                <w:highlight w:val="none"/>
              </w:rPr>
              <w:t>偿付能力充足率（5分）</w:t>
            </w:r>
          </w:p>
          <w:p w14:paraId="1EE6F173">
            <w:pPr>
              <w:widowControl/>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年末总公司</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偿付能力，</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偿付能力充足率</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200%，得5分；150%</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综合偿付能力充足率</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200%，得3分；</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偿付能力充足率</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得1分。</w:t>
            </w:r>
          </w:p>
          <w:p w14:paraId="6C19268D">
            <w:pPr>
              <w:widowControl/>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提供投标人官网披露信息为准。</w:t>
            </w:r>
          </w:p>
        </w:tc>
        <w:tc>
          <w:tcPr>
            <w:tcW w:w="953" w:type="dxa"/>
            <w:tcBorders>
              <w:top w:val="single" w:color="000000" w:sz="4" w:space="0"/>
              <w:left w:val="nil"/>
              <w:bottom w:val="single" w:color="000000" w:sz="4" w:space="0"/>
              <w:right w:val="single" w:color="000000" w:sz="4" w:space="0"/>
            </w:tcBorders>
            <w:noWrap w:val="0"/>
            <w:vAlign w:val="center"/>
          </w:tcPr>
          <w:p w14:paraId="0887E52C">
            <w:pPr>
              <w:keepNext w:val="0"/>
              <w:keepLines w:val="0"/>
              <w:pageBreakBefore w:val="0"/>
              <w:widowControl/>
              <w:kinsoku/>
              <w:wordWrap/>
              <w:overflowPunct/>
              <w:topLinePunct w:val="0"/>
              <w:bidi w:val="0"/>
              <w:adjustRightInd w:val="0"/>
              <w:snapToGrid w:val="0"/>
              <w:spacing w:line="24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5分</w:t>
            </w:r>
          </w:p>
        </w:tc>
      </w:tr>
      <w:tr w14:paraId="6B25305C">
        <w:tblPrEx>
          <w:tblCellMar>
            <w:top w:w="0" w:type="dxa"/>
            <w:left w:w="108" w:type="dxa"/>
            <w:bottom w:w="0" w:type="dxa"/>
            <w:right w:w="108" w:type="dxa"/>
          </w:tblCellMar>
        </w:tblPrEx>
        <w:trPr>
          <w:trHeight w:val="346" w:hRule="atLeast"/>
          <w:jc w:val="center"/>
        </w:trPr>
        <w:tc>
          <w:tcPr>
            <w:tcW w:w="1475" w:type="dxa"/>
            <w:vMerge w:val="continue"/>
            <w:tcBorders>
              <w:top w:val="nil"/>
              <w:left w:val="single" w:color="000000" w:sz="4" w:space="0"/>
              <w:bottom w:val="single" w:color="auto" w:sz="4" w:space="0"/>
              <w:right w:val="single" w:color="000000" w:sz="4" w:space="0"/>
            </w:tcBorders>
            <w:noWrap w:val="0"/>
            <w:vAlign w:val="center"/>
          </w:tcPr>
          <w:p w14:paraId="118E2122">
            <w:pPr>
              <w:widowControl/>
              <w:snapToGrid w:val="0"/>
              <w:jc w:val="center"/>
              <w:rPr>
                <w:rFonts w:hint="eastAsia" w:ascii="宋体" w:hAnsi="宋体" w:cs="宋体"/>
                <w:b/>
                <w:bCs/>
                <w:color w:val="auto"/>
                <w:sz w:val="24"/>
                <w:szCs w:val="24"/>
                <w:highlight w:val="none"/>
              </w:rPr>
            </w:pPr>
          </w:p>
        </w:tc>
        <w:tc>
          <w:tcPr>
            <w:tcW w:w="7645" w:type="dxa"/>
            <w:tcBorders>
              <w:top w:val="single" w:color="000000" w:sz="4" w:space="0"/>
              <w:left w:val="nil"/>
              <w:bottom w:val="single" w:color="000000" w:sz="4" w:space="0"/>
              <w:right w:val="single" w:color="000000" w:sz="4" w:space="0"/>
            </w:tcBorders>
            <w:noWrap w:val="0"/>
            <w:vAlign w:val="top"/>
          </w:tcPr>
          <w:p w14:paraId="12879C79">
            <w:pPr>
              <w:widowControl/>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w:t>
            </w:r>
            <w:r>
              <w:rPr>
                <w:rFonts w:hint="eastAsia" w:ascii="宋体" w:hAnsi="宋体" w:eastAsia="宋体" w:cs="宋体"/>
                <w:b/>
                <w:bCs/>
                <w:color w:val="auto"/>
                <w:sz w:val="24"/>
                <w:szCs w:val="24"/>
                <w:highlight w:val="none"/>
                <w:lang w:eastAsia="zh-CN"/>
              </w:rPr>
              <w:t>评价</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14:paraId="428627FB">
            <w:pPr>
              <w:pStyle w:val="255"/>
              <w:ind w:left="0" w:leftChars="0"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rPr>
              <w:t>投标人所属总公司在关于国家金融监督管理总局关于202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前</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季度保险消费投诉情况的通报公布的保险消费投诉指标情况统计表（财产保险公司）亿元保费投诉量（件/亿元）情况进行打分：投诉量≤0.7的得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分，0.7＜投诉量≤0.8的得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分，投诉量＞0.8的得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rPr>
              <w:br w:type="textWrapping"/>
            </w:r>
            <w:r>
              <w:rPr>
                <w:rFonts w:hint="eastAsia" w:ascii="宋体" w:hAnsi="宋体" w:eastAsia="宋体" w:cs="宋体"/>
                <w:b/>
                <w:bCs/>
                <w:color w:val="auto"/>
                <w:kern w:val="0"/>
                <w:sz w:val="24"/>
                <w:szCs w:val="24"/>
                <w:highlight w:val="none"/>
              </w:rPr>
              <w:t>注：投标人提供国家金融监督管理总局官方网截图及国家金融监督管理总局关于2025年</w:t>
            </w:r>
            <w:r>
              <w:rPr>
                <w:rFonts w:hint="eastAsia" w:ascii="宋体" w:hAnsi="宋体" w:cs="宋体"/>
                <w:b/>
                <w:bCs/>
                <w:color w:val="auto"/>
                <w:kern w:val="0"/>
                <w:sz w:val="24"/>
                <w:szCs w:val="24"/>
                <w:highlight w:val="none"/>
                <w:lang w:val="en-US" w:eastAsia="zh-CN"/>
              </w:rPr>
              <w:t>前</w:t>
            </w:r>
            <w:r>
              <w:rPr>
                <w:rFonts w:hint="eastAsia" w:ascii="宋体" w:hAnsi="宋体" w:eastAsia="宋体" w:cs="宋体"/>
                <w:b/>
                <w:bCs/>
                <w:color w:val="auto"/>
                <w:kern w:val="0"/>
                <w:sz w:val="24"/>
                <w:szCs w:val="24"/>
                <w:highlight w:val="none"/>
              </w:rPr>
              <w:t>三季度保险消费投诉情况</w:t>
            </w:r>
            <w:r>
              <w:rPr>
                <w:rFonts w:hint="eastAsia" w:ascii="宋体" w:hAnsi="宋体" w:eastAsia="宋体" w:cs="宋体"/>
                <w:b/>
                <w:bCs/>
                <w:color w:val="auto"/>
                <w:kern w:val="0"/>
                <w:sz w:val="24"/>
                <w:szCs w:val="24"/>
                <w:highlight w:val="none"/>
                <w:lang w:val="en-US" w:eastAsia="zh-CN"/>
              </w:rPr>
              <w:t>的</w:t>
            </w:r>
            <w:r>
              <w:rPr>
                <w:rFonts w:hint="eastAsia" w:ascii="宋体" w:hAnsi="宋体" w:eastAsia="宋体" w:cs="宋体"/>
                <w:b/>
                <w:bCs/>
                <w:color w:val="auto"/>
                <w:kern w:val="0"/>
                <w:sz w:val="24"/>
                <w:szCs w:val="24"/>
                <w:highlight w:val="none"/>
              </w:rPr>
              <w:t>通报附件并加盖投标人</w:t>
            </w:r>
            <w:r>
              <w:rPr>
                <w:rFonts w:hint="eastAsia" w:ascii="宋体" w:hAnsi="宋体" w:eastAsia="宋体" w:cs="宋体"/>
                <w:b/>
                <w:bCs/>
                <w:color w:val="auto"/>
                <w:kern w:val="0"/>
                <w:sz w:val="24"/>
                <w:szCs w:val="24"/>
                <w:highlight w:val="none"/>
                <w:lang w:val="en-US" w:eastAsia="zh-CN"/>
              </w:rPr>
              <w:t>CA签章</w:t>
            </w:r>
            <w:r>
              <w:rPr>
                <w:rFonts w:hint="eastAsia" w:ascii="宋体" w:hAnsi="宋体" w:eastAsia="宋体" w:cs="宋体"/>
                <w:b/>
                <w:bCs/>
                <w:color w:val="auto"/>
                <w:kern w:val="0"/>
                <w:sz w:val="24"/>
                <w:szCs w:val="24"/>
                <w:highlight w:val="none"/>
              </w:rPr>
              <w:t>，不提供不得分。</w:t>
            </w:r>
          </w:p>
        </w:tc>
        <w:tc>
          <w:tcPr>
            <w:tcW w:w="953" w:type="dxa"/>
            <w:tcBorders>
              <w:top w:val="single" w:color="000000" w:sz="4" w:space="0"/>
              <w:left w:val="nil"/>
              <w:bottom w:val="single" w:color="000000" w:sz="4" w:space="0"/>
              <w:right w:val="single" w:color="000000" w:sz="4" w:space="0"/>
            </w:tcBorders>
            <w:noWrap w:val="0"/>
            <w:vAlign w:val="center"/>
          </w:tcPr>
          <w:p w14:paraId="5B934409">
            <w:pPr>
              <w:pStyle w:val="255"/>
              <w:keepNext w:val="0"/>
              <w:keepLines w:val="0"/>
              <w:pageBreakBefore w:val="0"/>
              <w:kinsoku/>
              <w:wordWrap/>
              <w:overflowPunct/>
              <w:topLinePunct w:val="0"/>
              <w:bidi w:val="0"/>
              <w:adjustRightInd w:val="0"/>
              <w:snapToGrid w:val="0"/>
              <w:spacing w:after="0" w:line="240" w:lineRule="atLeast"/>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6分</w:t>
            </w:r>
          </w:p>
        </w:tc>
      </w:tr>
      <w:tr w14:paraId="65677D93">
        <w:tblPrEx>
          <w:tblCellMar>
            <w:top w:w="0" w:type="dxa"/>
            <w:left w:w="108" w:type="dxa"/>
            <w:bottom w:w="0" w:type="dxa"/>
            <w:right w:w="108" w:type="dxa"/>
          </w:tblCellMar>
        </w:tblPrEx>
        <w:trPr>
          <w:trHeight w:val="709" w:hRule="atLeast"/>
          <w:jc w:val="center"/>
        </w:trPr>
        <w:tc>
          <w:tcPr>
            <w:tcW w:w="1475" w:type="dxa"/>
            <w:vMerge w:val="restart"/>
            <w:tcBorders>
              <w:top w:val="nil"/>
              <w:left w:val="single" w:color="000000" w:sz="4" w:space="0"/>
              <w:right w:val="single" w:color="000000" w:sz="4" w:space="0"/>
            </w:tcBorders>
            <w:noWrap w:val="0"/>
            <w:vAlign w:val="center"/>
          </w:tcPr>
          <w:p w14:paraId="786B0A11">
            <w:pPr>
              <w:widowControl/>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服务能力</w:t>
            </w:r>
          </w:p>
        </w:tc>
        <w:tc>
          <w:tcPr>
            <w:tcW w:w="7645" w:type="dxa"/>
            <w:tcBorders>
              <w:top w:val="single" w:color="000000" w:sz="4" w:space="0"/>
              <w:left w:val="nil"/>
              <w:bottom w:val="single" w:color="000000" w:sz="4" w:space="0"/>
              <w:right w:val="single" w:color="000000" w:sz="4" w:space="0"/>
            </w:tcBorders>
            <w:noWrap w:val="0"/>
            <w:vAlign w:val="top"/>
          </w:tcPr>
          <w:p w14:paraId="044763F3">
            <w:pPr>
              <w:widowControl/>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1.服务渠道（4分）</w:t>
            </w:r>
          </w:p>
          <w:p w14:paraId="2AE111BA">
            <w:pPr>
              <w:pStyle w:val="255"/>
              <w:ind w:left="0" w:leftChars="0" w:firstLine="0" w:firstLineChars="0"/>
              <w:rPr>
                <w:rFonts w:hint="eastAsia" w:ascii="宋体" w:hAnsi="宋体" w:eastAsia="宋体" w:cs="宋体"/>
                <w:sz w:val="24"/>
                <w:szCs w:val="24"/>
              </w:rPr>
            </w:pPr>
            <w:r>
              <w:rPr>
                <w:rFonts w:hint="eastAsia" w:ascii="宋体" w:hAnsi="宋体" w:eastAsia="宋体" w:cs="宋体"/>
                <w:color w:val="auto"/>
                <w:sz w:val="24"/>
                <w:szCs w:val="24"/>
                <w:highlight w:val="none"/>
              </w:rPr>
              <w:t>具备网络、电话、短信、网点及专员等多样化服务渠道，便于投保人对本合作项目的问题咨询，充分体现服务的人性化和各类服务渠道的便捷性。</w:t>
            </w:r>
            <w:r>
              <w:rPr>
                <w:rFonts w:hint="eastAsia" w:ascii="宋体" w:hAnsi="宋体" w:eastAsia="宋体" w:cs="宋体"/>
                <w:color w:val="000000"/>
                <w:sz w:val="24"/>
                <w:szCs w:val="24"/>
                <w:lang w:val="en-US" w:eastAsia="zh-CN" w:bidi="ar-SA"/>
              </w:rPr>
              <w:t>（评分范围：4，3，2，1，0）</w:t>
            </w:r>
          </w:p>
        </w:tc>
        <w:tc>
          <w:tcPr>
            <w:tcW w:w="953" w:type="dxa"/>
            <w:tcBorders>
              <w:top w:val="single" w:color="000000" w:sz="4" w:space="0"/>
              <w:left w:val="nil"/>
              <w:bottom w:val="single" w:color="000000" w:sz="4" w:space="0"/>
              <w:right w:val="single" w:color="000000" w:sz="4" w:space="0"/>
            </w:tcBorders>
            <w:noWrap w:val="0"/>
            <w:vAlign w:val="center"/>
          </w:tcPr>
          <w:p w14:paraId="11C745F5">
            <w:pPr>
              <w:pStyle w:val="255"/>
              <w:keepNext w:val="0"/>
              <w:keepLines w:val="0"/>
              <w:pageBreakBefore w:val="0"/>
              <w:kinsoku/>
              <w:wordWrap/>
              <w:overflowPunct/>
              <w:topLinePunct w:val="0"/>
              <w:bidi w:val="0"/>
              <w:adjustRightInd w:val="0"/>
              <w:snapToGrid w:val="0"/>
              <w:spacing w:after="0" w:line="240" w:lineRule="atLeas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r>
      <w:tr w14:paraId="02FA9840">
        <w:tblPrEx>
          <w:tblCellMar>
            <w:top w:w="0" w:type="dxa"/>
            <w:left w:w="108" w:type="dxa"/>
            <w:bottom w:w="0" w:type="dxa"/>
            <w:right w:w="108" w:type="dxa"/>
          </w:tblCellMar>
        </w:tblPrEx>
        <w:trPr>
          <w:trHeight w:val="2101" w:hRule="atLeast"/>
          <w:jc w:val="center"/>
        </w:trPr>
        <w:tc>
          <w:tcPr>
            <w:tcW w:w="1475" w:type="dxa"/>
            <w:vMerge w:val="continue"/>
            <w:tcBorders>
              <w:left w:val="single" w:color="000000" w:sz="4" w:space="0"/>
              <w:right w:val="single" w:color="000000" w:sz="4" w:space="0"/>
            </w:tcBorders>
            <w:noWrap w:val="0"/>
            <w:vAlign w:val="center"/>
          </w:tcPr>
          <w:p w14:paraId="347ABBD3">
            <w:pPr>
              <w:widowControl/>
              <w:autoSpaceDE/>
              <w:autoSpaceDN/>
              <w:adjustRightInd/>
              <w:jc w:val="left"/>
              <w:rPr>
                <w:rFonts w:hint="eastAsia" w:ascii="宋体" w:hAnsi="宋体" w:cs="宋体"/>
                <w:b/>
                <w:bCs/>
                <w:color w:val="auto"/>
                <w:sz w:val="24"/>
                <w:szCs w:val="24"/>
                <w:highlight w:val="none"/>
              </w:rPr>
            </w:pPr>
          </w:p>
        </w:tc>
        <w:tc>
          <w:tcPr>
            <w:tcW w:w="7645" w:type="dxa"/>
            <w:tcBorders>
              <w:top w:val="single" w:color="000000" w:sz="4" w:space="0"/>
              <w:left w:val="nil"/>
              <w:bottom w:val="single" w:color="000000" w:sz="4" w:space="0"/>
              <w:right w:val="single" w:color="000000" w:sz="4" w:space="0"/>
            </w:tcBorders>
            <w:noWrap w:val="0"/>
            <w:vAlign w:val="top"/>
          </w:tcPr>
          <w:p w14:paraId="38554F00">
            <w:pPr>
              <w:widowControl/>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2.项目服务能力（</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分）</w:t>
            </w:r>
          </w:p>
          <w:p w14:paraId="619D1D4B">
            <w:pPr>
              <w:widowControl/>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(1)服务网点设置设立情况及承保服务网点承诺定期上门服务情况打分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p>
          <w:p w14:paraId="0E5E8F19">
            <w:pPr>
              <w:widowControl/>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按属地营业执照及保险许可证复印件为依据，两证齐全每提供一项得1分，最高不超过</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w:t>
            </w:r>
          </w:p>
          <w:p w14:paraId="0A29D9DD">
            <w:pPr>
              <w:widowControl/>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(2)根据投标人拟投入本项目服务团队</w:t>
            </w:r>
            <w:r>
              <w:rPr>
                <w:rFonts w:hint="eastAsia" w:ascii="宋体" w:hAnsi="宋体" w:eastAsia="宋体" w:cs="宋体"/>
                <w:color w:val="auto"/>
                <w:sz w:val="24"/>
                <w:szCs w:val="24"/>
                <w:highlight w:val="none"/>
                <w:lang w:val="en-US" w:eastAsia="zh-CN"/>
              </w:rPr>
              <w:t>情况（如</w:t>
            </w:r>
            <w:r>
              <w:rPr>
                <w:rFonts w:hint="eastAsia" w:ascii="宋体" w:hAnsi="宋体" w:eastAsia="宋体" w:cs="宋体"/>
                <w:color w:val="auto"/>
                <w:sz w:val="24"/>
                <w:szCs w:val="24"/>
                <w:highlight w:val="none"/>
              </w:rPr>
              <w:t>人员数量、配置情况、经验、专业度等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（评分范围：4，3，2，1，0）</w:t>
            </w:r>
          </w:p>
          <w:p w14:paraId="0BE47CD1">
            <w:pPr>
              <w:widowControl/>
              <w:snapToGrid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注：须提供拟投入人员名单、相关证明材料（经验履历、证书等）及投标人或投标人总公司为其缴纳的近三个月</w:t>
            </w:r>
            <w:r>
              <w:rPr>
                <w:rFonts w:hint="eastAsia" w:ascii="宋体" w:hAnsi="宋体" w:eastAsia="宋体" w:cs="宋体"/>
                <w:b/>
                <w:bCs/>
                <w:color w:val="auto"/>
                <w:sz w:val="24"/>
                <w:szCs w:val="24"/>
                <w:highlight w:val="none"/>
                <w:lang w:val="en-US" w:eastAsia="zh-CN"/>
              </w:rPr>
              <w:t>内任意一月</w:t>
            </w:r>
            <w:r>
              <w:rPr>
                <w:rFonts w:hint="eastAsia" w:ascii="宋体" w:hAnsi="宋体" w:eastAsia="宋体" w:cs="宋体"/>
                <w:b/>
                <w:bCs/>
                <w:color w:val="auto"/>
                <w:sz w:val="24"/>
                <w:szCs w:val="24"/>
                <w:highlight w:val="none"/>
              </w:rPr>
              <w:t>社保证明并加盖投标人公章，不提供不得分。</w:t>
            </w:r>
          </w:p>
        </w:tc>
        <w:tc>
          <w:tcPr>
            <w:tcW w:w="953" w:type="dxa"/>
            <w:tcBorders>
              <w:top w:val="single" w:color="000000" w:sz="4" w:space="0"/>
              <w:left w:val="nil"/>
              <w:bottom w:val="single" w:color="000000" w:sz="4" w:space="0"/>
              <w:right w:val="single" w:color="000000" w:sz="4" w:space="0"/>
            </w:tcBorders>
            <w:noWrap w:val="0"/>
            <w:vAlign w:val="center"/>
          </w:tcPr>
          <w:p w14:paraId="68D6A904">
            <w:pPr>
              <w:keepNext w:val="0"/>
              <w:keepLines w:val="0"/>
              <w:pageBreakBefore w:val="0"/>
              <w:widowControl/>
              <w:kinsoku/>
              <w:wordWrap/>
              <w:overflowPunct/>
              <w:topLinePunct w:val="0"/>
              <w:bidi w:val="0"/>
              <w:adjustRightInd w:val="0"/>
              <w:snapToGrid w:val="0"/>
              <w:spacing w:line="24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r>
      <w:tr w14:paraId="2E06A9B4">
        <w:tblPrEx>
          <w:tblCellMar>
            <w:top w:w="0" w:type="dxa"/>
            <w:left w:w="108" w:type="dxa"/>
            <w:bottom w:w="0" w:type="dxa"/>
            <w:right w:w="108" w:type="dxa"/>
          </w:tblCellMar>
        </w:tblPrEx>
        <w:trPr>
          <w:trHeight w:val="165" w:hRule="atLeast"/>
          <w:jc w:val="center"/>
        </w:trPr>
        <w:tc>
          <w:tcPr>
            <w:tcW w:w="1475" w:type="dxa"/>
            <w:vMerge w:val="continue"/>
            <w:tcBorders>
              <w:left w:val="single" w:color="000000" w:sz="4" w:space="0"/>
              <w:right w:val="single" w:color="000000" w:sz="4" w:space="0"/>
            </w:tcBorders>
            <w:noWrap w:val="0"/>
            <w:vAlign w:val="center"/>
          </w:tcPr>
          <w:p w14:paraId="39E8E97E">
            <w:pPr>
              <w:widowControl/>
              <w:autoSpaceDE/>
              <w:autoSpaceDN/>
              <w:adjustRightInd/>
              <w:jc w:val="left"/>
              <w:rPr>
                <w:rFonts w:hint="eastAsia" w:ascii="宋体" w:hAnsi="宋体" w:cs="宋体"/>
                <w:b/>
                <w:bCs/>
                <w:color w:val="auto"/>
                <w:sz w:val="24"/>
                <w:szCs w:val="24"/>
                <w:highlight w:val="none"/>
              </w:rPr>
            </w:pPr>
          </w:p>
        </w:tc>
        <w:tc>
          <w:tcPr>
            <w:tcW w:w="7645" w:type="dxa"/>
            <w:tcBorders>
              <w:top w:val="single" w:color="000000" w:sz="4" w:space="0"/>
              <w:left w:val="nil"/>
              <w:bottom w:val="single" w:color="000000" w:sz="4" w:space="0"/>
              <w:right w:val="single" w:color="000000" w:sz="4" w:space="0"/>
            </w:tcBorders>
            <w:noWrap w:val="0"/>
            <w:vAlign w:val="top"/>
          </w:tcPr>
          <w:p w14:paraId="5EC9D8BC">
            <w:pPr>
              <w:widowControl/>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3.保险培训方案（4分）</w:t>
            </w:r>
          </w:p>
          <w:p w14:paraId="0EF55BCA">
            <w:pPr>
              <w:widowControl/>
              <w:snapToGrid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w:t>
            </w:r>
            <w:r>
              <w:rPr>
                <w:rFonts w:hint="eastAsia" w:ascii="宋体" w:hAnsi="宋体" w:eastAsia="宋体" w:cs="宋体"/>
                <w:color w:val="auto"/>
                <w:sz w:val="24"/>
                <w:szCs w:val="24"/>
                <w:highlight w:val="none"/>
              </w:rPr>
              <w:t>据培训次数、内容的配套性和针对性、授课专家等情况酌情</w:t>
            </w:r>
            <w:r>
              <w:rPr>
                <w:rFonts w:hint="eastAsia" w:ascii="宋体" w:hAnsi="宋体" w:eastAsia="宋体" w:cs="宋体"/>
                <w:color w:val="auto"/>
                <w:sz w:val="24"/>
                <w:szCs w:val="24"/>
                <w:highlight w:val="none"/>
                <w:lang w:val="en-US" w:eastAsia="zh-CN"/>
              </w:rPr>
              <w:t>打</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（评分范</w:t>
            </w:r>
            <w:r>
              <w:rPr>
                <w:rFonts w:hint="eastAsia" w:ascii="宋体" w:hAnsi="宋体" w:eastAsia="宋体" w:cs="宋体"/>
                <w:color w:val="000000"/>
                <w:sz w:val="24"/>
                <w:szCs w:val="24"/>
                <w:lang w:val="en-US" w:eastAsia="zh-CN" w:bidi="ar-SA"/>
              </w:rPr>
              <w:t>围：4，3，2，1，0）</w:t>
            </w:r>
          </w:p>
        </w:tc>
        <w:tc>
          <w:tcPr>
            <w:tcW w:w="953" w:type="dxa"/>
            <w:tcBorders>
              <w:top w:val="single" w:color="000000" w:sz="4" w:space="0"/>
              <w:left w:val="nil"/>
              <w:bottom w:val="single" w:color="000000" w:sz="4" w:space="0"/>
              <w:right w:val="single" w:color="000000" w:sz="4" w:space="0"/>
            </w:tcBorders>
            <w:noWrap w:val="0"/>
            <w:vAlign w:val="center"/>
          </w:tcPr>
          <w:p w14:paraId="777D8DA5">
            <w:pPr>
              <w:keepNext w:val="0"/>
              <w:keepLines w:val="0"/>
              <w:pageBreakBefore w:val="0"/>
              <w:widowControl/>
              <w:kinsoku/>
              <w:wordWrap/>
              <w:overflowPunct/>
              <w:topLinePunct w:val="0"/>
              <w:bidi w:val="0"/>
              <w:adjustRightInd w:val="0"/>
              <w:snapToGrid w:val="0"/>
              <w:spacing w:line="240" w:lineRule="atLeas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4分</w:t>
            </w:r>
          </w:p>
        </w:tc>
      </w:tr>
      <w:tr w14:paraId="2A5C0D82">
        <w:tblPrEx>
          <w:tblCellMar>
            <w:top w:w="0" w:type="dxa"/>
            <w:left w:w="108" w:type="dxa"/>
            <w:bottom w:w="0" w:type="dxa"/>
            <w:right w:w="108" w:type="dxa"/>
          </w:tblCellMar>
        </w:tblPrEx>
        <w:trPr>
          <w:trHeight w:val="369" w:hRule="atLeast"/>
          <w:jc w:val="center"/>
        </w:trPr>
        <w:tc>
          <w:tcPr>
            <w:tcW w:w="1475" w:type="dxa"/>
            <w:vMerge w:val="continue"/>
            <w:tcBorders>
              <w:left w:val="single" w:color="000000" w:sz="4" w:space="0"/>
              <w:right w:val="single" w:color="000000" w:sz="4" w:space="0"/>
            </w:tcBorders>
            <w:noWrap w:val="0"/>
            <w:vAlign w:val="center"/>
          </w:tcPr>
          <w:p w14:paraId="4CE29344">
            <w:pPr>
              <w:widowControl/>
              <w:autoSpaceDE/>
              <w:autoSpaceDN/>
              <w:adjustRightInd/>
              <w:jc w:val="left"/>
              <w:rPr>
                <w:rFonts w:hint="eastAsia" w:ascii="宋体" w:hAnsi="宋体" w:cs="宋体"/>
                <w:b/>
                <w:bCs/>
                <w:color w:val="auto"/>
                <w:sz w:val="24"/>
                <w:szCs w:val="24"/>
                <w:highlight w:val="none"/>
              </w:rPr>
            </w:pPr>
          </w:p>
        </w:tc>
        <w:tc>
          <w:tcPr>
            <w:tcW w:w="7645" w:type="dxa"/>
            <w:tcBorders>
              <w:top w:val="single" w:color="000000" w:sz="4" w:space="0"/>
              <w:left w:val="nil"/>
              <w:bottom w:val="single" w:color="000000" w:sz="4" w:space="0"/>
              <w:right w:val="single" w:color="000000" w:sz="4" w:space="0"/>
            </w:tcBorders>
            <w:noWrap w:val="0"/>
            <w:vAlign w:val="top"/>
          </w:tcPr>
          <w:p w14:paraId="585D6A00">
            <w:pPr>
              <w:widowControl/>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.理赔服务方案（</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49FB6C4A">
            <w:pPr>
              <w:widowControl/>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有针对本项目的整体理赔服务方案以及理赔服务计划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理赔服务流程是否合理、可行等情况酌情打分(0-5分）</w:t>
            </w:r>
            <w:r>
              <w:rPr>
                <w:rFonts w:hint="eastAsia" w:ascii="宋体" w:hAnsi="宋体" w:cs="宋体"/>
                <w:color w:val="auto"/>
                <w:sz w:val="24"/>
                <w:szCs w:val="24"/>
                <w:highlight w:val="none"/>
                <w:lang w:eastAsia="zh-CN"/>
              </w:rPr>
              <w:t>。</w:t>
            </w:r>
            <w:r>
              <w:rPr>
                <w:rFonts w:hint="eastAsia" w:ascii="宋体" w:hAnsi="宋体" w:eastAsia="宋体" w:cs="宋体"/>
                <w:color w:val="000000"/>
                <w:sz w:val="24"/>
                <w:szCs w:val="24"/>
                <w:lang w:val="en-US" w:eastAsia="zh-CN" w:bidi="ar-SA"/>
              </w:rPr>
              <w:t>（评分范围：5，4，3，2，1，0）</w:t>
            </w:r>
          </w:p>
        </w:tc>
        <w:tc>
          <w:tcPr>
            <w:tcW w:w="953" w:type="dxa"/>
            <w:tcBorders>
              <w:top w:val="single" w:color="000000" w:sz="4" w:space="0"/>
              <w:left w:val="nil"/>
              <w:bottom w:val="single" w:color="000000" w:sz="4" w:space="0"/>
              <w:right w:val="single" w:color="000000" w:sz="4" w:space="0"/>
            </w:tcBorders>
            <w:noWrap w:val="0"/>
            <w:vAlign w:val="center"/>
          </w:tcPr>
          <w:p w14:paraId="0FB988FE">
            <w:pPr>
              <w:keepNext w:val="0"/>
              <w:keepLines w:val="0"/>
              <w:pageBreakBefore w:val="0"/>
              <w:widowControl/>
              <w:kinsoku/>
              <w:wordWrap/>
              <w:overflowPunct/>
              <w:topLinePunct w:val="0"/>
              <w:bidi w:val="0"/>
              <w:adjustRightInd w:val="0"/>
              <w:snapToGrid w:val="0"/>
              <w:spacing w:line="240" w:lineRule="atLeas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5分</w:t>
            </w:r>
          </w:p>
        </w:tc>
      </w:tr>
      <w:tr w14:paraId="27DBDC48">
        <w:tblPrEx>
          <w:tblCellMar>
            <w:top w:w="0" w:type="dxa"/>
            <w:left w:w="108" w:type="dxa"/>
            <w:bottom w:w="0" w:type="dxa"/>
            <w:right w:w="108" w:type="dxa"/>
          </w:tblCellMar>
        </w:tblPrEx>
        <w:trPr>
          <w:trHeight w:val="372" w:hRule="atLeast"/>
          <w:jc w:val="center"/>
        </w:trPr>
        <w:tc>
          <w:tcPr>
            <w:tcW w:w="1475" w:type="dxa"/>
            <w:vMerge w:val="continue"/>
            <w:tcBorders>
              <w:left w:val="single" w:color="000000" w:sz="4" w:space="0"/>
              <w:right w:val="single" w:color="000000" w:sz="4" w:space="0"/>
            </w:tcBorders>
            <w:noWrap w:val="0"/>
            <w:vAlign w:val="center"/>
          </w:tcPr>
          <w:p w14:paraId="233783FB">
            <w:pPr>
              <w:widowControl/>
              <w:autoSpaceDE/>
              <w:autoSpaceDN/>
              <w:adjustRightInd/>
              <w:jc w:val="left"/>
              <w:rPr>
                <w:rFonts w:hint="eastAsia" w:ascii="宋体" w:hAnsi="宋体" w:cs="宋体"/>
                <w:b/>
                <w:bCs/>
                <w:color w:val="auto"/>
                <w:sz w:val="24"/>
                <w:szCs w:val="24"/>
                <w:highlight w:val="none"/>
              </w:rPr>
            </w:pPr>
          </w:p>
        </w:tc>
        <w:tc>
          <w:tcPr>
            <w:tcW w:w="7645" w:type="dxa"/>
            <w:tcBorders>
              <w:top w:val="single" w:color="000000" w:sz="4" w:space="0"/>
              <w:left w:val="nil"/>
              <w:bottom w:val="single" w:color="000000" w:sz="4" w:space="0"/>
              <w:right w:val="single" w:color="000000" w:sz="4" w:space="0"/>
            </w:tcBorders>
            <w:noWrap w:val="0"/>
            <w:vAlign w:val="top"/>
          </w:tcPr>
          <w:p w14:paraId="0D9CC1DC">
            <w:pPr>
              <w:pStyle w:val="255"/>
              <w:ind w:left="0" w:leftChars="0" w:firstLine="0" w:firstLineChars="0"/>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评委根据投标人针对本项目设置专门的小额案件处理方案</w:t>
            </w:r>
            <w:r>
              <w:rPr>
                <w:rFonts w:hint="eastAsia" w:ascii="宋体" w:hAnsi="宋体" w:eastAsia="宋体" w:cs="宋体"/>
                <w:color w:val="auto"/>
                <w:sz w:val="24"/>
                <w:szCs w:val="24"/>
                <w:highlight w:val="none"/>
              </w:rPr>
              <w:t>（小额案件指2万元以下案件），根据方案的合理性酌情打分(0-3分）</w:t>
            </w:r>
            <w:r>
              <w:rPr>
                <w:rFonts w:hint="eastAsia" w:ascii="宋体" w:hAnsi="宋体" w:cs="宋体"/>
                <w:color w:val="auto"/>
                <w:sz w:val="24"/>
                <w:szCs w:val="24"/>
                <w:highlight w:val="none"/>
                <w:lang w:eastAsia="zh-CN"/>
              </w:rPr>
              <w:t>。</w:t>
            </w:r>
            <w:r>
              <w:rPr>
                <w:rFonts w:hint="eastAsia" w:ascii="宋体" w:hAnsi="宋体" w:eastAsia="宋体" w:cs="宋体"/>
                <w:color w:val="000000"/>
                <w:sz w:val="24"/>
                <w:szCs w:val="24"/>
                <w:lang w:val="en-US" w:eastAsia="zh-CN" w:bidi="ar-SA"/>
              </w:rPr>
              <w:t>（评分范围：3，2，1，0）</w:t>
            </w:r>
          </w:p>
        </w:tc>
        <w:tc>
          <w:tcPr>
            <w:tcW w:w="953" w:type="dxa"/>
            <w:tcBorders>
              <w:top w:val="single" w:color="000000" w:sz="4" w:space="0"/>
              <w:left w:val="nil"/>
              <w:bottom w:val="single" w:color="000000" w:sz="4" w:space="0"/>
              <w:right w:val="single" w:color="000000" w:sz="4" w:space="0"/>
            </w:tcBorders>
            <w:noWrap w:val="0"/>
            <w:vAlign w:val="center"/>
          </w:tcPr>
          <w:p w14:paraId="32E89855">
            <w:pPr>
              <w:keepNext w:val="0"/>
              <w:keepLines w:val="0"/>
              <w:pageBreakBefore w:val="0"/>
              <w:widowControl/>
              <w:kinsoku/>
              <w:wordWrap/>
              <w:overflowPunct/>
              <w:topLinePunct w:val="0"/>
              <w:bidi w:val="0"/>
              <w:adjustRightInd w:val="0"/>
              <w:snapToGrid w:val="0"/>
              <w:spacing w:line="240" w:lineRule="atLeas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3分</w:t>
            </w:r>
          </w:p>
        </w:tc>
      </w:tr>
      <w:tr w14:paraId="53A8F73E">
        <w:tblPrEx>
          <w:tblCellMar>
            <w:top w:w="0" w:type="dxa"/>
            <w:left w:w="108" w:type="dxa"/>
            <w:bottom w:w="0" w:type="dxa"/>
            <w:right w:w="108" w:type="dxa"/>
          </w:tblCellMar>
        </w:tblPrEx>
        <w:trPr>
          <w:trHeight w:val="634" w:hRule="atLeast"/>
          <w:jc w:val="center"/>
        </w:trPr>
        <w:tc>
          <w:tcPr>
            <w:tcW w:w="1475" w:type="dxa"/>
            <w:vMerge w:val="continue"/>
            <w:tcBorders>
              <w:left w:val="single" w:color="000000" w:sz="4" w:space="0"/>
              <w:right w:val="single" w:color="000000" w:sz="4" w:space="0"/>
            </w:tcBorders>
            <w:noWrap w:val="0"/>
            <w:vAlign w:val="center"/>
          </w:tcPr>
          <w:p w14:paraId="226CC741">
            <w:pPr>
              <w:widowControl/>
              <w:autoSpaceDE/>
              <w:autoSpaceDN/>
              <w:adjustRightInd/>
              <w:jc w:val="left"/>
              <w:rPr>
                <w:rFonts w:hint="eastAsia" w:ascii="宋体" w:hAnsi="宋体" w:cs="宋体"/>
                <w:b/>
                <w:bCs/>
                <w:color w:val="auto"/>
                <w:sz w:val="24"/>
                <w:szCs w:val="24"/>
                <w:highlight w:val="none"/>
              </w:rPr>
            </w:pPr>
          </w:p>
        </w:tc>
        <w:tc>
          <w:tcPr>
            <w:tcW w:w="7645" w:type="dxa"/>
            <w:tcBorders>
              <w:top w:val="single" w:color="000000" w:sz="4" w:space="0"/>
              <w:left w:val="nil"/>
              <w:bottom w:val="single" w:color="000000" w:sz="4" w:space="0"/>
              <w:right w:val="single" w:color="000000" w:sz="4" w:space="0"/>
            </w:tcBorders>
            <w:noWrap w:val="0"/>
            <w:vAlign w:val="top"/>
          </w:tcPr>
          <w:p w14:paraId="3204AE1F">
            <w:pPr>
              <w:pStyle w:val="255"/>
              <w:numPr>
                <w:ilvl w:val="0"/>
                <w:numId w:val="13"/>
              </w:numPr>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整体服务方案的合理性、便捷性，是否提供增值服务方案（</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p w14:paraId="7BF2EE3C">
            <w:pPr>
              <w:pStyle w:val="255"/>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000000"/>
                <w:sz w:val="24"/>
                <w:szCs w:val="24"/>
                <w:lang w:val="en-US" w:eastAsia="zh-CN" w:bidi="ar-SA"/>
              </w:rPr>
              <w:t>综合评估方案的优劣程度酌情计分,无此方案者不得分（0-4</w:t>
            </w:r>
            <w:r>
              <w:rPr>
                <w:rFonts w:hint="eastAsia" w:ascii="宋体" w:hAnsi="宋体" w:cs="宋体"/>
                <w:color w:val="000000"/>
                <w:sz w:val="24"/>
                <w:szCs w:val="24"/>
                <w:lang w:val="en-US" w:eastAsia="zh-CN" w:bidi="ar-SA"/>
              </w:rPr>
              <w:t>分</w:t>
            </w:r>
            <w:r>
              <w:rPr>
                <w:rFonts w:hint="eastAsia" w:ascii="宋体" w:hAnsi="宋体" w:eastAsia="宋体" w:cs="宋体"/>
                <w:color w:val="000000"/>
                <w:sz w:val="24"/>
                <w:szCs w:val="24"/>
                <w:lang w:val="en-US" w:eastAsia="zh-CN" w:bidi="ar-SA"/>
              </w:rPr>
              <w:t>）</w:t>
            </w:r>
            <w:r>
              <w:rPr>
                <w:rFonts w:hint="eastAsia" w:ascii="宋体" w:hAnsi="宋体" w:cs="宋体"/>
                <w:color w:val="000000"/>
                <w:sz w:val="24"/>
                <w:szCs w:val="24"/>
                <w:lang w:val="en-US" w:eastAsia="zh-CN" w:bidi="ar-SA"/>
              </w:rPr>
              <w:t>。</w:t>
            </w:r>
            <w:r>
              <w:rPr>
                <w:rFonts w:hint="eastAsia" w:ascii="宋体" w:hAnsi="宋体" w:eastAsia="宋体" w:cs="宋体"/>
                <w:color w:val="000000"/>
                <w:sz w:val="24"/>
                <w:szCs w:val="24"/>
                <w:lang w:val="en-US" w:eastAsia="zh-CN" w:bidi="ar-SA"/>
              </w:rPr>
              <w:t>（评分范围：4，3，2，1，0）</w:t>
            </w:r>
          </w:p>
        </w:tc>
        <w:tc>
          <w:tcPr>
            <w:tcW w:w="953" w:type="dxa"/>
            <w:tcBorders>
              <w:top w:val="single" w:color="000000" w:sz="4" w:space="0"/>
              <w:left w:val="nil"/>
              <w:bottom w:val="single" w:color="000000" w:sz="4" w:space="0"/>
              <w:right w:val="single" w:color="000000" w:sz="4" w:space="0"/>
            </w:tcBorders>
            <w:noWrap w:val="0"/>
            <w:vAlign w:val="center"/>
          </w:tcPr>
          <w:p w14:paraId="6502CA3C">
            <w:pPr>
              <w:keepNext w:val="0"/>
              <w:keepLines w:val="0"/>
              <w:pageBreakBefore w:val="0"/>
              <w:widowControl/>
              <w:kinsoku/>
              <w:wordWrap/>
              <w:overflowPunct/>
              <w:topLinePunct w:val="0"/>
              <w:bidi w:val="0"/>
              <w:adjustRightInd w:val="0"/>
              <w:snapToGrid w:val="0"/>
              <w:spacing w:line="240" w:lineRule="atLeas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4分</w:t>
            </w:r>
          </w:p>
        </w:tc>
      </w:tr>
      <w:tr w14:paraId="6C07B7E1">
        <w:tblPrEx>
          <w:tblCellMar>
            <w:top w:w="0" w:type="dxa"/>
            <w:left w:w="108" w:type="dxa"/>
            <w:bottom w:w="0" w:type="dxa"/>
            <w:right w:w="108" w:type="dxa"/>
          </w:tblCellMar>
        </w:tblPrEx>
        <w:trPr>
          <w:trHeight w:val="983" w:hRule="atLeast"/>
          <w:jc w:val="center"/>
        </w:trPr>
        <w:tc>
          <w:tcPr>
            <w:tcW w:w="1475" w:type="dxa"/>
            <w:vMerge w:val="continue"/>
            <w:tcBorders>
              <w:left w:val="single" w:color="000000" w:sz="4" w:space="0"/>
              <w:bottom w:val="single" w:color="000000" w:sz="4" w:space="0"/>
              <w:right w:val="single" w:color="000000" w:sz="4" w:space="0"/>
            </w:tcBorders>
            <w:noWrap w:val="0"/>
            <w:vAlign w:val="center"/>
          </w:tcPr>
          <w:p w14:paraId="02046BD6">
            <w:pPr>
              <w:widowControl/>
              <w:snapToGrid w:val="0"/>
              <w:rPr>
                <w:rFonts w:hint="eastAsia" w:ascii="宋体" w:hAnsi="宋体" w:cs="宋体"/>
                <w:b/>
                <w:bCs/>
                <w:color w:val="auto"/>
                <w:sz w:val="24"/>
                <w:szCs w:val="24"/>
                <w:highlight w:val="none"/>
              </w:rPr>
            </w:pPr>
          </w:p>
        </w:tc>
        <w:tc>
          <w:tcPr>
            <w:tcW w:w="7645" w:type="dxa"/>
            <w:tcBorders>
              <w:top w:val="single" w:color="000000" w:sz="4" w:space="0"/>
              <w:left w:val="nil"/>
              <w:bottom w:val="single" w:color="000000" w:sz="4" w:space="0"/>
              <w:right w:val="single" w:color="000000" w:sz="4" w:space="0"/>
            </w:tcBorders>
            <w:noWrap w:val="0"/>
            <w:vAlign w:val="top"/>
          </w:tcPr>
          <w:p w14:paraId="1F9F5EE9">
            <w:pPr>
              <w:keepNext w:val="0"/>
              <w:keepLines w:val="0"/>
              <w:pageBreakBefore w:val="0"/>
              <w:widowControl/>
              <w:numPr>
                <w:ilvl w:val="0"/>
                <w:numId w:val="13"/>
              </w:numPr>
              <w:suppressLineNumbers w:val="0"/>
              <w:kinsoku/>
              <w:wordWrap/>
              <w:overflowPunct/>
              <w:topLinePunct w:val="0"/>
              <w:autoSpaceDE/>
              <w:autoSpaceDN/>
              <w:bidi w:val="0"/>
              <w:snapToGrid/>
              <w:spacing w:before="0" w:after="0" w:line="360" w:lineRule="auto"/>
              <w:ind w:left="0" w:leftChars="0" w:right="105" w:rightChars="5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对本项目风险认知和防灾防损建议的合理性和科学性（4分）</w:t>
            </w:r>
          </w:p>
          <w:p w14:paraId="39B3CD7A">
            <w:pPr>
              <w:keepNext w:val="0"/>
              <w:keepLines w:val="0"/>
              <w:pageBreakBefore w:val="0"/>
              <w:widowControl/>
              <w:numPr>
                <w:ilvl w:val="0"/>
                <w:numId w:val="0"/>
              </w:numPr>
              <w:suppressLineNumbers w:val="0"/>
              <w:kinsoku/>
              <w:wordWrap/>
              <w:overflowPunct/>
              <w:topLinePunct w:val="0"/>
              <w:autoSpaceDE/>
              <w:autoSpaceDN/>
              <w:bidi w:val="0"/>
              <w:snapToGrid/>
              <w:spacing w:before="0" w:after="0" w:line="360" w:lineRule="auto"/>
              <w:ind w:leftChars="0" w:right="105" w:rightChars="50"/>
              <w:jc w:val="left"/>
              <w:rPr>
                <w:rFonts w:hint="default" w:ascii="宋体" w:hAnsi="宋体" w:eastAsia="宋体" w:cs="宋体"/>
                <w:color w:val="auto"/>
                <w:sz w:val="24"/>
                <w:highlight w:val="none"/>
                <w:lang w:val="en-US" w:eastAsia="zh-CN"/>
              </w:rPr>
            </w:pPr>
            <w:r>
              <w:rPr>
                <w:rFonts w:hint="eastAsia" w:ascii="宋体" w:hAnsi="宋体" w:eastAsia="宋体" w:cs="宋体"/>
                <w:color w:val="000000"/>
                <w:sz w:val="24"/>
                <w:szCs w:val="24"/>
                <w:lang w:val="en-US" w:eastAsia="zh-CN" w:bidi="ar-SA"/>
              </w:rPr>
              <w:t>综合评估方案的优劣程度酌情计分</w:t>
            </w:r>
            <w:r>
              <w:rPr>
                <w:rFonts w:hint="eastAsia" w:ascii="宋体" w:hAnsi="宋体" w:cs="宋体"/>
                <w:color w:val="000000"/>
                <w:sz w:val="24"/>
                <w:szCs w:val="24"/>
                <w:lang w:val="en-US" w:eastAsia="zh-CN" w:bidi="ar-SA"/>
              </w:rPr>
              <w:t>（</w:t>
            </w:r>
            <w:r>
              <w:rPr>
                <w:rFonts w:hint="eastAsia" w:ascii="宋体" w:hAnsi="宋体" w:eastAsia="宋体" w:cs="宋体"/>
                <w:color w:val="000000"/>
                <w:sz w:val="24"/>
                <w:szCs w:val="24"/>
                <w:lang w:val="en-US" w:eastAsia="zh-CN" w:bidi="ar-SA"/>
              </w:rPr>
              <w:t>0-4分</w:t>
            </w:r>
            <w:r>
              <w:rPr>
                <w:rFonts w:hint="eastAsia" w:ascii="宋体" w:hAnsi="宋体" w:cs="宋体"/>
                <w:color w:val="000000"/>
                <w:sz w:val="24"/>
                <w:szCs w:val="24"/>
                <w:lang w:val="en-US" w:eastAsia="zh-CN" w:bidi="ar-SA"/>
              </w:rPr>
              <w:t>），</w:t>
            </w:r>
            <w:r>
              <w:rPr>
                <w:rFonts w:hint="eastAsia" w:ascii="宋体" w:hAnsi="宋体" w:eastAsia="宋体" w:cs="宋体"/>
                <w:color w:val="000000"/>
                <w:sz w:val="24"/>
                <w:szCs w:val="24"/>
                <w:lang w:val="en-US" w:eastAsia="zh-CN" w:bidi="ar-SA"/>
              </w:rPr>
              <w:t>无此方案者不得分。（评分范围：</w:t>
            </w:r>
            <w:r>
              <w:rPr>
                <w:rFonts w:hint="eastAsia" w:ascii="宋体" w:hAnsi="宋体" w:cs="宋体"/>
                <w:color w:val="000000"/>
                <w:sz w:val="24"/>
                <w:szCs w:val="24"/>
                <w:lang w:val="en-US" w:eastAsia="zh-CN" w:bidi="ar-SA"/>
              </w:rPr>
              <w:t>4，</w:t>
            </w:r>
            <w:r>
              <w:rPr>
                <w:rFonts w:hint="eastAsia" w:ascii="宋体" w:hAnsi="宋体" w:eastAsia="宋体" w:cs="宋体"/>
                <w:color w:val="000000"/>
                <w:sz w:val="24"/>
                <w:szCs w:val="24"/>
                <w:lang w:val="en-US" w:eastAsia="zh-CN" w:bidi="ar-SA"/>
              </w:rPr>
              <w:t>3，2，1，</w:t>
            </w:r>
            <w:r>
              <w:rPr>
                <w:rFonts w:hint="eastAsia" w:ascii="宋体" w:hAnsi="宋体" w:cs="宋体"/>
                <w:color w:val="000000"/>
                <w:sz w:val="24"/>
                <w:szCs w:val="24"/>
                <w:lang w:val="en-US" w:eastAsia="zh-CN" w:bidi="ar-SA"/>
              </w:rPr>
              <w:t>0</w:t>
            </w:r>
            <w:r>
              <w:rPr>
                <w:rFonts w:hint="eastAsia" w:ascii="宋体" w:hAnsi="宋体" w:eastAsia="宋体" w:cs="宋体"/>
                <w:color w:val="000000"/>
                <w:sz w:val="24"/>
                <w:szCs w:val="24"/>
                <w:lang w:val="en-US" w:eastAsia="zh-CN" w:bidi="ar-SA"/>
              </w:rPr>
              <w:t>）</w:t>
            </w:r>
          </w:p>
        </w:tc>
        <w:tc>
          <w:tcPr>
            <w:tcW w:w="953" w:type="dxa"/>
            <w:tcBorders>
              <w:top w:val="single" w:color="000000" w:sz="4" w:space="0"/>
              <w:left w:val="nil"/>
              <w:bottom w:val="single" w:color="000000" w:sz="4" w:space="0"/>
              <w:right w:val="single" w:color="000000" w:sz="4" w:space="0"/>
            </w:tcBorders>
            <w:noWrap w:val="0"/>
            <w:vAlign w:val="center"/>
          </w:tcPr>
          <w:p w14:paraId="550D5E0E">
            <w:pPr>
              <w:keepNext w:val="0"/>
              <w:keepLines w:val="0"/>
              <w:pageBreakBefore w:val="0"/>
              <w:widowControl/>
              <w:kinsoku/>
              <w:wordWrap/>
              <w:overflowPunct/>
              <w:topLinePunct w:val="0"/>
              <w:bidi w:val="0"/>
              <w:adjustRightInd w:val="0"/>
              <w:snapToGrid w:val="0"/>
              <w:spacing w:line="240" w:lineRule="atLeas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4分</w:t>
            </w:r>
          </w:p>
        </w:tc>
      </w:tr>
    </w:tbl>
    <w:p w14:paraId="3433923D">
      <w:pPr>
        <w:bidi w:val="0"/>
        <w:rPr>
          <w:rFonts w:hint="eastAsia" w:ascii="宋体" w:hAnsi="宋体" w:eastAsia="宋体" w:cs="宋体"/>
          <w:sz w:val="24"/>
          <w:szCs w:val="24"/>
          <w:lang w:val="en-US" w:eastAsia="zh-CN"/>
        </w:rPr>
      </w:pPr>
    </w:p>
    <w:p w14:paraId="75E2B6E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iCs/>
          <w:sz w:val="24"/>
          <w:szCs w:val="24"/>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本次评审有效投标人全部入围进行商务评审。</w:t>
      </w:r>
    </w:p>
    <w:p w14:paraId="34D696E4">
      <w:pPr>
        <w:rPr>
          <w:rFonts w:hint="eastAsia" w:ascii="宋体" w:hAnsi="宋体"/>
          <w:color w:val="auto"/>
          <w:sz w:val="36"/>
          <w:szCs w:val="36"/>
        </w:rPr>
      </w:pPr>
      <w:r>
        <w:rPr>
          <w:rFonts w:hint="eastAsia" w:ascii="宋体" w:hAnsi="宋体"/>
          <w:color w:val="auto"/>
          <w:sz w:val="36"/>
          <w:szCs w:val="36"/>
        </w:rPr>
        <w:br w:type="page"/>
      </w:r>
    </w:p>
    <w:p w14:paraId="035D3EED">
      <w:pPr>
        <w:pStyle w:val="2"/>
        <w:spacing w:beforeLines="50" w:afterLines="50" w:line="400" w:lineRule="exact"/>
        <w:jc w:val="center"/>
        <w:rPr>
          <w:rFonts w:hint="eastAsia" w:ascii="宋体" w:hAnsi="宋体" w:eastAsia="宋体"/>
          <w:color w:val="auto"/>
          <w:sz w:val="36"/>
          <w:szCs w:val="36"/>
          <w:lang w:eastAsia="zh-CN"/>
        </w:rPr>
      </w:pPr>
      <w:r>
        <w:rPr>
          <w:rFonts w:hint="eastAsia" w:ascii="宋体" w:hAnsi="宋体"/>
          <w:color w:val="auto"/>
          <w:sz w:val="36"/>
          <w:szCs w:val="36"/>
        </w:rPr>
        <w:t xml:space="preserve">第四章   </w:t>
      </w:r>
      <w:bookmarkEnd w:id="11"/>
      <w:r>
        <w:rPr>
          <w:rFonts w:hint="eastAsia" w:ascii="宋体" w:hAnsi="宋体"/>
          <w:color w:val="auto"/>
          <w:sz w:val="36"/>
          <w:szCs w:val="36"/>
          <w:lang w:eastAsia="zh-CN"/>
        </w:rPr>
        <w:t>采购需求</w:t>
      </w:r>
    </w:p>
    <w:p w14:paraId="48C721A0">
      <w:pPr>
        <w:keepNext w:val="0"/>
        <w:keepLines w:val="0"/>
        <w:pageBreakBefore w:val="0"/>
        <w:widowControl/>
        <w:shd w:val="clear" w:color="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保险内容：</w:t>
      </w:r>
    </w:p>
    <w:p w14:paraId="0B0BFCEA">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诸暨市教育体育局2026年度全市校产保险服务采购项目，包括局本级、直属单位及全市公办学校（含技师学院）房屋建筑物及附属设施（含车棚、围墙及塑胶运动场）、教学设施设备（含电脑多媒体）、电器及家具设备等总价值。保额总价为截止2026年2月底资产系统数据（按政府会计制度折旧后总价）计算，约27.94亿，详见附件清单。</w:t>
      </w:r>
    </w:p>
    <w:p w14:paraId="7D6CE33B">
      <w:pPr>
        <w:keepNext w:val="0"/>
        <w:keepLines w:val="0"/>
        <w:pageBreakBefore w:val="0"/>
        <w:widowControl/>
        <w:shd w:val="clear" w:color="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保险服务期限</w:t>
      </w:r>
      <w:r>
        <w:rPr>
          <w:rFonts w:hint="eastAsia" w:ascii="宋体" w:hAnsi="宋体" w:eastAsia="宋体" w:cs="宋体"/>
          <w:color w:val="auto"/>
          <w:sz w:val="24"/>
          <w:szCs w:val="24"/>
          <w:highlight w:val="none"/>
          <w:lang w:val="en-US" w:eastAsia="zh-CN"/>
        </w:rPr>
        <w:t>：</w:t>
      </w:r>
    </w:p>
    <w:p w14:paraId="7D692D50">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保险服务期为一年，自2026年5月18日至2027年5月17日</w:t>
      </w:r>
    </w:p>
    <w:p w14:paraId="689D7AE2">
      <w:pPr>
        <w:keepNext w:val="0"/>
        <w:keepLines w:val="0"/>
        <w:pageBreakBefore w:val="0"/>
        <w:widowControl/>
        <w:numPr>
          <w:ilvl w:val="0"/>
          <w:numId w:val="14"/>
        </w:numPr>
        <w:shd w:val="clear" w:color="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保险责任</w:t>
      </w:r>
      <w:r>
        <w:rPr>
          <w:rFonts w:hint="eastAsia" w:ascii="宋体" w:hAnsi="宋体" w:eastAsia="宋体" w:cs="宋体"/>
          <w:b/>
          <w:bCs/>
          <w:color w:val="auto"/>
          <w:sz w:val="24"/>
          <w:szCs w:val="24"/>
          <w:highlight w:val="none"/>
          <w:lang w:eastAsia="zh-CN"/>
        </w:rPr>
        <w:t>及</w:t>
      </w:r>
      <w:r>
        <w:rPr>
          <w:rFonts w:hint="eastAsia" w:ascii="宋体" w:hAnsi="宋体" w:eastAsia="宋体" w:cs="宋体"/>
          <w:b/>
          <w:bCs/>
          <w:color w:val="auto"/>
          <w:sz w:val="24"/>
          <w:szCs w:val="24"/>
          <w:highlight w:val="none"/>
        </w:rPr>
        <w:t>要求</w:t>
      </w:r>
      <w:r>
        <w:rPr>
          <w:rFonts w:hint="eastAsia" w:ascii="宋体" w:hAnsi="宋体" w:eastAsia="宋体" w:cs="宋体"/>
          <w:b/>
          <w:bCs/>
          <w:color w:val="auto"/>
          <w:sz w:val="24"/>
          <w:szCs w:val="24"/>
          <w:highlight w:val="none"/>
          <w:lang w:eastAsia="zh-CN"/>
        </w:rPr>
        <w:t>：</w:t>
      </w:r>
    </w:p>
    <w:p w14:paraId="7518E64D">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财产一切险保障。</w:t>
      </w:r>
      <w:r>
        <w:rPr>
          <w:rFonts w:hint="eastAsia" w:ascii="宋体" w:hAnsi="宋体" w:eastAsia="宋体" w:cs="宋体"/>
          <w:b w:val="0"/>
          <w:bCs w:val="0"/>
          <w:color w:val="auto"/>
          <w:sz w:val="24"/>
          <w:szCs w:val="24"/>
          <w:highlight w:val="none"/>
          <w:lang w:val="en-US" w:eastAsia="zh-CN"/>
        </w:rPr>
        <w:t>保险责任：</w:t>
      </w:r>
      <w:r>
        <w:rPr>
          <w:rFonts w:hint="eastAsia" w:ascii="宋体" w:hAnsi="宋体" w:eastAsia="宋体" w:cs="宋体"/>
          <w:b w:val="0"/>
          <w:bCs w:val="0"/>
          <w:color w:val="auto"/>
          <w:sz w:val="24"/>
          <w:szCs w:val="24"/>
          <w:highlight w:val="none"/>
        </w:rPr>
        <w:t>在保险期间内，由于自然灾害或意外事故造成保险标的直接物质损坏或灭失（以下简称“损失”），保险人按照本保险合同的约定负责赔偿。前款原因造成的保险事故发生时，为抢救保险标的或防止灾害蔓延，采取必要的、合理的措施而造成保险标的的损失，保险人按照本保险合同的约定也负责赔偿。保险事故发生后，被保险人为防止或减少保险标的的损失所支付的必要的、合理的费用，保险人按照本保险合同的约定也负责赔偿。</w:t>
      </w:r>
    </w:p>
    <w:p w14:paraId="112D3781">
      <w:pPr>
        <w:keepNext w:val="0"/>
        <w:keepLines w:val="0"/>
        <w:pageBreakBefore w:val="0"/>
        <w:widowControl/>
        <w:shd w:val="clear" w:color="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服务要求</w:t>
      </w:r>
    </w:p>
    <w:p w14:paraId="2F758F23">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具备相应的财产保险服务能力和专业技术力量，能够实现高效、稳定、专业的服务。</w:t>
      </w:r>
    </w:p>
    <w:p w14:paraId="1DAEEB2D">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建立专项的服务团队负责整体工作，为投保人指定服务专员并提供分布全市24个镇乡的理赔服务网，在接到被保险人的出险报案后，保险公司理赔人员应于2小时内赶到报案现场，并派专人协助被保险人办理相关索赔手续。</w:t>
      </w:r>
    </w:p>
    <w:p w14:paraId="6CB7A354">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具备网络、电话、短信、网点及专员等多样化服务渠道，提供24小时免费客服电话、免费的短信告知服务，设立详尽的即时定损服务制度，能充分体现服务的高效和 服务渠道的便捷性。</w:t>
      </w:r>
    </w:p>
    <w:p w14:paraId="46AA3D01">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服务及时合理，每年为投保单位提供不少于两次保险业务培训和承保指导。定期为投标单位提供理赔报表报备业务情况。</w:t>
      </w:r>
    </w:p>
    <w:p w14:paraId="767E679F">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赔款支付要求：</w:t>
      </w:r>
    </w:p>
    <w:p w14:paraId="159E380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制定合理高效的赔款支付服务承诺，在保险责任明确、损失金额明确，保险双方达成赔偿协议，资料齐全后，保险人承诺的结案赔付时限要求:</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sz w:val="24"/>
          <w:szCs w:val="24"/>
          <w:highlight w:val="none"/>
        </w:rPr>
        <w:t>保险人在索赔单证齐全并与被保险人达成赔偿协议后，在以下时限内履行上门赔付：1万元以下的赔款1个工作日内；1万元以上至5万元以下的赔款3个工作日内；5万元以上至10万元赔款5个工作日内支付；同时建立大灾预付赔款制度。</w:t>
      </w:r>
    </w:p>
    <w:p w14:paraId="14E85D3A">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sz w:val="24"/>
          <w:szCs w:val="24"/>
          <w:highlight w:val="none"/>
        </w:rPr>
        <w:t>赔款延期支付的罚金：如中标保险公司未按第（四）条第5点要求时限支付赔款，则按合同约定条款进行处罚。</w:t>
      </w:r>
    </w:p>
    <w:p w14:paraId="765C735C">
      <w:pPr>
        <w:keepNext w:val="0"/>
        <w:keepLines w:val="0"/>
        <w:pageBreakBefore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对被保险人的相关信息、隐私予以保密。</w:t>
      </w:r>
    </w:p>
    <w:p w14:paraId="0D54F60D">
      <w:pPr>
        <w:keepNext w:val="0"/>
        <w:keepLines w:val="0"/>
        <w:pageBreakBefore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8.</w:t>
      </w:r>
      <w:r>
        <w:rPr>
          <w:rFonts w:hint="eastAsia" w:ascii="宋体" w:hAnsi="宋体" w:eastAsia="宋体" w:cs="宋体"/>
          <w:color w:val="auto"/>
          <w:sz w:val="24"/>
          <w:szCs w:val="24"/>
          <w:highlight w:val="none"/>
          <w:lang w:eastAsia="zh-CN"/>
        </w:rPr>
        <w:t>公司如有其他资产进行投保，则按照招标的下降费率进行投保。</w:t>
      </w:r>
    </w:p>
    <w:p w14:paraId="16838A00">
      <w:pPr>
        <w:keepNext w:val="0"/>
        <w:keepLines w:val="0"/>
        <w:pageBreakBefore w:val="0"/>
        <w:widowControl/>
        <w:shd w:val="clear" w:color="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付款方式</w:t>
      </w:r>
    </w:p>
    <w:p w14:paraId="5F900501">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中标方</w:t>
      </w:r>
      <w:r>
        <w:rPr>
          <w:rFonts w:hint="eastAsia" w:ascii="宋体" w:hAnsi="宋体" w:eastAsia="宋体" w:cs="宋体"/>
          <w:color w:val="auto"/>
          <w:sz w:val="24"/>
          <w:szCs w:val="24"/>
          <w:highlight w:val="none"/>
        </w:rPr>
        <w:t>出具保险业务单，经甲方审核同意后支付对应的保险款。</w:t>
      </w:r>
    </w:p>
    <w:p w14:paraId="3CCDABD0">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sz w:val="24"/>
          <w:szCs w:val="24"/>
          <w:highlight w:val="none"/>
        </w:rPr>
        <w:t>履约保证金</w:t>
      </w:r>
    </w:p>
    <w:p w14:paraId="05201DA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本项目不收取</w:t>
      </w:r>
      <w:r>
        <w:rPr>
          <w:rFonts w:hint="eastAsia" w:ascii="宋体" w:hAnsi="宋体" w:eastAsia="宋体" w:cs="宋体"/>
          <w:sz w:val="24"/>
          <w:szCs w:val="24"/>
          <w:highlight w:val="none"/>
        </w:rPr>
        <w:t>履约保证金。</w:t>
      </w:r>
    </w:p>
    <w:p w14:paraId="3F51A761">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最高限价</w:t>
      </w:r>
    </w:p>
    <w:p w14:paraId="2DD2B4BD">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本次采购最高限价为</w:t>
      </w:r>
      <w:r>
        <w:rPr>
          <w:rFonts w:hint="eastAsia" w:ascii="宋体" w:hAnsi="宋体" w:eastAsia="宋体" w:cs="宋体"/>
          <w:b/>
          <w:bCs/>
          <w:color w:val="auto"/>
          <w:sz w:val="24"/>
          <w:szCs w:val="24"/>
          <w:highlight w:val="none"/>
          <w:u w:val="none"/>
        </w:rPr>
        <w:t>人民币</w:t>
      </w:r>
      <w:r>
        <w:rPr>
          <w:rFonts w:hint="eastAsia" w:ascii="宋体" w:hAnsi="宋体" w:eastAsia="宋体" w:cs="宋体"/>
          <w:b/>
          <w:bCs/>
          <w:color w:val="auto"/>
          <w:sz w:val="24"/>
          <w:szCs w:val="24"/>
          <w:highlight w:val="none"/>
          <w:u w:val="none"/>
          <w:lang w:val="en-US" w:eastAsia="zh-CN"/>
        </w:rPr>
        <w:t>贰拾叁万元</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230000</w:t>
      </w:r>
      <w:r>
        <w:rPr>
          <w:rFonts w:hint="eastAsia" w:ascii="宋体" w:hAnsi="宋体" w:eastAsia="宋体" w:cs="宋体"/>
          <w:b/>
          <w:bCs/>
          <w:color w:val="auto"/>
          <w:sz w:val="24"/>
          <w:szCs w:val="24"/>
          <w:highlight w:val="none"/>
          <w:u w:val="none"/>
        </w:rPr>
        <w:t>.00）整，</w:t>
      </w:r>
      <w:r>
        <w:rPr>
          <w:rFonts w:hint="eastAsia" w:ascii="宋体" w:hAnsi="宋体" w:eastAsia="宋体" w:cs="宋体"/>
          <w:b/>
          <w:bCs/>
          <w:color w:val="auto"/>
          <w:sz w:val="24"/>
          <w:szCs w:val="24"/>
          <w:highlight w:val="none"/>
        </w:rPr>
        <w:t>服务期限为</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年，任何超过最高限价的报价将被认定为无效报价。</w:t>
      </w:r>
    </w:p>
    <w:p w14:paraId="72049C22">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p>
    <w:p w14:paraId="4BFFE6D9">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rPr>
      </w:pPr>
    </w:p>
    <w:p w14:paraId="606614A7">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sz w:val="24"/>
          <w:szCs w:val="24"/>
        </w:rPr>
      </w:pPr>
      <w:r>
        <w:rPr>
          <w:rFonts w:hint="eastAsia" w:ascii="宋体" w:hAnsi="宋体" w:eastAsia="宋体"/>
          <w:b/>
          <w:sz w:val="24"/>
          <w:szCs w:val="24"/>
        </w:rPr>
        <w:t>注：以上“★”项为实质性响应要求，不满足或不响应则作无效投标处理。</w:t>
      </w:r>
    </w:p>
    <w:p w14:paraId="3C03B397">
      <w:pPr>
        <w:pStyle w:val="65"/>
        <w:sectPr>
          <w:footerReference r:id="rId13" w:type="default"/>
          <w:pgSz w:w="11906" w:h="16838"/>
          <w:pgMar w:top="1247" w:right="1247" w:bottom="1247" w:left="1247" w:header="567" w:footer="454" w:gutter="0"/>
          <w:pgNumType w:fmt="numberInDash"/>
          <w:cols w:space="720" w:num="1"/>
          <w:titlePg/>
          <w:docGrid w:type="lines" w:linePitch="312" w:charSpace="0"/>
        </w:sectPr>
      </w:pPr>
    </w:p>
    <w:p w14:paraId="4BD92F21">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sz w:val="36"/>
          <w:szCs w:val="36"/>
        </w:rPr>
        <w:t xml:space="preserve">第五章  </w:t>
      </w:r>
      <w:r>
        <w:rPr>
          <w:rFonts w:hint="eastAsia" w:ascii="宋体" w:hAnsi="宋体" w:eastAsia="宋体" w:cs="宋体"/>
          <w:b/>
          <w:bCs/>
          <w:color w:val="auto"/>
          <w:kern w:val="44"/>
          <w:sz w:val="36"/>
          <w:szCs w:val="36"/>
        </w:rPr>
        <w:t>诸暨市</w:t>
      </w:r>
      <w:r>
        <w:rPr>
          <w:rFonts w:hint="eastAsia" w:ascii="宋体" w:hAnsi="宋体" w:eastAsia="宋体" w:cs="宋体"/>
          <w:b/>
          <w:bCs/>
          <w:color w:val="auto"/>
          <w:kern w:val="44"/>
          <w:sz w:val="36"/>
          <w:szCs w:val="36"/>
          <w:lang w:val="en-US" w:eastAsia="zh-CN"/>
        </w:rPr>
        <w:t>采</w:t>
      </w:r>
      <w:r>
        <w:rPr>
          <w:rFonts w:hint="eastAsia" w:ascii="宋体" w:hAnsi="宋体" w:eastAsia="宋体" w:cs="宋体"/>
          <w:b/>
          <w:color w:val="auto"/>
          <w:kern w:val="44"/>
          <w:sz w:val="36"/>
          <w:szCs w:val="36"/>
          <w:lang w:val="en-US" w:eastAsia="zh-CN"/>
        </w:rPr>
        <w:t>购</w:t>
      </w:r>
      <w:r>
        <w:rPr>
          <w:rFonts w:hint="eastAsia" w:ascii="宋体" w:hAnsi="宋体" w:eastAsia="宋体" w:cs="宋体"/>
          <w:b/>
          <w:color w:val="auto"/>
          <w:kern w:val="44"/>
          <w:sz w:val="36"/>
          <w:szCs w:val="36"/>
        </w:rPr>
        <w:t>合同（通用条款）</w:t>
      </w:r>
    </w:p>
    <w:p w14:paraId="61A5DFEE">
      <w:pPr>
        <w:keepNext w:val="0"/>
        <w:keepLines w:val="0"/>
        <w:pageBreakBefore w:val="0"/>
        <w:widowControl w:val="0"/>
        <w:kinsoku/>
        <w:wordWrap/>
        <w:overflowPunct/>
        <w:topLinePunct w:val="0"/>
        <w:autoSpaceDE w:val="0"/>
        <w:autoSpaceDN w:val="0"/>
        <w:bidi w:val="0"/>
        <w:adjustRightInd w:val="0"/>
        <w:snapToGrid/>
        <w:spacing w:line="42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14:paraId="0F788E0C">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签订日期：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DCEFD91">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乙方（供货单位）：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3D20197">
      <w:pPr>
        <w:keepNext w:val="0"/>
        <w:keepLines w:val="0"/>
        <w:pageBreakBefore w:val="0"/>
        <w:widowControl w:val="0"/>
        <w:kinsoku/>
        <w:wordWrap/>
        <w:overflowPunct/>
        <w:topLinePunct w:val="0"/>
        <w:autoSpaceDE w:val="0"/>
        <w:autoSpaceDN w:val="0"/>
        <w:bidi w:val="0"/>
        <w:adjustRightInd w:val="0"/>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中华人民共和国政府采购法》等有关规定，以及</w:t>
      </w:r>
      <w:r>
        <w:rPr>
          <w:rFonts w:hint="eastAsia" w:ascii="宋体" w:hAnsi="宋体" w:eastAsia="宋体" w:cs="宋体"/>
          <w:color w:val="auto"/>
          <w:sz w:val="24"/>
          <w:szCs w:val="24"/>
          <w:highlight w:val="none"/>
          <w:lang w:val="en-US" w:eastAsia="zh-CN"/>
        </w:rPr>
        <w:t>诸暨市教育体育局项目交易办公室</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val="en-US" w:eastAsia="zh-CN"/>
        </w:rPr>
        <w:t>zjjyj-20260304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相关要求，经法定程序采购，双方同意签订以下合同条款，以便双方共同遵守、履行合同。</w:t>
      </w:r>
    </w:p>
    <w:p w14:paraId="258C8B56">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一、采购</w:t>
      </w:r>
      <w:r>
        <w:rPr>
          <w:rFonts w:hint="eastAsia" w:ascii="宋体" w:hAnsi="宋体" w:eastAsia="宋体" w:cs="宋体"/>
          <w:b/>
          <w:color w:val="auto"/>
          <w:sz w:val="24"/>
          <w:szCs w:val="24"/>
          <w:highlight w:val="none"/>
          <w:lang w:val="en-US" w:eastAsia="zh-CN"/>
        </w:rPr>
        <w:t>项目</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3332"/>
        <w:gridCol w:w="1388"/>
        <w:gridCol w:w="1260"/>
        <w:gridCol w:w="1440"/>
      </w:tblGrid>
      <w:tr w14:paraId="55E5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56" w:type="dxa"/>
            <w:noWrap w:val="0"/>
            <w:vAlign w:val="center"/>
          </w:tcPr>
          <w:p w14:paraId="3FC7C789">
            <w:pPr>
              <w:keepNext w:val="0"/>
              <w:keepLines w:val="0"/>
              <w:pageBreakBefore w:val="0"/>
              <w:widowControl w:val="0"/>
              <w:kinsoku/>
              <w:wordWrap/>
              <w:overflowPunct/>
              <w:topLinePunct w:val="0"/>
              <w:autoSpaceDE w:val="0"/>
              <w:autoSpaceDN w:val="0"/>
              <w:bidi w:val="0"/>
              <w:adjustRightInd w:val="0"/>
              <w:snapToGrid/>
              <w:spacing w:line="42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名称</w:t>
            </w:r>
          </w:p>
        </w:tc>
        <w:tc>
          <w:tcPr>
            <w:tcW w:w="3332" w:type="dxa"/>
            <w:noWrap w:val="0"/>
            <w:vAlign w:val="center"/>
          </w:tcPr>
          <w:p w14:paraId="66C3283B">
            <w:pPr>
              <w:keepNext w:val="0"/>
              <w:keepLines w:val="0"/>
              <w:pageBreakBefore w:val="0"/>
              <w:widowControl w:val="0"/>
              <w:kinsoku/>
              <w:wordWrap/>
              <w:overflowPunct/>
              <w:topLinePunct w:val="0"/>
              <w:autoSpaceDE w:val="0"/>
              <w:autoSpaceDN w:val="0"/>
              <w:bidi w:val="0"/>
              <w:adjustRightInd w:val="0"/>
              <w:snapToGrid/>
              <w:spacing w:line="42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w:t>
            </w:r>
          </w:p>
        </w:tc>
        <w:tc>
          <w:tcPr>
            <w:tcW w:w="1388" w:type="dxa"/>
            <w:noWrap w:val="0"/>
            <w:vAlign w:val="center"/>
          </w:tcPr>
          <w:p w14:paraId="1E8FF8E5">
            <w:pPr>
              <w:keepNext w:val="0"/>
              <w:keepLines w:val="0"/>
              <w:pageBreakBefore w:val="0"/>
              <w:widowControl w:val="0"/>
              <w:kinsoku/>
              <w:wordWrap/>
              <w:overflowPunct/>
              <w:topLinePunct w:val="0"/>
              <w:autoSpaceDE w:val="0"/>
              <w:autoSpaceDN w:val="0"/>
              <w:bidi w:val="0"/>
              <w:adjustRightInd w:val="0"/>
              <w:snapToGrid/>
              <w:spacing w:line="42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或服务期限</w:t>
            </w:r>
            <w:r>
              <w:rPr>
                <w:rFonts w:hint="eastAsia" w:ascii="宋体" w:hAnsi="宋体" w:eastAsia="宋体" w:cs="宋体"/>
                <w:color w:val="auto"/>
                <w:sz w:val="24"/>
                <w:szCs w:val="24"/>
                <w:highlight w:val="none"/>
                <w:lang w:eastAsia="zh-CN"/>
              </w:rPr>
              <w:t>）</w:t>
            </w:r>
          </w:p>
        </w:tc>
        <w:tc>
          <w:tcPr>
            <w:tcW w:w="1260" w:type="dxa"/>
            <w:noWrap w:val="0"/>
            <w:vAlign w:val="center"/>
          </w:tcPr>
          <w:p w14:paraId="3DA2CCF3">
            <w:pPr>
              <w:keepNext w:val="0"/>
              <w:keepLines w:val="0"/>
              <w:pageBreakBefore w:val="0"/>
              <w:widowControl w:val="0"/>
              <w:kinsoku/>
              <w:wordWrap/>
              <w:overflowPunct/>
              <w:topLinePunct w:val="0"/>
              <w:autoSpaceDE w:val="0"/>
              <w:autoSpaceDN w:val="0"/>
              <w:bidi w:val="0"/>
              <w:adjustRightInd w:val="0"/>
              <w:snapToGrid/>
              <w:spacing w:line="42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440" w:type="dxa"/>
            <w:noWrap w:val="0"/>
            <w:vAlign w:val="center"/>
          </w:tcPr>
          <w:p w14:paraId="4ED686D8">
            <w:pPr>
              <w:keepNext w:val="0"/>
              <w:keepLines w:val="0"/>
              <w:pageBreakBefore w:val="0"/>
              <w:widowControl w:val="0"/>
              <w:kinsoku/>
              <w:wordWrap/>
              <w:overflowPunct/>
              <w:topLinePunct w:val="0"/>
              <w:autoSpaceDE w:val="0"/>
              <w:autoSpaceDN w:val="0"/>
              <w:bidi w:val="0"/>
              <w:adjustRightInd w:val="0"/>
              <w:snapToGrid/>
              <w:spacing w:line="42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合价（元）</w:t>
            </w:r>
          </w:p>
        </w:tc>
      </w:tr>
      <w:tr w14:paraId="6E9B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6" w:type="dxa"/>
            <w:noWrap w:val="0"/>
            <w:vAlign w:val="top"/>
          </w:tcPr>
          <w:p w14:paraId="377A31FA">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3332" w:type="dxa"/>
            <w:noWrap w:val="0"/>
            <w:vAlign w:val="top"/>
          </w:tcPr>
          <w:p w14:paraId="26E25BF1">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1388" w:type="dxa"/>
            <w:noWrap w:val="0"/>
            <w:vAlign w:val="top"/>
          </w:tcPr>
          <w:p w14:paraId="177A806C">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1260" w:type="dxa"/>
            <w:noWrap w:val="0"/>
            <w:vAlign w:val="top"/>
          </w:tcPr>
          <w:p w14:paraId="3AB15B15">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1440" w:type="dxa"/>
            <w:noWrap w:val="0"/>
            <w:vAlign w:val="top"/>
          </w:tcPr>
          <w:p w14:paraId="22B6C590">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r>
      <w:tr w14:paraId="5F79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6" w:type="dxa"/>
            <w:noWrap w:val="0"/>
            <w:vAlign w:val="top"/>
          </w:tcPr>
          <w:p w14:paraId="6D16AAA1">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3332" w:type="dxa"/>
            <w:noWrap w:val="0"/>
            <w:vAlign w:val="top"/>
          </w:tcPr>
          <w:p w14:paraId="327F9B40">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1388" w:type="dxa"/>
            <w:noWrap w:val="0"/>
            <w:vAlign w:val="top"/>
          </w:tcPr>
          <w:p w14:paraId="54AC0118">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1260" w:type="dxa"/>
            <w:noWrap w:val="0"/>
            <w:vAlign w:val="top"/>
          </w:tcPr>
          <w:p w14:paraId="11EB1517">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1440" w:type="dxa"/>
            <w:noWrap w:val="0"/>
            <w:vAlign w:val="top"/>
          </w:tcPr>
          <w:p w14:paraId="1AC24167">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r>
      <w:tr w14:paraId="09A7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6" w:type="dxa"/>
            <w:noWrap w:val="0"/>
            <w:vAlign w:val="top"/>
          </w:tcPr>
          <w:p w14:paraId="29A92BD4">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3332" w:type="dxa"/>
            <w:noWrap w:val="0"/>
            <w:vAlign w:val="top"/>
          </w:tcPr>
          <w:p w14:paraId="4439047B">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1388" w:type="dxa"/>
            <w:noWrap w:val="0"/>
            <w:vAlign w:val="top"/>
          </w:tcPr>
          <w:p w14:paraId="275C1679">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1260" w:type="dxa"/>
            <w:noWrap w:val="0"/>
            <w:vAlign w:val="top"/>
          </w:tcPr>
          <w:p w14:paraId="2AE69BDD">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c>
          <w:tcPr>
            <w:tcW w:w="1440" w:type="dxa"/>
            <w:noWrap w:val="0"/>
            <w:vAlign w:val="top"/>
          </w:tcPr>
          <w:p w14:paraId="5B2F74F4">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p>
        </w:tc>
      </w:tr>
      <w:tr w14:paraId="37F6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76" w:type="dxa"/>
            <w:gridSpan w:val="5"/>
            <w:noWrap w:val="0"/>
            <w:vAlign w:val="center"/>
          </w:tcPr>
          <w:p w14:paraId="48FF13EA">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  佰   拾   万   仟   佰   拾   元    角    分  ￥：</w:t>
            </w:r>
          </w:p>
        </w:tc>
      </w:tr>
    </w:tbl>
    <w:p w14:paraId="1EC7D219">
      <w:pPr>
        <w:keepNext w:val="0"/>
        <w:keepLines w:val="0"/>
        <w:pageBreakBefore w:val="0"/>
        <w:widowControl w:val="0"/>
        <w:kinsoku/>
        <w:wordWrap/>
        <w:overflowPunct/>
        <w:topLinePunct w:val="0"/>
        <w:autoSpaceDE w:val="0"/>
        <w:autoSpaceDN w:val="0"/>
        <w:bidi w:val="0"/>
        <w:adjustRightInd w:val="0"/>
        <w:snapToGrid/>
        <w:spacing w:line="240" w:lineRule="auto"/>
        <w:ind w:left="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二、产品</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或服务</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要求</w:t>
      </w:r>
    </w:p>
    <w:p w14:paraId="5DA8D462">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p w14:paraId="1F9486AD">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p w14:paraId="2561C759">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p w14:paraId="26CAFF0F">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48511886">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（以上按采购文件采购需求中对应的服务要求内容填写）</w:t>
      </w:r>
    </w:p>
    <w:p w14:paraId="0D097D50">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三、产品</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或服务</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质量要求</w:t>
      </w:r>
    </w:p>
    <w:p w14:paraId="4B47EA1C">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p w14:paraId="7375E3EC">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p w14:paraId="6750CEAD">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p w14:paraId="1FD6F80B">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6215C5CF">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（以上按采购文件采购需求中对应的服务质量内容填写）</w:t>
      </w:r>
    </w:p>
    <w:p w14:paraId="1C5BC2E6">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验收</w:t>
      </w:r>
    </w:p>
    <w:p w14:paraId="3F7A60C6">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由甲方单位组织验收，产品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天内验收完毕，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天内提出质量异议。</w:t>
      </w:r>
    </w:p>
    <w:p w14:paraId="18FF79EA">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五、付款方式</w:t>
      </w:r>
    </w:p>
    <w:p w14:paraId="1FBB1822">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按采购文件规定付款方式填写</w:t>
      </w:r>
      <w:r>
        <w:rPr>
          <w:rFonts w:hint="eastAsia" w:ascii="宋体" w:hAnsi="宋体" w:eastAsia="宋体" w:cs="宋体"/>
          <w:color w:val="auto"/>
          <w:sz w:val="24"/>
          <w:szCs w:val="24"/>
          <w:highlight w:val="none"/>
          <w:lang w:eastAsia="zh-CN"/>
        </w:rPr>
        <w:t>）</w:t>
      </w:r>
    </w:p>
    <w:p w14:paraId="0367DD95">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六、履约保证金</w:t>
      </w:r>
    </w:p>
    <w:p w14:paraId="681EE5B2">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1、中标方在签订合同前需向采购单位缴纳</w:t>
      </w:r>
      <w:r>
        <w:rPr>
          <w:rFonts w:hint="eastAsia" w:ascii="宋体" w:hAnsi="宋体" w:eastAsia="宋体" w:cs="宋体"/>
          <w:sz w:val="24"/>
          <w:szCs w:val="24"/>
          <w:lang w:eastAsia="zh-CN"/>
        </w:rPr>
        <w:t>合同金额</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的履约保证金。</w:t>
      </w:r>
    </w:p>
    <w:p w14:paraId="735EE214">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2、履约保证金在甲方将</w:t>
      </w:r>
      <w:r>
        <w:rPr>
          <w:rFonts w:hint="eastAsia" w:ascii="宋体" w:hAnsi="宋体" w:eastAsia="宋体" w:cs="宋体"/>
          <w:sz w:val="24"/>
          <w:szCs w:val="24"/>
          <w:lang w:eastAsia="zh-CN"/>
        </w:rPr>
        <w:t>项目完工且</w:t>
      </w:r>
      <w:r>
        <w:rPr>
          <w:rFonts w:hint="eastAsia" w:ascii="宋体" w:hAnsi="宋体" w:eastAsia="宋体" w:cs="宋体"/>
          <w:sz w:val="24"/>
          <w:szCs w:val="24"/>
        </w:rPr>
        <w:t>验收合格后，无息退还给乙方。</w:t>
      </w:r>
    </w:p>
    <w:p w14:paraId="25CA8E98">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3、如乙方未能履行合同规定的义务，甲方有权在履约保证金中取得补偿。</w:t>
      </w:r>
    </w:p>
    <w:p w14:paraId="76FD6A3A">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七、产品数量变更</w:t>
      </w:r>
    </w:p>
    <w:p w14:paraId="7C547280">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合同履行过程中，甲方根据实际情况，需要增减与合同标的相同的产品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，在不改变合同其他条款的前提下，可以与乙方协商签订补充合同，但所有补充合同的采购金额不得超过原合同采购金额的10%，增减产品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的价格为相应中标产品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的价格，且事先须向诸暨市财政局审核备案。</w:t>
      </w:r>
    </w:p>
    <w:p w14:paraId="694CBF7C">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八、售后服务</w:t>
      </w:r>
    </w:p>
    <w:p w14:paraId="529AF6B2">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具体售后服务条款参照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及乙方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文件中的售后服务承诺。</w:t>
      </w:r>
    </w:p>
    <w:p w14:paraId="40417FAA">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九、违约责任</w:t>
      </w:r>
    </w:p>
    <w:p w14:paraId="2A1E49C3">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，由甲方向乙方偿付合同总价的5%违约金。</w:t>
      </w:r>
    </w:p>
    <w:p w14:paraId="7784F72B">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2、甲方未能在合同规定期限内验收完毕的，每超过一天，付合同价的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%的违约金给乙方。</w:t>
      </w:r>
    </w:p>
    <w:p w14:paraId="081B021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lang w:val="en-US" w:eastAsia="zh-CN"/>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如甲方未按约定支付款项的，应向乙方支付逾期利息，利率为合同订立时1年期贷款市场报价利率。</w:t>
      </w:r>
    </w:p>
    <w:p w14:paraId="772189E3">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、乙方不能交付产品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，甲方有权扣留全部履约保证金；同时乙方向甲方支付合同款总价5%的违约金。</w:t>
      </w:r>
    </w:p>
    <w:p w14:paraId="18ADB068">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、乙方逾期交付产品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的，每逾期1天，乙方向甲方偿付逾期部分产品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货款的0.5%的滞纳金，如乙方逾期15天，甲方有权解除合同，解除合同的通知自到达乙方时生效。</w:t>
      </w:r>
    </w:p>
    <w:p w14:paraId="061894D5">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6、乙方及其工作人员在合同履行过程中或解除、终止后获悉的甲方政府信息、商业秘密、会议纪要、往来信件、文书等，均应采取一定的措施予以保密。若违反保密义务，应承担合同总价款5%的违约金。</w:t>
      </w:r>
    </w:p>
    <w:p w14:paraId="30139D92">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十、其他约定事项</w:t>
      </w:r>
    </w:p>
    <w:p w14:paraId="4E5DAB65">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本合同中乙方及其工作人员向甲方提供的所有产品及服务，相关知识产权归甲方所有。</w:t>
      </w:r>
    </w:p>
    <w:p w14:paraId="40F1F7BA">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十一、解决合同纠纷方式</w:t>
      </w:r>
    </w:p>
    <w:p w14:paraId="43E5DD70">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其它未尽事宜或履行时发生争议，由双方本着诚实信用的原则协商解决，协商不成功可选择：向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诸暨市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44B5770C">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十二、其它</w:t>
      </w:r>
    </w:p>
    <w:p w14:paraId="677A91F8">
      <w:pPr>
        <w:keepNext w:val="0"/>
        <w:keepLines w:val="0"/>
        <w:pageBreakBefore w:val="0"/>
        <w:widowControl w:val="0"/>
        <w:kinsoku/>
        <w:wordWrap/>
        <w:overflowPunct/>
        <w:topLinePunct w:val="0"/>
        <w:autoSpaceDE w:val="0"/>
        <w:autoSpaceDN w:val="0"/>
        <w:bidi w:val="0"/>
        <w:adjustRightInd w:val="0"/>
        <w:snapToGrid/>
        <w:spacing w:line="240" w:lineRule="auto"/>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文件、中标通知书作为合同的附件，具有同等法律效力。</w:t>
      </w:r>
    </w:p>
    <w:p w14:paraId="04DB0322">
      <w:pPr>
        <w:keepNext w:val="0"/>
        <w:keepLines w:val="0"/>
        <w:pageBreakBefore w:val="0"/>
        <w:widowControl w:val="0"/>
        <w:kinsoku/>
        <w:wordWrap/>
        <w:overflowPunct/>
        <w:topLinePunct w:val="0"/>
        <w:autoSpaceDE w:val="0"/>
        <w:autoSpaceDN w:val="0"/>
        <w:bidi w:val="0"/>
        <w:adjustRightInd w:val="0"/>
        <w:snapToGrid/>
        <w:spacing w:line="240" w:lineRule="auto"/>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val="0"/>
          <w:bCs w:val="0"/>
          <w:kern w:val="2"/>
          <w:sz w:val="28"/>
          <w:szCs w:val="28"/>
          <w:highlight w:val="none"/>
          <w:lang w:val="en-US" w:eastAsia="zh-CN"/>
        </w:rPr>
        <w:t>本</w:t>
      </w:r>
      <w:r>
        <w:rPr>
          <w:rFonts w:hint="eastAsia" w:ascii="宋体" w:hAnsi="宋体" w:eastAsia="宋体" w:cs="宋体"/>
          <w:color w:val="auto"/>
          <w:sz w:val="24"/>
          <w:szCs w:val="24"/>
          <w:highlight w:val="none"/>
          <w:lang w:val="en-US" w:eastAsia="zh-CN"/>
        </w:rPr>
        <w:t>合同自双方签字并盖章之日起生效</w:t>
      </w:r>
      <w:r>
        <w:rPr>
          <w:rFonts w:hint="eastAsia" w:ascii="宋体" w:hAnsi="宋体" w:eastAsia="宋体" w:cs="宋体"/>
          <w:color w:val="auto"/>
          <w:sz w:val="24"/>
          <w:szCs w:val="24"/>
          <w:highlight w:val="none"/>
        </w:rPr>
        <w:t>。</w:t>
      </w:r>
    </w:p>
    <w:p w14:paraId="6B26D0CD">
      <w:pPr>
        <w:keepNext w:val="0"/>
        <w:keepLines w:val="0"/>
        <w:pageBreakBefore w:val="0"/>
        <w:widowControl w:val="0"/>
        <w:kinsoku/>
        <w:wordWrap/>
        <w:overflowPunct/>
        <w:topLinePunct w:val="0"/>
        <w:autoSpaceDE w:val="0"/>
        <w:autoSpaceDN w:val="0"/>
        <w:bidi w:val="0"/>
        <w:adjustRightInd w:val="0"/>
        <w:snapToGrid/>
        <w:spacing w:line="240" w:lineRule="auto"/>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份，甲乙双方各执一份，代理机构</w:t>
      </w:r>
      <w:r>
        <w:rPr>
          <w:rFonts w:hint="eastAsia" w:ascii="宋体" w:hAnsi="宋体" w:eastAsia="宋体" w:cs="宋体"/>
          <w:color w:val="auto"/>
          <w:sz w:val="24"/>
          <w:szCs w:val="24"/>
          <w:highlight w:val="none"/>
          <w:lang w:eastAsia="zh-CN"/>
        </w:rPr>
        <w:t>各存档</w:t>
      </w:r>
      <w:r>
        <w:rPr>
          <w:rFonts w:hint="eastAsia" w:ascii="宋体" w:hAnsi="宋体" w:eastAsia="宋体" w:cs="宋体"/>
          <w:color w:val="auto"/>
          <w:sz w:val="24"/>
          <w:szCs w:val="24"/>
          <w:highlight w:val="none"/>
        </w:rPr>
        <w:t>一份。</w:t>
      </w:r>
    </w:p>
    <w:p w14:paraId="7A7BCFAE">
      <w:pPr>
        <w:pStyle w:val="20"/>
        <w:rPr>
          <w:rFonts w:hint="eastAsia" w:ascii="宋体" w:hAnsi="宋体" w:eastAsia="宋体" w:cs="宋体"/>
        </w:rPr>
      </w:pP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8"/>
        <w:gridCol w:w="4636"/>
      </w:tblGrid>
      <w:tr w14:paraId="1707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808" w:type="dxa"/>
            <w:noWrap w:val="0"/>
            <w:vAlign w:val="center"/>
          </w:tcPr>
          <w:p w14:paraId="0D8AF3D1">
            <w:pPr>
              <w:keepNext w:val="0"/>
              <w:keepLines w:val="0"/>
              <w:pageBreakBefore w:val="0"/>
              <w:widowControl w:val="0"/>
              <w:kinsoku/>
              <w:wordWrap/>
              <w:overflowPunct/>
              <w:topLinePunct w:val="0"/>
              <w:autoSpaceDE w:val="0"/>
              <w:autoSpaceDN w:val="0"/>
              <w:bidi w:val="0"/>
              <w:adjustRightInd w:val="0"/>
              <w:snapToGrid/>
              <w:spacing w:line="42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w:t>
            </w:r>
          </w:p>
        </w:tc>
        <w:tc>
          <w:tcPr>
            <w:tcW w:w="4636" w:type="dxa"/>
            <w:noWrap w:val="0"/>
            <w:vAlign w:val="center"/>
          </w:tcPr>
          <w:p w14:paraId="332064AE">
            <w:pPr>
              <w:keepNext w:val="0"/>
              <w:keepLines w:val="0"/>
              <w:pageBreakBefore w:val="0"/>
              <w:widowControl w:val="0"/>
              <w:kinsoku/>
              <w:wordWrap/>
              <w:overflowPunct/>
              <w:topLinePunct w:val="0"/>
              <w:autoSpaceDE w:val="0"/>
              <w:autoSpaceDN w:val="0"/>
              <w:bidi w:val="0"/>
              <w:adjustRightInd w:val="0"/>
              <w:snapToGrid/>
              <w:spacing w:line="42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供货单位</w:t>
            </w:r>
          </w:p>
        </w:tc>
      </w:tr>
      <w:tr w14:paraId="4D43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808" w:type="dxa"/>
            <w:noWrap w:val="0"/>
            <w:vAlign w:val="top"/>
          </w:tcPr>
          <w:p w14:paraId="17528E9D">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14:paraId="1F7DA90D">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p w14:paraId="26AF7E85">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E9A289F">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538D3506">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09A4B9EC">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传真号码：</w:t>
            </w:r>
          </w:p>
          <w:p w14:paraId="5EE3A144">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636" w:type="dxa"/>
            <w:noWrap w:val="0"/>
            <w:vAlign w:val="top"/>
          </w:tcPr>
          <w:p w14:paraId="2356F131">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14:paraId="51D2250D">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p w14:paraId="3E00344B">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56ED2F5">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464E9AFE">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06FC57A3">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传真号码：</w:t>
            </w:r>
          </w:p>
          <w:p w14:paraId="4F1B1C8F">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14:paraId="20869FD1">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4E19C07E">
            <w:pPr>
              <w:keepNext w:val="0"/>
              <w:keepLines w:val="0"/>
              <w:pageBreakBefore w:val="0"/>
              <w:widowControl w:val="0"/>
              <w:kinsoku/>
              <w:wordWrap/>
              <w:overflowPunct/>
              <w:topLinePunct w:val="0"/>
              <w:autoSpaceDE w:val="0"/>
              <w:autoSpaceDN w:val="0"/>
              <w:bidi w:val="0"/>
              <w:adjustRightInd w:val="0"/>
              <w:snapToGrid/>
              <w:spacing w:line="42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r>
    </w:tbl>
    <w:p w14:paraId="2B99F99A">
      <w:pPr>
        <w:pageBreakBefore w:val="0"/>
        <w:kinsoku/>
        <w:wordWrap/>
        <w:overflowPunct/>
        <w:topLinePunct w:val="0"/>
        <w:bidi w:val="0"/>
        <w:snapToGrid/>
        <w:spacing w:line="300" w:lineRule="auto"/>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注：</w:t>
      </w:r>
      <w:r>
        <w:rPr>
          <w:rFonts w:hint="eastAsia" w:ascii="宋体" w:hAnsi="宋体" w:eastAsia="宋体" w:cs="宋体"/>
          <w:b/>
          <w:color w:val="auto"/>
          <w:highlight w:val="none"/>
          <w:lang w:val="en-US" w:eastAsia="zh-CN"/>
        </w:rPr>
        <w:t>1、该合同模板与招标文件中实质性内容不相符部分，以招标文件规定为准，在签订前相应调整。</w:t>
      </w:r>
    </w:p>
    <w:p w14:paraId="6D01DB2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color w:val="auto"/>
          <w:kern w:val="0"/>
          <w:sz w:val="21"/>
          <w:szCs w:val="21"/>
          <w:highlight w:val="none"/>
          <w:lang w:val="en-US" w:eastAsia="zh-CN" w:bidi="ar-SA"/>
        </w:rPr>
        <w:t>2、在正式签约时，双方可以根据上述要求应拟定更为详尽的合同书。</w:t>
      </w:r>
      <w:r>
        <w:rPr>
          <w:rFonts w:hint="eastAsia" w:ascii="宋体" w:hAnsi="宋体" w:eastAsia="宋体" w:cs="宋体"/>
          <w:color w:val="auto"/>
          <w:sz w:val="24"/>
          <w:szCs w:val="24"/>
          <w:highlight w:val="none"/>
          <w:lang w:val="en-US" w:eastAsia="zh-CN"/>
        </w:rPr>
        <w:t xml:space="preserve"> </w:t>
      </w:r>
    </w:p>
    <w:p w14:paraId="3AB6F0FD">
      <w:pPr>
        <w:numPr>
          <w:ilvl w:val="0"/>
          <w:numId w:val="15"/>
        </w:numPr>
        <w:rPr>
          <w:rFonts w:hint="eastAsia" w:ascii="宋体" w:hAnsi="宋体" w:eastAsia="宋体" w:cs="宋体"/>
          <w:color w:val="auto"/>
          <w:sz w:val="36"/>
          <w:szCs w:val="36"/>
        </w:rPr>
      </w:pPr>
      <w:r>
        <w:rPr>
          <w:rFonts w:hint="eastAsia" w:ascii="宋体" w:hAnsi="宋体" w:eastAsia="宋体" w:cs="宋体"/>
          <w:color w:val="auto"/>
          <w:sz w:val="36"/>
          <w:szCs w:val="36"/>
        </w:rPr>
        <w:br w:type="page"/>
      </w:r>
    </w:p>
    <w:p w14:paraId="07311B4A">
      <w:pPr>
        <w:pStyle w:val="2"/>
        <w:spacing w:beforeLines="50" w:afterLines="50" w:line="300" w:lineRule="auto"/>
        <w:jc w:val="center"/>
        <w:rPr>
          <w:rFonts w:hint="eastAsia" w:ascii="宋体" w:hAnsi="宋体" w:eastAsia="宋体" w:cs="宋体"/>
          <w:b w:val="0"/>
          <w:color w:val="auto"/>
          <w:sz w:val="36"/>
          <w:szCs w:val="36"/>
        </w:rPr>
      </w:pPr>
      <w:r>
        <w:rPr>
          <w:rFonts w:hint="eastAsia" w:ascii="宋体" w:hAnsi="宋体" w:eastAsia="宋体" w:cs="宋体"/>
          <w:color w:val="auto"/>
          <w:sz w:val="36"/>
          <w:szCs w:val="36"/>
        </w:rPr>
        <w:t>第六章  应提交的有关格式范例</w:t>
      </w:r>
    </w:p>
    <w:p w14:paraId="33B58684">
      <w:pPr>
        <w:widowControl/>
        <w:tabs>
          <w:tab w:val="left" w:pos="450"/>
          <w:tab w:val="left" w:pos="8280"/>
        </w:tabs>
        <w:spacing w:beforeLines="50" w:afterLines="500" w:line="360" w:lineRule="auto"/>
        <w:ind w:firstLine="482"/>
        <w:jc w:val="center"/>
        <w:rPr>
          <w:rFonts w:hint="eastAsia" w:ascii="宋体" w:hAnsi="宋体" w:eastAsia="宋体" w:cs="宋体"/>
          <w:color w:val="auto"/>
          <w:sz w:val="32"/>
          <w:szCs w:val="32"/>
        </w:rPr>
      </w:pPr>
      <w:r>
        <w:rPr>
          <w:rFonts w:hint="eastAsia" w:ascii="宋体" w:hAnsi="宋体" w:eastAsia="宋体" w:cs="宋体"/>
          <w:b/>
          <w:color w:val="auto"/>
          <w:sz w:val="28"/>
          <w:szCs w:val="28"/>
        </w:rPr>
        <w:t>（注：未提供格式部分由投标人自拟）</w:t>
      </w:r>
    </w:p>
    <w:p w14:paraId="0C5E2CD8">
      <w:pPr>
        <w:widowControl/>
        <w:tabs>
          <w:tab w:val="left" w:pos="450"/>
          <w:tab w:val="left" w:pos="2520"/>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一、外包装封面</w:t>
      </w:r>
    </w:p>
    <w:p w14:paraId="322FA149">
      <w:pPr>
        <w:widowControl/>
        <w:tabs>
          <w:tab w:val="left" w:pos="8280"/>
        </w:tabs>
        <w:spacing w:line="360" w:lineRule="auto"/>
        <w:ind w:firstLine="480"/>
        <w:jc w:val="center"/>
        <w:rPr>
          <w:rFonts w:hint="eastAsia" w:ascii="宋体" w:hAnsi="宋体" w:eastAsia="宋体" w:cs="宋体"/>
          <w:b/>
          <w:sz w:val="32"/>
          <w:szCs w:val="32"/>
        </w:rPr>
      </w:pPr>
    </w:p>
    <w:p w14:paraId="52D1322D">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w w:val="100"/>
          <w:sz w:val="32"/>
          <w:szCs w:val="32"/>
          <w:lang w:eastAsia="zh-CN"/>
        </w:rPr>
        <w:t>技术文件或商务文件</w:t>
      </w:r>
    </w:p>
    <w:p w14:paraId="631B2B80">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7D026B7">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5C9120C2">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5CC2F646">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74E95E27">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101BC2AA">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5260E435">
      <w:pPr>
        <w:widowControl/>
        <w:tabs>
          <w:tab w:val="left" w:pos="8280"/>
        </w:tabs>
        <w:spacing w:line="360" w:lineRule="auto"/>
        <w:ind w:firstLine="960" w:firstLineChars="300"/>
        <w:jc w:val="center"/>
        <w:rPr>
          <w:rFonts w:hint="eastAsia" w:ascii="宋体" w:hAnsi="宋体" w:eastAsia="宋体" w:cs="宋体"/>
          <w:b/>
          <w:sz w:val="32"/>
          <w:szCs w:val="32"/>
        </w:rPr>
      </w:pPr>
    </w:p>
    <w:p w14:paraId="60F67442">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2B9E9621">
      <w:pPr>
        <w:widowControl/>
        <w:tabs>
          <w:tab w:val="left" w:pos="8280"/>
        </w:tabs>
        <w:spacing w:line="360" w:lineRule="auto"/>
        <w:ind w:firstLine="960" w:firstLineChars="300"/>
        <w:jc w:val="center"/>
        <w:rPr>
          <w:rFonts w:hint="eastAsia" w:ascii="宋体" w:hAnsi="宋体" w:eastAsia="宋体" w:cs="宋体"/>
          <w:b/>
          <w:sz w:val="32"/>
          <w:szCs w:val="32"/>
        </w:rPr>
      </w:pPr>
    </w:p>
    <w:p w14:paraId="3102D64E">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34304D3C">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7C82AC9E">
      <w:pPr>
        <w:spacing w:beforeLines="50" w:after="260" w:line="500" w:lineRule="exact"/>
        <w:jc w:val="center"/>
        <w:rPr>
          <w:rFonts w:hint="eastAsia" w:ascii="宋体" w:hAnsi="宋体" w:eastAsia="宋体" w:cs="宋体"/>
          <w:b/>
        </w:rPr>
      </w:pPr>
      <w:r>
        <w:rPr>
          <w:rFonts w:hint="eastAsia" w:ascii="宋体" w:hAnsi="宋体" w:eastAsia="宋体" w:cs="宋体"/>
          <w:b/>
          <w:color w:val="auto"/>
          <w:sz w:val="32"/>
          <w:szCs w:val="32"/>
        </w:rPr>
        <w:t>二、内包装封面</w:t>
      </w:r>
    </w:p>
    <w:p w14:paraId="1C58BC9E">
      <w:pPr>
        <w:widowControl/>
        <w:tabs>
          <w:tab w:val="left" w:pos="8280"/>
        </w:tabs>
        <w:spacing w:line="360" w:lineRule="auto"/>
        <w:ind w:firstLine="480"/>
        <w:jc w:val="right"/>
        <w:rPr>
          <w:rFonts w:hint="eastAsia" w:ascii="宋体" w:hAnsi="宋体" w:eastAsia="宋体" w:cs="宋体"/>
          <w:b/>
          <w:sz w:val="32"/>
          <w:szCs w:val="32"/>
        </w:rPr>
      </w:pPr>
      <w:r>
        <w:rPr>
          <w:rFonts w:hint="eastAsia" w:ascii="宋体" w:hAnsi="宋体" w:eastAsia="宋体" w:cs="宋体"/>
          <w:b/>
          <w:sz w:val="32"/>
          <w:szCs w:val="32"/>
        </w:rPr>
        <w:t>正本/副本</w:t>
      </w:r>
    </w:p>
    <w:p w14:paraId="366EB39B">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w w:val="100"/>
          <w:sz w:val="32"/>
          <w:szCs w:val="32"/>
          <w:lang w:eastAsia="zh-CN"/>
        </w:rPr>
        <w:t>技术文件或商务文件</w:t>
      </w:r>
    </w:p>
    <w:p w14:paraId="2FCAE7AD">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35AF392">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0DB9EB68">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183612B0">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39E71584">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48D4B9C0">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7731D913">
      <w:pPr>
        <w:widowControl/>
        <w:tabs>
          <w:tab w:val="left" w:pos="8280"/>
        </w:tabs>
        <w:spacing w:line="360" w:lineRule="auto"/>
        <w:ind w:firstLine="960" w:firstLineChars="300"/>
        <w:jc w:val="center"/>
        <w:rPr>
          <w:rFonts w:hint="eastAsia" w:ascii="宋体" w:hAnsi="宋体" w:eastAsia="宋体" w:cs="宋体"/>
          <w:b/>
          <w:sz w:val="32"/>
          <w:szCs w:val="32"/>
        </w:rPr>
      </w:pPr>
    </w:p>
    <w:p w14:paraId="67354A3B">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6F0C99B5">
      <w:pPr>
        <w:widowControl/>
        <w:tabs>
          <w:tab w:val="left" w:pos="8280"/>
        </w:tabs>
        <w:spacing w:line="360" w:lineRule="auto"/>
        <w:ind w:firstLine="960" w:firstLineChars="300"/>
        <w:jc w:val="center"/>
        <w:rPr>
          <w:rFonts w:hint="eastAsia" w:ascii="宋体" w:hAnsi="宋体" w:eastAsia="宋体" w:cs="宋体"/>
          <w:b/>
          <w:sz w:val="32"/>
          <w:szCs w:val="32"/>
        </w:rPr>
      </w:pPr>
    </w:p>
    <w:p w14:paraId="18A809B1">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43549DDE">
      <w:pPr>
        <w:rPr>
          <w:rFonts w:hint="eastAsia" w:ascii="宋体" w:hAnsi="宋体" w:eastAsia="宋体" w:cs="宋体"/>
          <w:color w:val="auto"/>
        </w:rPr>
      </w:pPr>
    </w:p>
    <w:p w14:paraId="00FC8747">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591C2B80">
      <w:pPr>
        <w:pStyle w:val="3"/>
        <w:spacing w:before="0" w:line="500" w:lineRule="exact"/>
        <w:jc w:val="center"/>
        <w:rPr>
          <w:rFonts w:hint="eastAsia" w:ascii="宋体" w:hAnsi="宋体" w:eastAsia="宋体" w:cs="宋体"/>
        </w:rPr>
      </w:pPr>
      <w:r>
        <w:rPr>
          <w:rFonts w:hint="eastAsia" w:ascii="宋体" w:hAnsi="宋体" w:eastAsia="宋体" w:cs="宋体"/>
        </w:rPr>
        <w:t>三、投标函</w:t>
      </w:r>
    </w:p>
    <w:p w14:paraId="60FC96A5">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致：</w:t>
      </w:r>
      <w:r>
        <w:rPr>
          <w:rFonts w:hint="eastAsia" w:ascii="宋体" w:hAnsi="宋体" w:eastAsia="宋体" w:cs="宋体"/>
          <w:spacing w:val="0"/>
          <w:sz w:val="24"/>
          <w:szCs w:val="24"/>
          <w:lang w:eastAsia="zh-CN"/>
        </w:rPr>
        <w:t>诸暨市教育体育局</w:t>
      </w:r>
    </w:p>
    <w:p w14:paraId="75C14B77">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rPr>
        <w:t xml:space="preserve">    </w:t>
      </w:r>
      <w:r>
        <w:rPr>
          <w:rFonts w:hint="eastAsia" w:ascii="宋体" w:hAnsi="宋体" w:eastAsia="宋体" w:cs="宋体"/>
          <w:spacing w:val="0"/>
          <w:sz w:val="24"/>
          <w:szCs w:val="24"/>
          <w:lang w:eastAsia="zh-CN"/>
        </w:rPr>
        <w:t>诸暨市教育体育局项目交易办公室</w:t>
      </w:r>
    </w:p>
    <w:p w14:paraId="526CF861">
      <w:pPr>
        <w:spacing w:line="360" w:lineRule="auto"/>
        <w:ind w:firstLine="512" w:firstLineChars="200"/>
        <w:rPr>
          <w:rFonts w:hint="eastAsia" w:ascii="宋体" w:hAnsi="宋体" w:eastAsia="宋体" w:cs="宋体"/>
          <w:spacing w:val="8"/>
          <w:sz w:val="24"/>
          <w:szCs w:val="24"/>
        </w:rPr>
      </w:pPr>
    </w:p>
    <w:p w14:paraId="68BA17E8">
      <w:pPr>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根据贵方</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项目的招标文件（编号：</w:t>
      </w:r>
      <w:r>
        <w:rPr>
          <w:rFonts w:hint="eastAsia" w:ascii="宋体" w:hAnsi="宋体" w:cs="宋体"/>
          <w:spacing w:val="0"/>
          <w:sz w:val="24"/>
          <w:szCs w:val="24"/>
          <w:lang w:eastAsia="zh-CN"/>
        </w:rPr>
        <w:t>zjjyj-20260304</w:t>
      </w:r>
      <w:r>
        <w:rPr>
          <w:rFonts w:hint="eastAsia" w:ascii="宋体" w:hAnsi="宋体" w:eastAsia="宋体" w:cs="宋体"/>
          <w:spacing w:val="0"/>
          <w:sz w:val="24"/>
          <w:szCs w:val="24"/>
        </w:rPr>
        <w:t xml:space="preserve">）有关要求， </w:t>
      </w:r>
      <w:r>
        <w:rPr>
          <w:rFonts w:hint="eastAsia" w:ascii="宋体" w:hAnsi="宋体" w:eastAsia="宋体" w:cs="宋体"/>
          <w:spacing w:val="0"/>
          <w:sz w:val="24"/>
          <w:szCs w:val="24"/>
          <w:u w:val="single"/>
        </w:rPr>
        <w:t xml:space="preserve">   　　（投标人全称）       </w:t>
      </w:r>
      <w:r>
        <w:rPr>
          <w:rFonts w:hint="eastAsia" w:ascii="宋体" w:hAnsi="宋体" w:eastAsia="宋体" w:cs="宋体"/>
          <w:spacing w:val="0"/>
          <w:sz w:val="24"/>
          <w:szCs w:val="24"/>
        </w:rPr>
        <w:t>授权</w:t>
      </w:r>
      <w:r>
        <w:rPr>
          <w:rFonts w:hint="eastAsia" w:ascii="宋体" w:hAnsi="宋体" w:eastAsia="宋体" w:cs="宋体"/>
          <w:spacing w:val="0"/>
          <w:sz w:val="24"/>
          <w:szCs w:val="24"/>
          <w:u w:val="single"/>
        </w:rPr>
        <w:t xml:space="preserve">     （委托代理人姓名）   </w:t>
      </w:r>
      <w:r>
        <w:rPr>
          <w:rFonts w:hint="eastAsia" w:ascii="宋体" w:hAnsi="宋体" w:eastAsia="宋体" w:cs="宋体"/>
          <w:spacing w:val="0"/>
          <w:sz w:val="24"/>
          <w:szCs w:val="24"/>
        </w:rPr>
        <w:t>为全权代表，参加贵方组织的招标采购活动，并进行投标。为此：</w:t>
      </w:r>
    </w:p>
    <w:p w14:paraId="2D5E95B6">
      <w:pPr>
        <w:snapToGrid w:val="0"/>
        <w:spacing w:line="360" w:lineRule="auto"/>
        <w:ind w:firstLine="480" w:firstLineChars="200"/>
        <w:rPr>
          <w:rFonts w:hint="eastAsia" w:ascii="宋体" w:hAnsi="宋体" w:eastAsia="宋体" w:cs="宋体"/>
          <w:bCs/>
          <w:spacing w:val="0"/>
          <w:sz w:val="24"/>
          <w:szCs w:val="24"/>
        </w:rPr>
      </w:pPr>
      <w:r>
        <w:rPr>
          <w:rFonts w:hint="eastAsia" w:ascii="宋体" w:hAnsi="宋体" w:eastAsia="宋体" w:cs="宋体"/>
          <w:spacing w:val="0"/>
          <w:sz w:val="24"/>
          <w:szCs w:val="24"/>
        </w:rPr>
        <w:t>1、我方已详细研读了全部招标文件，包括修改文件（如有的话）以及全部参考资料和有关附件等，</w:t>
      </w:r>
      <w:r>
        <w:rPr>
          <w:rFonts w:hint="eastAsia" w:ascii="宋体" w:hAnsi="宋体" w:eastAsia="宋体" w:cs="宋体"/>
          <w:bCs/>
          <w:spacing w:val="0"/>
          <w:sz w:val="24"/>
          <w:szCs w:val="24"/>
        </w:rPr>
        <w:t>完全理解并接受招标文件的各项规定和要求，对招标文件的合理性、合法性不再有异议。</w:t>
      </w:r>
    </w:p>
    <w:p w14:paraId="40A16009">
      <w:pPr>
        <w:tabs>
          <w:tab w:val="left" w:pos="900"/>
        </w:tabs>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2、我方承诺本投标文件在开标之日起至投标有效期满均具有约束力，并严格遵守投标文件中的承诺。</w:t>
      </w:r>
    </w:p>
    <w:p w14:paraId="7BA1EFFB">
      <w:pPr>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3、我方承诺已经具备《中华人民共和国政府采购法》及招标文件中规定的参加本项目的供应商资格条件。</w:t>
      </w:r>
    </w:p>
    <w:p w14:paraId="539DDDC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4、我方严</w:t>
      </w:r>
      <w:r>
        <w:rPr>
          <w:rFonts w:hint="eastAsia" w:ascii="宋体" w:hAnsi="宋体" w:eastAsia="宋体" w:cs="宋体"/>
          <w:sz w:val="24"/>
          <w:szCs w:val="24"/>
        </w:rPr>
        <w:t>格按照招标文件的规定报价，并提供招标文件规定的全部投标文件。</w:t>
      </w:r>
    </w:p>
    <w:p w14:paraId="76BBA9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5、如我方中标，投标文件将作为本项目合同的组成部分，直到合同履行完毕均保持有效，我方将按招标文件及政府采购法律、法规的规定履行合同责任和义务。</w:t>
      </w:r>
    </w:p>
    <w:p w14:paraId="2289C3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6、我方完全理解贵方不一定接受最低价的投标。</w:t>
      </w:r>
    </w:p>
    <w:p w14:paraId="5EAD57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7、我方同意向贵方提供任何与该项投标有关的一切数据或资料。若贵方需要，我方愿意提供我方作出的一切承诺的证明材料。</w:t>
      </w:r>
    </w:p>
    <w:p w14:paraId="243BA2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8、与本次投标有关的一切正式往来通讯，请寄：</w:t>
      </w:r>
    </w:p>
    <w:p w14:paraId="0AFFCDAA">
      <w:pPr>
        <w:spacing w:line="360" w:lineRule="auto"/>
        <w:ind w:firstLine="544" w:firstLineChars="227"/>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地址：_______________ 邮编：_______________</w:t>
      </w:r>
    </w:p>
    <w:p w14:paraId="41B7193B">
      <w:pPr>
        <w:spacing w:line="36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电话：_______________ 传真：_______________</w:t>
      </w:r>
    </w:p>
    <w:p w14:paraId="03191C6D">
      <w:pPr>
        <w:spacing w:line="360" w:lineRule="auto"/>
        <w:ind w:firstLine="542" w:firstLineChars="22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电子邮箱：__________________________</w:t>
      </w:r>
    </w:p>
    <w:p w14:paraId="7A150056">
      <w:pPr>
        <w:spacing w:line="480" w:lineRule="auto"/>
        <w:ind w:firstLine="425"/>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1D84324D">
      <w:pPr>
        <w:spacing w:line="480" w:lineRule="auto"/>
        <w:ind w:firstLine="425"/>
        <w:rPr>
          <w:rFonts w:hint="eastAsia" w:ascii="宋体" w:hAnsi="宋体" w:eastAsia="宋体" w:cs="宋体"/>
          <w:b w:val="0"/>
          <w:bCs w:val="0"/>
          <w:sz w:val="24"/>
          <w:szCs w:val="24"/>
        </w:rPr>
      </w:pPr>
      <w:r>
        <w:rPr>
          <w:rFonts w:hint="eastAsia" w:ascii="宋体" w:hAnsi="宋体" w:eastAsia="宋体" w:cs="宋体"/>
          <w:b w:val="0"/>
          <w:bCs w:val="0"/>
          <w:sz w:val="24"/>
          <w:szCs w:val="24"/>
        </w:rPr>
        <w:t>投标人全称：</w:t>
      </w:r>
      <w:r>
        <w:rPr>
          <w:rFonts w:hint="eastAsia" w:ascii="宋体" w:hAnsi="宋体" w:eastAsia="宋体" w:cs="宋体"/>
          <w:b w:val="0"/>
          <w:bCs w:val="0"/>
          <w:sz w:val="24"/>
          <w:szCs w:val="24"/>
          <w:u w:val="single"/>
        </w:rPr>
        <w:t xml:space="preserve">             （盖章）          </w:t>
      </w:r>
    </w:p>
    <w:p w14:paraId="3A51C1F9">
      <w:pPr>
        <w:spacing w:line="48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法定代表人或委托代理人：</w:t>
      </w:r>
      <w:r>
        <w:rPr>
          <w:rFonts w:hint="eastAsia" w:ascii="宋体" w:hAnsi="宋体" w:eastAsia="宋体" w:cs="宋体"/>
          <w:b w:val="0"/>
          <w:bCs w:val="0"/>
          <w:sz w:val="24"/>
          <w:szCs w:val="24"/>
          <w:u w:val="single"/>
        </w:rPr>
        <w:t xml:space="preserve">     签字或盖章    </w:t>
      </w:r>
    </w:p>
    <w:p w14:paraId="7184573B">
      <w:pPr>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日期：______年______月</w:t>
      </w:r>
      <w:r>
        <w:rPr>
          <w:rFonts w:hint="eastAsia" w:ascii="宋体" w:hAnsi="宋体" w:eastAsia="宋体" w:cs="宋体"/>
          <w:sz w:val="24"/>
          <w:szCs w:val="24"/>
        </w:rPr>
        <w:t>______日</w:t>
      </w:r>
    </w:p>
    <w:p w14:paraId="2E544E2C">
      <w:pPr>
        <w:spacing w:line="360" w:lineRule="auto"/>
        <w:ind w:firstLine="480" w:firstLineChars="200"/>
        <w:rPr>
          <w:rFonts w:hint="eastAsia" w:ascii="宋体" w:hAnsi="宋体" w:eastAsia="宋体" w:cs="宋体"/>
          <w:color w:val="auto"/>
          <w:sz w:val="24"/>
          <w:szCs w:val="24"/>
        </w:rPr>
        <w:sectPr>
          <w:pgSz w:w="11906" w:h="16838"/>
          <w:pgMar w:top="1134" w:right="1417" w:bottom="1020" w:left="1417" w:header="567" w:footer="454" w:gutter="0"/>
          <w:pgNumType w:fmt="numberInDash"/>
          <w:cols w:space="0" w:num="1"/>
          <w:docGrid w:type="linesAndChars" w:linePitch="312" w:charSpace="200"/>
        </w:sectPr>
      </w:pPr>
    </w:p>
    <w:p w14:paraId="1CDBDE37">
      <w:pPr>
        <w:pStyle w:val="3"/>
        <w:spacing w:before="0" w:line="500" w:lineRule="exact"/>
        <w:jc w:val="center"/>
        <w:rPr>
          <w:rFonts w:hint="eastAsia" w:ascii="宋体" w:hAnsi="宋体" w:eastAsia="宋体" w:cs="宋体"/>
        </w:rPr>
      </w:pPr>
      <w:r>
        <w:rPr>
          <w:rFonts w:hint="eastAsia" w:ascii="宋体" w:hAnsi="宋体" w:eastAsia="宋体" w:cs="宋体"/>
        </w:rPr>
        <w:t>四、法定代表人（负责人）授权委托书</w:t>
      </w:r>
    </w:p>
    <w:p w14:paraId="4746031B">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致：</w:t>
      </w:r>
      <w:r>
        <w:rPr>
          <w:rFonts w:hint="eastAsia" w:ascii="宋体" w:hAnsi="宋体" w:cs="宋体"/>
          <w:spacing w:val="0"/>
          <w:sz w:val="24"/>
          <w:szCs w:val="24"/>
          <w:lang w:eastAsia="zh-CN"/>
        </w:rPr>
        <w:t>诸暨市教育体育局</w:t>
      </w:r>
    </w:p>
    <w:p w14:paraId="2CC7FC15">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0"/>
          <w:sz w:val="24"/>
          <w:szCs w:val="24"/>
        </w:rPr>
        <w:t xml:space="preserve">    </w:t>
      </w:r>
      <w:r>
        <w:rPr>
          <w:rFonts w:hint="eastAsia" w:ascii="宋体" w:hAnsi="宋体" w:cs="宋体"/>
          <w:spacing w:val="0"/>
          <w:sz w:val="24"/>
          <w:szCs w:val="24"/>
          <w:lang w:eastAsia="zh-CN"/>
        </w:rPr>
        <w:t>诸暨市教育体育局项目交易办公室</w:t>
      </w:r>
    </w:p>
    <w:p w14:paraId="4F2BFFC7">
      <w:pPr>
        <w:spacing w:line="360" w:lineRule="auto"/>
        <w:rPr>
          <w:rFonts w:hint="eastAsia" w:ascii="宋体" w:hAnsi="宋体" w:eastAsia="宋体" w:cs="宋体"/>
          <w:sz w:val="24"/>
          <w:szCs w:val="24"/>
        </w:rPr>
      </w:pPr>
    </w:p>
    <w:p w14:paraId="7A45AC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(投标人名称)　　　</w:t>
      </w:r>
      <w:r>
        <w:rPr>
          <w:rFonts w:hint="eastAsia" w:ascii="宋体" w:hAnsi="宋体" w:eastAsia="宋体" w:cs="宋体"/>
          <w:sz w:val="24"/>
          <w:szCs w:val="24"/>
        </w:rPr>
        <w:t>的法定代表人（负责人），现授权委托本单位在职职工</w:t>
      </w:r>
      <w:r>
        <w:rPr>
          <w:rFonts w:hint="eastAsia" w:ascii="宋体" w:hAnsi="宋体" w:eastAsia="宋体" w:cs="宋体"/>
          <w:sz w:val="24"/>
          <w:szCs w:val="24"/>
          <w:u w:val="single"/>
        </w:rPr>
        <w:t xml:space="preserve">   (姓名)  　</w:t>
      </w:r>
      <w:r>
        <w:rPr>
          <w:rFonts w:hint="eastAsia" w:ascii="宋体" w:hAnsi="宋体" w:eastAsia="宋体" w:cs="宋体"/>
          <w:sz w:val="24"/>
          <w:szCs w:val="24"/>
        </w:rPr>
        <w:t>以我方的名义参加贵公司组织的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(项目)        </w:t>
      </w:r>
      <w:r>
        <w:rPr>
          <w:rFonts w:hint="eastAsia" w:ascii="宋体" w:hAnsi="宋体" w:eastAsia="宋体" w:cs="宋体"/>
          <w:sz w:val="24"/>
          <w:szCs w:val="24"/>
        </w:rPr>
        <w:t>（编号：</w:t>
      </w:r>
      <w:r>
        <w:rPr>
          <w:rFonts w:hint="eastAsia" w:ascii="宋体" w:hAnsi="宋体" w:cs="宋体"/>
          <w:sz w:val="24"/>
          <w:szCs w:val="24"/>
          <w:lang w:eastAsia="zh-CN"/>
        </w:rPr>
        <w:t>zjjyj-20260304</w:t>
      </w:r>
      <w:r>
        <w:rPr>
          <w:rFonts w:hint="eastAsia" w:ascii="宋体" w:hAnsi="宋体" w:cs="宋体"/>
          <w:sz w:val="24"/>
          <w:szCs w:val="24"/>
          <w:lang w:val="en-US" w:eastAsia="zh-CN"/>
        </w:rPr>
        <w:t>)</w:t>
      </w:r>
      <w:r>
        <w:rPr>
          <w:rFonts w:hint="eastAsia" w:ascii="宋体" w:hAnsi="宋体" w:eastAsia="宋体" w:cs="宋体"/>
          <w:sz w:val="24"/>
          <w:szCs w:val="24"/>
        </w:rPr>
        <w:t>的投标活动，并代表我方全权办理针对上述项目的投标、开标、评标、签约等具体事务和签署相关文件。</w:t>
      </w:r>
    </w:p>
    <w:p w14:paraId="122EF0F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我方对被授权人的签名事项负全部责任。</w:t>
      </w:r>
    </w:p>
    <w:p w14:paraId="07226FF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14:paraId="5B9C2FAC">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14:paraId="1A5674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注：《法定代表人（负责人）授权委托书》</w:t>
      </w:r>
      <w:r>
        <w:rPr>
          <w:rFonts w:hint="eastAsia" w:ascii="宋体" w:hAnsi="宋体" w:eastAsia="宋体" w:cs="宋体"/>
          <w:b/>
          <w:color w:val="auto"/>
          <w:sz w:val="24"/>
          <w:szCs w:val="24"/>
          <w:u w:val="single"/>
        </w:rPr>
        <w:t>须后附</w:t>
      </w:r>
      <w:r>
        <w:rPr>
          <w:rFonts w:hint="eastAsia" w:ascii="宋体" w:hAnsi="宋体" w:eastAsia="宋体" w:cs="宋体"/>
          <w:b/>
          <w:color w:val="auto"/>
          <w:sz w:val="24"/>
          <w:szCs w:val="24"/>
        </w:rPr>
        <w:t>法定代表人（负责人）和被授权人的身份证（正反面）复印件（加盖投标人公章）。</w:t>
      </w:r>
    </w:p>
    <w:p w14:paraId="3436E4E0">
      <w:pPr>
        <w:spacing w:line="360" w:lineRule="auto"/>
        <w:rPr>
          <w:rFonts w:hint="eastAsia" w:ascii="宋体" w:hAnsi="宋体" w:eastAsia="宋体" w:cs="宋体"/>
          <w:color w:val="auto"/>
          <w:sz w:val="24"/>
          <w:szCs w:val="24"/>
        </w:rPr>
      </w:pPr>
    </w:p>
    <w:p w14:paraId="574CCB7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被授权人：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w:t>
      </w:r>
    </w:p>
    <w:p w14:paraId="19B62452">
      <w:pPr>
        <w:spacing w:line="360" w:lineRule="auto"/>
        <w:rPr>
          <w:rFonts w:hint="eastAsia" w:ascii="宋体" w:hAnsi="宋体" w:eastAsia="宋体" w:cs="宋体"/>
          <w:sz w:val="24"/>
          <w:szCs w:val="24"/>
        </w:rPr>
      </w:pPr>
      <w:r>
        <w:rPr>
          <w:rFonts w:hint="eastAsia" w:ascii="宋体" w:hAnsi="宋体" w:eastAsia="宋体" w:cs="宋体"/>
          <w:sz w:val="24"/>
          <w:szCs w:val="24"/>
        </w:rPr>
        <w:t>职      务：____________                   职    务：____________</w:t>
      </w:r>
    </w:p>
    <w:p w14:paraId="049F98B6">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被授权人身份证号码：____________</w:t>
      </w:r>
    </w:p>
    <w:p w14:paraId="7A3113A0">
      <w:pPr>
        <w:spacing w:line="360" w:lineRule="auto"/>
        <w:rPr>
          <w:rFonts w:hint="eastAsia" w:ascii="宋体" w:hAnsi="宋体" w:eastAsia="宋体" w:cs="宋体"/>
          <w:sz w:val="24"/>
          <w:szCs w:val="24"/>
        </w:rPr>
      </w:pPr>
    </w:p>
    <w:p w14:paraId="0E3EFBF7">
      <w:pPr>
        <w:spacing w:line="360" w:lineRule="auto"/>
        <w:rPr>
          <w:rFonts w:hint="eastAsia" w:ascii="宋体" w:hAnsi="宋体" w:eastAsia="宋体" w:cs="宋体"/>
          <w:sz w:val="24"/>
          <w:szCs w:val="24"/>
        </w:rPr>
      </w:pPr>
    </w:p>
    <w:p w14:paraId="1039A119">
      <w:pPr>
        <w:spacing w:line="360" w:lineRule="auto"/>
        <w:ind w:firstLine="4440" w:firstLineChars="1850"/>
        <w:jc w:val="right"/>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　　　 (盖章)</w:t>
      </w:r>
    </w:p>
    <w:p w14:paraId="091CAF3F">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_____年_____月_____日</w:t>
      </w:r>
    </w:p>
    <w:p w14:paraId="28417A21">
      <w:pPr>
        <w:spacing w:line="360" w:lineRule="auto"/>
        <w:rPr>
          <w:rFonts w:hint="eastAsia" w:ascii="宋体" w:hAnsi="宋体" w:eastAsia="宋体" w:cs="宋体"/>
          <w:b/>
          <w:sz w:val="24"/>
          <w:szCs w:val="24"/>
        </w:rPr>
      </w:pPr>
    </w:p>
    <w:p w14:paraId="656DF670">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427ED41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 投标人</w:t>
      </w:r>
      <w:r>
        <w:rPr>
          <w:rFonts w:hint="eastAsia" w:ascii="宋体" w:hAnsi="宋体" w:eastAsia="宋体" w:cs="宋体"/>
          <w:b/>
          <w:bCs/>
          <w:color w:val="auto"/>
          <w:sz w:val="24"/>
          <w:szCs w:val="24"/>
        </w:rPr>
        <w:t>代表为法定代表人/负责人的，“投标文件”中只需提供法</w:t>
      </w:r>
      <w:r>
        <w:rPr>
          <w:rFonts w:hint="eastAsia" w:ascii="宋体" w:hAnsi="宋体" w:eastAsia="宋体" w:cs="宋体"/>
          <w:b/>
          <w:color w:val="auto"/>
          <w:sz w:val="24"/>
          <w:szCs w:val="24"/>
        </w:rPr>
        <w:t>定</w:t>
      </w:r>
      <w:r>
        <w:rPr>
          <w:rFonts w:hint="eastAsia" w:ascii="宋体" w:hAnsi="宋体" w:eastAsia="宋体" w:cs="宋体"/>
          <w:b/>
          <w:bCs/>
          <w:color w:val="auto"/>
          <w:sz w:val="24"/>
          <w:szCs w:val="24"/>
        </w:rPr>
        <w:t>代表</w:t>
      </w:r>
      <w:r>
        <w:rPr>
          <w:rFonts w:hint="eastAsia" w:ascii="宋体" w:hAnsi="宋体" w:eastAsia="宋体" w:cs="宋体"/>
          <w:b/>
          <w:color w:val="auto"/>
          <w:sz w:val="24"/>
          <w:szCs w:val="24"/>
        </w:rPr>
        <w:t>人/负责人</w:t>
      </w:r>
      <w:r>
        <w:rPr>
          <w:rFonts w:hint="eastAsia" w:ascii="宋体" w:hAnsi="宋体" w:eastAsia="宋体" w:cs="宋体"/>
          <w:b/>
          <w:bCs/>
          <w:color w:val="auto"/>
          <w:sz w:val="24"/>
          <w:szCs w:val="24"/>
        </w:rPr>
        <w:t>身份证（正反面）复印件（加盖投标人公章）</w:t>
      </w:r>
      <w:r>
        <w:rPr>
          <w:rFonts w:hint="eastAsia" w:ascii="宋体" w:hAnsi="宋体" w:eastAsia="宋体" w:cs="宋体"/>
          <w:b/>
          <w:color w:val="auto"/>
          <w:sz w:val="24"/>
          <w:szCs w:val="24"/>
        </w:rPr>
        <w:t>；</w:t>
      </w:r>
    </w:p>
    <w:p w14:paraId="2588CC79">
      <w:pPr>
        <w:spacing w:line="360" w:lineRule="auto"/>
        <w:rPr>
          <w:rFonts w:hint="eastAsia" w:ascii="宋体" w:hAnsi="宋体" w:eastAsia="宋体" w:cs="宋体"/>
          <w:b/>
          <w:color w:val="auto"/>
          <w:sz w:val="24"/>
          <w:szCs w:val="24"/>
        </w:rPr>
        <w:sectPr>
          <w:pgSz w:w="11906" w:h="16838"/>
          <w:pgMar w:top="1134" w:right="1417" w:bottom="1020" w:left="1417" w:header="567" w:footer="454" w:gutter="0"/>
          <w:pgNumType w:fmt="numberInDash"/>
          <w:cols w:space="0" w:num="1"/>
          <w:docGrid w:type="linesAndChars" w:linePitch="312" w:charSpace="200"/>
        </w:sectPr>
      </w:pPr>
      <w:r>
        <w:rPr>
          <w:rFonts w:hint="eastAsia" w:ascii="宋体" w:hAnsi="宋体" w:eastAsia="宋体" w:cs="宋体"/>
          <w:b/>
          <w:color w:val="auto"/>
          <w:sz w:val="24"/>
          <w:szCs w:val="24"/>
        </w:rPr>
        <w:t>2.投标人</w:t>
      </w:r>
      <w:r>
        <w:rPr>
          <w:rFonts w:hint="eastAsia" w:ascii="宋体" w:hAnsi="宋体" w:eastAsia="宋体" w:cs="宋体"/>
          <w:b/>
          <w:bCs/>
          <w:color w:val="auto"/>
          <w:spacing w:val="-6"/>
          <w:sz w:val="24"/>
          <w:szCs w:val="24"/>
        </w:rPr>
        <w:t>代表不是法定代表人/负责人的，“投标文件”中必须提供</w:t>
      </w:r>
      <w:r>
        <w:rPr>
          <w:rFonts w:hint="eastAsia" w:ascii="宋体" w:hAnsi="宋体" w:eastAsia="宋体" w:cs="宋体"/>
          <w:b/>
          <w:sz w:val="24"/>
        </w:rPr>
        <w:t>《法定代表人（负责人）授权委托书》</w:t>
      </w:r>
      <w:r>
        <w:rPr>
          <w:rFonts w:hint="eastAsia" w:ascii="宋体" w:hAnsi="宋体" w:eastAsia="宋体" w:cs="宋体"/>
          <w:b/>
          <w:bCs/>
          <w:color w:val="auto"/>
          <w:spacing w:val="-6"/>
          <w:sz w:val="24"/>
          <w:szCs w:val="24"/>
        </w:rPr>
        <w:t>。</w:t>
      </w:r>
      <w:r>
        <w:rPr>
          <w:rFonts w:hint="eastAsia" w:ascii="宋体" w:hAnsi="宋体" w:eastAsia="宋体" w:cs="宋体"/>
          <w:color w:val="auto"/>
          <w:sz w:val="24"/>
          <w:szCs w:val="24"/>
        </w:rPr>
        <w:br w:type="page"/>
      </w:r>
    </w:p>
    <w:p w14:paraId="4E75E8FA">
      <w:pPr>
        <w:pStyle w:val="3"/>
        <w:spacing w:before="0" w:line="500" w:lineRule="exact"/>
        <w:jc w:val="center"/>
        <w:rPr>
          <w:rFonts w:hint="eastAsia" w:ascii="宋体" w:hAnsi="宋体" w:eastAsia="宋体" w:cs="宋体"/>
        </w:rPr>
      </w:pPr>
      <w:r>
        <w:rPr>
          <w:rFonts w:hint="eastAsia" w:ascii="宋体" w:hAnsi="宋体" w:eastAsia="宋体" w:cs="宋体"/>
        </w:rPr>
        <w:t>五、</w:t>
      </w:r>
      <w:bookmarkStart w:id="12" w:name="OLE_LINK15"/>
      <w:r>
        <w:rPr>
          <w:rFonts w:hint="eastAsia" w:ascii="宋体" w:hAnsi="宋体" w:eastAsia="宋体" w:cs="宋体"/>
        </w:rPr>
        <w:t>供应商情况登记表</w:t>
      </w:r>
      <w:bookmarkEnd w:id="12"/>
    </w:p>
    <w:tbl>
      <w:tblPr>
        <w:tblStyle w:val="52"/>
        <w:tblW w:w="9912" w:type="dxa"/>
        <w:jc w:val="center"/>
        <w:tblLayout w:type="fixed"/>
        <w:tblCellMar>
          <w:top w:w="0" w:type="dxa"/>
          <w:left w:w="108" w:type="dxa"/>
          <w:bottom w:w="0" w:type="dxa"/>
          <w:right w:w="108" w:type="dxa"/>
        </w:tblCellMar>
      </w:tblPr>
      <w:tblGrid>
        <w:gridCol w:w="2766"/>
        <w:gridCol w:w="2814"/>
        <w:gridCol w:w="1813"/>
        <w:gridCol w:w="2519"/>
      </w:tblGrid>
      <w:tr w14:paraId="29B92753">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3E83C314">
            <w:pPr>
              <w:jc w:val="center"/>
              <w:rPr>
                <w:rFonts w:ascii="宋体" w:hAnsi="宋体" w:cs="宋体"/>
                <w:color w:val="333333"/>
                <w:sz w:val="28"/>
              </w:rPr>
            </w:pPr>
            <w:r>
              <w:rPr>
                <w:rFonts w:hint="eastAsia" w:cs="宋体"/>
                <w:color w:val="333333"/>
                <w:sz w:val="28"/>
              </w:rPr>
              <w:t>公司名称</w:t>
            </w:r>
          </w:p>
        </w:tc>
        <w:tc>
          <w:tcPr>
            <w:tcW w:w="2814" w:type="dxa"/>
            <w:tcBorders>
              <w:top w:val="single" w:color="auto" w:sz="4" w:space="0"/>
              <w:left w:val="nil"/>
              <w:bottom w:val="single" w:color="auto" w:sz="4" w:space="0"/>
              <w:right w:val="single" w:color="auto" w:sz="4" w:space="0"/>
            </w:tcBorders>
            <w:noWrap/>
            <w:vAlign w:val="center"/>
          </w:tcPr>
          <w:p w14:paraId="48E84C53">
            <w:pPr>
              <w:jc w:val="center"/>
              <w:rPr>
                <w:rFonts w:ascii="宋体" w:hAnsi="宋体" w:cs="宋体"/>
                <w:color w:val="333333"/>
                <w:sz w:val="28"/>
              </w:rPr>
            </w:pPr>
            <w:r>
              <w:rPr>
                <w:rFonts w:hint="eastAsia" w:cs="宋体"/>
                <w:color w:val="333333"/>
                <w:sz w:val="28"/>
              </w:rPr>
              <w:t> </w:t>
            </w:r>
          </w:p>
        </w:tc>
        <w:tc>
          <w:tcPr>
            <w:tcW w:w="1813" w:type="dxa"/>
            <w:tcBorders>
              <w:top w:val="single" w:color="auto" w:sz="4" w:space="0"/>
              <w:left w:val="nil"/>
              <w:bottom w:val="single" w:color="auto" w:sz="4" w:space="0"/>
              <w:right w:val="single" w:color="auto" w:sz="4" w:space="0"/>
            </w:tcBorders>
            <w:noWrap/>
            <w:vAlign w:val="center"/>
          </w:tcPr>
          <w:p w14:paraId="544FF428">
            <w:pPr>
              <w:jc w:val="center"/>
              <w:rPr>
                <w:rFonts w:ascii="宋体" w:hAnsi="宋体" w:cs="宋体"/>
                <w:color w:val="333333"/>
                <w:spacing w:val="-10"/>
                <w:sz w:val="28"/>
              </w:rPr>
            </w:pPr>
            <w:r>
              <w:rPr>
                <w:rFonts w:hint="eastAsia" w:cs="宋体"/>
                <w:color w:val="333333"/>
                <w:sz w:val="28"/>
              </w:rPr>
              <w:t>法</w:t>
            </w:r>
            <w:r>
              <w:rPr>
                <w:rFonts w:hint="eastAsia" w:cs="宋体"/>
                <w:color w:val="333333"/>
                <w:sz w:val="28"/>
                <w:lang w:eastAsia="zh-CN"/>
              </w:rPr>
              <w:t>定</w:t>
            </w:r>
            <w:r>
              <w:rPr>
                <w:rFonts w:hint="eastAsia" w:cs="宋体"/>
                <w:color w:val="333333"/>
                <w:sz w:val="28"/>
              </w:rPr>
              <w:t>代表人</w:t>
            </w:r>
          </w:p>
        </w:tc>
        <w:tc>
          <w:tcPr>
            <w:tcW w:w="2519" w:type="dxa"/>
            <w:tcBorders>
              <w:top w:val="single" w:color="auto" w:sz="4" w:space="0"/>
              <w:left w:val="nil"/>
              <w:bottom w:val="single" w:color="auto" w:sz="4" w:space="0"/>
              <w:right w:val="single" w:color="auto" w:sz="4" w:space="0"/>
            </w:tcBorders>
            <w:noWrap/>
            <w:vAlign w:val="center"/>
          </w:tcPr>
          <w:p w14:paraId="21CC700E">
            <w:pPr>
              <w:jc w:val="center"/>
              <w:rPr>
                <w:rFonts w:ascii="宋体" w:hAnsi="宋体" w:cs="宋体"/>
                <w:color w:val="333333"/>
                <w:sz w:val="28"/>
              </w:rPr>
            </w:pPr>
            <w:r>
              <w:rPr>
                <w:rFonts w:hint="eastAsia" w:cs="宋体"/>
                <w:color w:val="333333"/>
                <w:sz w:val="28"/>
              </w:rPr>
              <w:t> </w:t>
            </w:r>
          </w:p>
        </w:tc>
      </w:tr>
      <w:tr w14:paraId="2C659790">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12978E21">
            <w:pPr>
              <w:jc w:val="center"/>
              <w:rPr>
                <w:rFonts w:hint="eastAsia" w:cs="宋体"/>
                <w:color w:val="333333"/>
                <w:sz w:val="28"/>
              </w:rPr>
            </w:pPr>
            <w:r>
              <w:rPr>
                <w:rFonts w:hint="eastAsia" w:ascii="宋体" w:hAnsi="宋体" w:eastAsia="宋体" w:cs="宋体"/>
                <w:color w:val="auto"/>
                <w:sz w:val="28"/>
                <w:highlight w:val="none"/>
                <w:lang w:val="en-US" w:eastAsia="zh-CN"/>
              </w:rPr>
              <w:t>统一社会信用代码</w:t>
            </w:r>
          </w:p>
        </w:tc>
        <w:tc>
          <w:tcPr>
            <w:tcW w:w="7146" w:type="dxa"/>
            <w:gridSpan w:val="3"/>
            <w:tcBorders>
              <w:top w:val="single" w:color="auto" w:sz="4" w:space="0"/>
              <w:left w:val="nil"/>
              <w:bottom w:val="single" w:color="auto" w:sz="4" w:space="0"/>
              <w:right w:val="single" w:color="auto" w:sz="4" w:space="0"/>
            </w:tcBorders>
            <w:noWrap/>
            <w:vAlign w:val="center"/>
          </w:tcPr>
          <w:p w14:paraId="0EAC836D">
            <w:pPr>
              <w:jc w:val="center"/>
              <w:rPr>
                <w:rFonts w:hint="eastAsia" w:cs="宋体"/>
                <w:color w:val="333333"/>
                <w:sz w:val="28"/>
              </w:rPr>
            </w:pPr>
          </w:p>
        </w:tc>
      </w:tr>
      <w:tr w14:paraId="0E86EDE5">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623B7750">
            <w:pPr>
              <w:jc w:val="center"/>
              <w:rPr>
                <w:rFonts w:hint="eastAsia" w:ascii="宋体" w:hAnsi="宋体" w:eastAsia="宋体" w:cs="宋体"/>
                <w:color w:val="333333"/>
                <w:sz w:val="28"/>
                <w:lang w:eastAsia="zh-CN"/>
              </w:rPr>
            </w:pPr>
            <w:r>
              <w:rPr>
                <w:rFonts w:hint="eastAsia" w:cs="宋体"/>
                <w:color w:val="333333"/>
                <w:sz w:val="28"/>
                <w:lang w:eastAsia="zh-CN"/>
              </w:rPr>
              <w:t>公司</w:t>
            </w:r>
            <w:r>
              <w:rPr>
                <w:rFonts w:hint="eastAsia" w:cs="宋体"/>
                <w:color w:val="333333"/>
                <w:sz w:val="28"/>
              </w:rPr>
              <w:t>地址</w:t>
            </w:r>
          </w:p>
        </w:tc>
        <w:tc>
          <w:tcPr>
            <w:tcW w:w="7146" w:type="dxa"/>
            <w:gridSpan w:val="3"/>
            <w:tcBorders>
              <w:top w:val="nil"/>
              <w:left w:val="nil"/>
              <w:bottom w:val="single" w:color="auto" w:sz="4" w:space="0"/>
              <w:right w:val="single" w:color="auto" w:sz="4" w:space="0"/>
            </w:tcBorders>
            <w:noWrap/>
            <w:vAlign w:val="center"/>
          </w:tcPr>
          <w:p w14:paraId="487B35D0">
            <w:pPr>
              <w:jc w:val="center"/>
              <w:rPr>
                <w:rFonts w:ascii="宋体" w:hAnsi="宋体" w:cs="宋体"/>
                <w:color w:val="333333"/>
                <w:sz w:val="28"/>
              </w:rPr>
            </w:pPr>
          </w:p>
        </w:tc>
      </w:tr>
      <w:tr w14:paraId="5E64919A">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52C8DB8A">
            <w:pPr>
              <w:jc w:val="center"/>
              <w:rPr>
                <w:rFonts w:hint="eastAsia"/>
                <w:sz w:val="24"/>
                <w:szCs w:val="24"/>
              </w:rPr>
            </w:pPr>
            <w:r>
              <w:rPr>
                <w:rFonts w:hint="eastAsia"/>
                <w:sz w:val="24"/>
                <w:szCs w:val="24"/>
              </w:rPr>
              <w:t>法定代表人或</w:t>
            </w:r>
          </w:p>
          <w:p w14:paraId="06651FC2">
            <w:pPr>
              <w:jc w:val="center"/>
              <w:rPr>
                <w:rFonts w:hint="eastAsia" w:ascii="宋体" w:hAnsi="宋体" w:eastAsia="宋体" w:cs="宋体"/>
                <w:color w:val="333333"/>
                <w:sz w:val="24"/>
                <w:szCs w:val="24"/>
                <w:lang w:val="en-US" w:eastAsia="zh-CN" w:bidi="ar-SA"/>
              </w:rPr>
            </w:pPr>
            <w:r>
              <w:rPr>
                <w:rFonts w:hint="eastAsia"/>
                <w:sz w:val="24"/>
                <w:szCs w:val="24"/>
              </w:rPr>
              <w:t>委托代理人</w:t>
            </w:r>
          </w:p>
        </w:tc>
        <w:tc>
          <w:tcPr>
            <w:tcW w:w="2814" w:type="dxa"/>
            <w:tcBorders>
              <w:top w:val="nil"/>
              <w:left w:val="nil"/>
              <w:bottom w:val="single" w:color="auto" w:sz="4" w:space="0"/>
              <w:right w:val="single" w:color="auto" w:sz="4" w:space="0"/>
            </w:tcBorders>
            <w:noWrap/>
            <w:vAlign w:val="center"/>
          </w:tcPr>
          <w:p w14:paraId="1CC92538">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c>
          <w:tcPr>
            <w:tcW w:w="1813" w:type="dxa"/>
            <w:tcBorders>
              <w:top w:val="nil"/>
              <w:left w:val="nil"/>
              <w:bottom w:val="single" w:color="auto" w:sz="4" w:space="0"/>
              <w:right w:val="single" w:color="auto" w:sz="4" w:space="0"/>
            </w:tcBorders>
            <w:noWrap/>
            <w:vAlign w:val="center"/>
          </w:tcPr>
          <w:p w14:paraId="19FF6BC7">
            <w:pPr>
              <w:jc w:val="center"/>
              <w:rPr>
                <w:rFonts w:hint="eastAsia" w:ascii="宋体" w:hAnsi="宋体" w:cs="宋体"/>
                <w:color w:val="333333"/>
                <w:sz w:val="24"/>
                <w:szCs w:val="24"/>
                <w:lang w:val="en-US" w:eastAsia="zh-CN" w:bidi="ar-SA"/>
              </w:rPr>
            </w:pPr>
            <w:r>
              <w:rPr>
                <w:rFonts w:hint="eastAsia" w:ascii="宋体" w:hAnsi="宋体" w:eastAsia="宋体" w:cs="宋体"/>
                <w:color w:val="333333"/>
                <w:sz w:val="28"/>
              </w:rPr>
              <w:t>手  机</w:t>
            </w:r>
          </w:p>
        </w:tc>
        <w:tc>
          <w:tcPr>
            <w:tcW w:w="2519" w:type="dxa"/>
            <w:tcBorders>
              <w:top w:val="nil"/>
              <w:left w:val="nil"/>
              <w:bottom w:val="single" w:color="auto" w:sz="4" w:space="0"/>
              <w:right w:val="single" w:color="auto" w:sz="4" w:space="0"/>
            </w:tcBorders>
            <w:noWrap/>
            <w:vAlign w:val="center"/>
          </w:tcPr>
          <w:p w14:paraId="70DFA390">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r>
      <w:tr w14:paraId="545E8544">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11154D41">
            <w:pPr>
              <w:jc w:val="center"/>
              <w:rPr>
                <w:rFonts w:hint="default" w:ascii="宋体" w:hAnsi="宋体" w:eastAsia="宋体" w:cs="宋体"/>
                <w:b/>
                <w:bCs/>
                <w:color w:val="FF0000"/>
                <w:sz w:val="28"/>
                <w:lang w:val="en-US" w:eastAsia="zh-CN"/>
              </w:rPr>
            </w:pPr>
            <w:r>
              <w:rPr>
                <w:rFonts w:hint="eastAsia" w:cs="宋体"/>
                <w:b/>
                <w:bCs/>
                <w:color w:val="FF0000"/>
                <w:sz w:val="28"/>
              </w:rPr>
              <w:t>业务联系人</w:t>
            </w:r>
            <w:r>
              <w:rPr>
                <w:rFonts w:hint="eastAsia" w:cs="宋体"/>
                <w:b/>
                <w:bCs/>
                <w:color w:val="FF0000"/>
                <w:sz w:val="28"/>
                <w:lang w:eastAsia="zh-CN"/>
              </w:rPr>
              <w:t>（</w:t>
            </w:r>
            <w:r>
              <w:rPr>
                <w:rFonts w:hint="eastAsia" w:cs="宋体"/>
                <w:b/>
                <w:bCs/>
                <w:color w:val="FF0000"/>
                <w:sz w:val="28"/>
                <w:lang w:val="en-US" w:eastAsia="zh-CN"/>
              </w:rPr>
              <w:t>必填）</w:t>
            </w:r>
          </w:p>
        </w:tc>
        <w:tc>
          <w:tcPr>
            <w:tcW w:w="2814" w:type="dxa"/>
            <w:tcBorders>
              <w:top w:val="nil"/>
              <w:left w:val="nil"/>
              <w:bottom w:val="single" w:color="auto" w:sz="4" w:space="0"/>
              <w:right w:val="single" w:color="auto" w:sz="4" w:space="0"/>
            </w:tcBorders>
            <w:noWrap/>
            <w:vAlign w:val="center"/>
          </w:tcPr>
          <w:p w14:paraId="3E3392BE">
            <w:pPr>
              <w:jc w:val="center"/>
              <w:rPr>
                <w:rFonts w:ascii="宋体" w:hAnsi="宋体" w:cs="宋体"/>
                <w:b/>
                <w:bCs/>
                <w:color w:val="FF0000"/>
                <w:sz w:val="28"/>
              </w:rPr>
            </w:pPr>
          </w:p>
        </w:tc>
        <w:tc>
          <w:tcPr>
            <w:tcW w:w="1813" w:type="dxa"/>
            <w:tcBorders>
              <w:top w:val="nil"/>
              <w:left w:val="nil"/>
              <w:bottom w:val="single" w:color="auto" w:sz="4" w:space="0"/>
              <w:right w:val="single" w:color="auto" w:sz="4" w:space="0"/>
            </w:tcBorders>
            <w:noWrap/>
            <w:vAlign w:val="center"/>
          </w:tcPr>
          <w:p w14:paraId="0C81D83F">
            <w:pPr>
              <w:jc w:val="center"/>
              <w:rPr>
                <w:rFonts w:hint="default" w:ascii="宋体" w:hAnsi="宋体" w:eastAsia="宋体" w:cs="宋体"/>
                <w:b/>
                <w:bCs/>
                <w:color w:val="FF0000"/>
                <w:sz w:val="28"/>
                <w:lang w:val="en-US" w:eastAsia="zh-CN"/>
              </w:rPr>
            </w:pPr>
            <w:r>
              <w:rPr>
                <w:rFonts w:hint="eastAsia" w:cs="宋体"/>
                <w:b/>
                <w:bCs/>
                <w:color w:val="FF0000"/>
                <w:sz w:val="28"/>
              </w:rPr>
              <w:t>手机</w:t>
            </w:r>
            <w:r>
              <w:rPr>
                <w:rFonts w:hint="eastAsia" w:cs="宋体"/>
                <w:b/>
                <w:bCs/>
                <w:color w:val="FF0000"/>
                <w:sz w:val="28"/>
                <w:lang w:eastAsia="zh-CN"/>
              </w:rPr>
              <w:t>（</w:t>
            </w:r>
            <w:r>
              <w:rPr>
                <w:rFonts w:hint="eastAsia" w:cs="宋体"/>
                <w:b/>
                <w:bCs/>
                <w:color w:val="FF0000"/>
                <w:sz w:val="28"/>
                <w:lang w:val="en-US" w:eastAsia="zh-CN"/>
              </w:rPr>
              <w:t>必填）</w:t>
            </w:r>
          </w:p>
        </w:tc>
        <w:tc>
          <w:tcPr>
            <w:tcW w:w="2519" w:type="dxa"/>
            <w:tcBorders>
              <w:top w:val="nil"/>
              <w:left w:val="nil"/>
              <w:bottom w:val="single" w:color="auto" w:sz="4" w:space="0"/>
              <w:right w:val="single" w:color="auto" w:sz="4" w:space="0"/>
            </w:tcBorders>
            <w:noWrap/>
            <w:vAlign w:val="center"/>
          </w:tcPr>
          <w:p w14:paraId="74D5F9C7">
            <w:pPr>
              <w:jc w:val="center"/>
              <w:rPr>
                <w:rFonts w:ascii="宋体" w:hAnsi="宋体" w:cs="宋体"/>
                <w:b/>
                <w:bCs/>
                <w:color w:val="FF0000"/>
                <w:sz w:val="28"/>
              </w:rPr>
            </w:pPr>
            <w:r>
              <w:rPr>
                <w:rFonts w:hint="eastAsia" w:cs="宋体"/>
                <w:b/>
                <w:bCs/>
                <w:color w:val="FF0000"/>
                <w:sz w:val="28"/>
              </w:rPr>
              <w:t> </w:t>
            </w:r>
          </w:p>
        </w:tc>
      </w:tr>
      <w:tr w14:paraId="690A8F6E">
        <w:tblPrEx>
          <w:tblCellMar>
            <w:top w:w="0" w:type="dxa"/>
            <w:left w:w="108" w:type="dxa"/>
            <w:bottom w:w="0" w:type="dxa"/>
            <w:right w:w="108" w:type="dxa"/>
          </w:tblCellMar>
        </w:tblPrEx>
        <w:trPr>
          <w:trHeight w:val="3139" w:hRule="atLeast"/>
          <w:jc w:val="center"/>
        </w:trPr>
        <w:tc>
          <w:tcPr>
            <w:tcW w:w="2766" w:type="dxa"/>
            <w:tcBorders>
              <w:top w:val="nil"/>
              <w:left w:val="single" w:color="auto" w:sz="4" w:space="0"/>
              <w:bottom w:val="single" w:color="auto" w:sz="4" w:space="0"/>
              <w:right w:val="single" w:color="auto" w:sz="4" w:space="0"/>
            </w:tcBorders>
            <w:noWrap/>
            <w:vAlign w:val="center"/>
          </w:tcPr>
          <w:p w14:paraId="357A047F">
            <w:pPr>
              <w:jc w:val="center"/>
              <w:rPr>
                <w:rFonts w:hint="eastAsia" w:cs="宋体"/>
                <w:color w:val="333333"/>
                <w:sz w:val="28"/>
              </w:rPr>
            </w:pPr>
            <w:r>
              <w:rPr>
                <w:rFonts w:hint="eastAsia" w:cs="宋体"/>
                <w:color w:val="333333"/>
                <w:sz w:val="28"/>
              </w:rPr>
              <w:t>公司简介</w:t>
            </w:r>
          </w:p>
          <w:p w14:paraId="097FB95F">
            <w:pPr>
              <w:jc w:val="center"/>
              <w:rPr>
                <w:rFonts w:ascii="宋体" w:hAnsi="宋体" w:cs="宋体"/>
                <w:color w:val="333333"/>
                <w:sz w:val="28"/>
              </w:rPr>
            </w:pPr>
          </w:p>
        </w:tc>
        <w:tc>
          <w:tcPr>
            <w:tcW w:w="7146" w:type="dxa"/>
            <w:gridSpan w:val="3"/>
            <w:tcBorders>
              <w:top w:val="nil"/>
              <w:left w:val="single" w:color="auto" w:sz="4" w:space="0"/>
              <w:bottom w:val="single" w:color="auto" w:sz="4" w:space="0"/>
              <w:right w:val="single" w:color="auto" w:sz="4" w:space="0"/>
            </w:tcBorders>
            <w:noWrap w:val="0"/>
            <w:vAlign w:val="center"/>
          </w:tcPr>
          <w:p w14:paraId="0F5CB977">
            <w:pPr>
              <w:jc w:val="center"/>
              <w:rPr>
                <w:rFonts w:hint="eastAsia" w:cs="宋体"/>
                <w:color w:val="333333"/>
                <w:sz w:val="28"/>
              </w:rPr>
            </w:pPr>
            <w:r>
              <w:rPr>
                <w:rFonts w:hint="eastAsia" w:cs="宋体"/>
                <w:color w:val="333333"/>
                <w:sz w:val="28"/>
              </w:rPr>
              <w:t> </w:t>
            </w:r>
          </w:p>
          <w:p w14:paraId="3EDBAC63">
            <w:pPr>
              <w:widowControl/>
              <w:jc w:val="left"/>
              <w:rPr>
                <w:rFonts w:ascii="宋体" w:hAnsi="宋体" w:cs="宋体"/>
                <w:color w:val="333333"/>
                <w:sz w:val="28"/>
              </w:rPr>
            </w:pPr>
          </w:p>
          <w:p w14:paraId="04335D65">
            <w:pPr>
              <w:widowControl/>
              <w:jc w:val="left"/>
              <w:rPr>
                <w:rFonts w:ascii="宋体" w:hAnsi="宋体" w:cs="宋体"/>
                <w:color w:val="333333"/>
                <w:sz w:val="28"/>
              </w:rPr>
            </w:pPr>
          </w:p>
          <w:p w14:paraId="13F62503">
            <w:pPr>
              <w:jc w:val="center"/>
              <w:rPr>
                <w:rFonts w:ascii="宋体" w:hAnsi="宋体" w:cs="宋体"/>
                <w:color w:val="333333"/>
                <w:sz w:val="28"/>
              </w:rPr>
            </w:pPr>
          </w:p>
        </w:tc>
      </w:tr>
    </w:tbl>
    <w:p w14:paraId="5996C594">
      <w:pPr>
        <w:spacing w:line="360" w:lineRule="auto"/>
        <w:rPr>
          <w:rFonts w:hint="eastAsia" w:ascii="宋体" w:hAnsi="宋体"/>
          <w:sz w:val="24"/>
        </w:rPr>
      </w:pPr>
      <w:r>
        <w:rPr>
          <w:rFonts w:hint="eastAsia" w:ascii="宋体" w:hAnsi="宋体"/>
          <w:sz w:val="24"/>
        </w:rPr>
        <w:t>备注：业务联系人一经确定，不得变更。</w:t>
      </w:r>
    </w:p>
    <w:p w14:paraId="7128B38E">
      <w:pPr>
        <w:snapToGrid w:val="0"/>
        <w:spacing w:line="360" w:lineRule="auto"/>
        <w:rPr>
          <w:rFonts w:hint="eastAsia" w:cs="宋体"/>
          <w:color w:val="333333"/>
          <w:sz w:val="28"/>
        </w:rPr>
      </w:pPr>
    </w:p>
    <w:p w14:paraId="17BA5D72">
      <w:pPr>
        <w:spacing w:line="360" w:lineRule="auto"/>
        <w:rPr>
          <w:rFonts w:hint="eastAsia" w:ascii="宋体" w:hAnsi="宋体"/>
          <w:sz w:val="24"/>
        </w:rPr>
      </w:pPr>
      <w:r>
        <w:rPr>
          <w:rFonts w:hint="eastAsia" w:ascii="宋体" w:hAnsi="宋体"/>
          <w:sz w:val="24"/>
          <w:lang w:val="en-US" w:eastAsia="zh-CN"/>
        </w:rPr>
        <w:t>投标人全</w:t>
      </w:r>
      <w:r>
        <w:rPr>
          <w:rFonts w:hint="eastAsia" w:ascii="宋体" w:hAnsi="宋体"/>
          <w:sz w:val="24"/>
        </w:rPr>
        <w:t>称：</w:t>
      </w:r>
      <w:r>
        <w:rPr>
          <w:rFonts w:hint="eastAsia" w:ascii="宋体" w:hAnsi="宋体"/>
          <w:sz w:val="24"/>
          <w:u w:val="single"/>
        </w:rPr>
        <w:t xml:space="preserve">          （盖章）         </w:t>
      </w:r>
    </w:p>
    <w:p w14:paraId="7D290294">
      <w:pPr>
        <w:spacing w:line="360" w:lineRule="auto"/>
        <w:rPr>
          <w:rFonts w:hint="eastAsia" w:ascii="宋体" w:hAnsi="宋体"/>
          <w:sz w:val="24"/>
        </w:rPr>
      </w:pPr>
    </w:p>
    <w:p w14:paraId="509F69CE">
      <w:pPr>
        <w:spacing w:line="360" w:lineRule="auto"/>
        <w:rPr>
          <w:rFonts w:hint="eastAsia" w:ascii="宋体" w:hAnsi="宋体"/>
          <w:sz w:val="24"/>
          <w:u w:val="single"/>
        </w:rPr>
      </w:pPr>
      <w:r>
        <w:rPr>
          <w:rFonts w:hint="eastAsia" w:ascii="宋体" w:hAnsi="宋体"/>
          <w:sz w:val="24"/>
        </w:rPr>
        <w:t>法定代表人或委托代理人：</w:t>
      </w:r>
      <w:r>
        <w:rPr>
          <w:rFonts w:hint="eastAsia" w:ascii="宋体" w:hAnsi="宋体"/>
          <w:sz w:val="24"/>
          <w:u w:val="single"/>
        </w:rPr>
        <w:t xml:space="preserve">      签字或盖章      </w:t>
      </w:r>
    </w:p>
    <w:p w14:paraId="2D9C2566">
      <w:pPr>
        <w:spacing w:line="360" w:lineRule="auto"/>
        <w:rPr>
          <w:rFonts w:hint="eastAsia" w:ascii="宋体" w:hAnsi="宋体"/>
          <w:sz w:val="24"/>
          <w:u w:val="single"/>
        </w:rPr>
      </w:pPr>
    </w:p>
    <w:p w14:paraId="6CD2BB44">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810D325">
      <w:pPr>
        <w:rPr>
          <w:rFonts w:hint="eastAsia" w:ascii="宋体" w:hAnsi="宋体" w:eastAsia="宋体" w:cs="宋体"/>
        </w:rPr>
      </w:pPr>
    </w:p>
    <w:p w14:paraId="113DC169">
      <w:pPr>
        <w:autoSpaceDE/>
        <w:autoSpaceDN/>
        <w:snapToGrid w:val="0"/>
        <w:spacing w:line="360" w:lineRule="auto"/>
        <w:ind w:right="480"/>
        <w:jc w:val="center"/>
        <w:rPr>
          <w:rFonts w:hint="eastAsia" w:ascii="宋体" w:hAnsi="宋体" w:eastAsia="宋体" w:cs="宋体"/>
          <w:b/>
          <w:color w:val="auto"/>
          <w:sz w:val="32"/>
          <w:szCs w:val="32"/>
          <w:highlight w:val="none"/>
        </w:rPr>
      </w:pPr>
      <w:r>
        <w:rPr>
          <w:rFonts w:hint="eastAsia" w:ascii="宋体" w:hAnsi="宋体" w:eastAsia="宋体" w:cs="宋体"/>
          <w:b/>
          <w:w w:val="100"/>
          <w:sz w:val="32"/>
          <w:szCs w:val="32"/>
          <w:lang w:val="en-US" w:eastAsia="zh-CN"/>
        </w:rPr>
        <w:br w:type="page"/>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符合参加项目采购活动应当具备的一般条件的承诺函</w:t>
      </w:r>
    </w:p>
    <w:p w14:paraId="193824C7">
      <w:pPr>
        <w:autoSpaceDE/>
        <w:autoSpaceDN/>
        <w:snapToGrid w:val="0"/>
        <w:spacing w:line="360" w:lineRule="auto"/>
        <w:rPr>
          <w:rFonts w:hint="eastAsia" w:ascii="宋体" w:hAnsi="宋体" w:eastAsia="宋体" w:cs="宋体"/>
          <w:color w:val="auto"/>
          <w:sz w:val="24"/>
          <w:highlight w:val="none"/>
        </w:rPr>
      </w:pPr>
    </w:p>
    <w:p w14:paraId="3B6E0244">
      <w:pPr>
        <w:autoSpaceDE/>
        <w:autoSpaceDN/>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20EA4C5B">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rPr>
        <w:t>【项目名称】（</w:t>
      </w:r>
      <w:r>
        <w:rPr>
          <w:rFonts w:hint="eastAsia" w:ascii="宋体" w:hAnsi="宋体" w:eastAsia="宋体" w:cs="宋体"/>
          <w:color w:val="auto"/>
          <w:spacing w:val="8"/>
          <w:sz w:val="24"/>
          <w:szCs w:val="24"/>
          <w:u w:val="single"/>
        </w:rPr>
        <w:t>编号：</w:t>
      </w:r>
      <w:r>
        <w:rPr>
          <w:rFonts w:hint="eastAsia" w:ascii="宋体" w:hAnsi="宋体" w:cs="宋体"/>
          <w:color w:val="auto"/>
          <w:spacing w:val="8"/>
          <w:sz w:val="24"/>
          <w:szCs w:val="24"/>
          <w:u w:val="single"/>
          <w:lang w:eastAsia="zh-CN"/>
        </w:rPr>
        <w:t>zjjyj-20260304</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采购活动，郑重承诺：</w:t>
      </w:r>
    </w:p>
    <w:p w14:paraId="1CBD9DCF">
      <w:pPr>
        <w:autoSpaceDE/>
        <w:autoSpaceDN/>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（一）具备以下条件：</w:t>
      </w:r>
    </w:p>
    <w:p w14:paraId="183B613D">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381F3B3A">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25FBC98B">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C4E1978">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D03A683">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5、参加本项目前三年内，在经营活动中没有重大违法记录；</w:t>
      </w:r>
    </w:p>
    <w:p w14:paraId="724D0798">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7FAC84B1">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w:t>
      </w:r>
      <w:r>
        <w:rPr>
          <w:rFonts w:hint="eastAsia" w:ascii="宋体" w:hAnsi="宋体" w:eastAsia="宋体" w:cs="宋体"/>
          <w:color w:val="auto"/>
          <w:sz w:val="24"/>
          <w:highlight w:val="none"/>
          <w:lang w:val="en-US" w:eastAsia="zh-CN"/>
        </w:rPr>
        <w:t>失信主体</w:t>
      </w:r>
      <w:r>
        <w:rPr>
          <w:rFonts w:hint="eastAsia" w:ascii="宋体" w:hAnsi="宋体" w:eastAsia="宋体" w:cs="宋体"/>
          <w:color w:val="auto"/>
          <w:sz w:val="24"/>
          <w:highlight w:val="none"/>
        </w:rPr>
        <w:t>、政府采购严重违法失信行为记录名单。</w:t>
      </w:r>
    </w:p>
    <w:p w14:paraId="2D99C139">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1A68DD69">
      <w:pPr>
        <w:autoSpaceDE/>
        <w:autoSpaceDN/>
        <w:snapToGrid w:val="0"/>
        <w:spacing w:line="360" w:lineRule="auto"/>
        <w:ind w:firstLine="480" w:firstLineChars="200"/>
        <w:rPr>
          <w:rFonts w:hint="eastAsia" w:ascii="宋体" w:hAnsi="宋体" w:eastAsia="宋体" w:cs="宋体"/>
          <w:color w:val="auto"/>
          <w:highlight w:val="none"/>
          <w:lang w:val="en-US"/>
        </w:rPr>
      </w:pPr>
      <w:r>
        <w:rPr>
          <w:rFonts w:hint="eastAsia" w:ascii="宋体" w:hAnsi="宋体" w:eastAsia="宋体" w:cs="宋体"/>
          <w:color w:val="auto"/>
          <w:sz w:val="24"/>
          <w:highlight w:val="none"/>
        </w:rPr>
        <w:t>单位负责人为同一人或者存在直接控股、管理关系的不同供应商参加同一合同项下的项目采购活动的</w:t>
      </w:r>
      <w:r>
        <w:rPr>
          <w:rFonts w:hint="eastAsia" w:ascii="宋体" w:hAnsi="宋体" w:eastAsia="宋体" w:cs="宋体"/>
          <w:color w:val="auto"/>
          <w:sz w:val="24"/>
          <w:highlight w:val="none"/>
          <w:lang w:eastAsia="zh-CN"/>
        </w:rPr>
        <w:t>。</w:t>
      </w:r>
    </w:p>
    <w:p w14:paraId="4EB35F95">
      <w:pPr>
        <w:autoSpaceDE/>
        <w:autoSpaceDN/>
        <w:spacing w:line="360" w:lineRule="auto"/>
        <w:rPr>
          <w:rFonts w:hint="eastAsia" w:ascii="宋体" w:hAnsi="宋体" w:eastAsia="宋体" w:cs="宋体"/>
          <w:color w:val="auto"/>
          <w:highlight w:val="none"/>
        </w:rPr>
      </w:pPr>
    </w:p>
    <w:p w14:paraId="2009DD7B">
      <w:pPr>
        <w:spacing w:line="360" w:lineRule="auto"/>
        <w:ind w:firstLine="4440" w:firstLineChars="1850"/>
        <w:rPr>
          <w:rFonts w:hint="eastAsia" w:ascii="宋体" w:hAnsi="宋体" w:eastAsia="宋体" w:cs="宋体"/>
          <w:color w:val="auto"/>
          <w:sz w:val="24"/>
          <w:szCs w:val="24"/>
        </w:rPr>
      </w:pPr>
    </w:p>
    <w:p w14:paraId="343C1106">
      <w:pPr>
        <w:spacing w:line="360" w:lineRule="auto"/>
        <w:ind w:firstLine="4440" w:firstLineChars="185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(盖章)</w:t>
      </w:r>
    </w:p>
    <w:p w14:paraId="2756A402">
      <w:pPr>
        <w:spacing w:line="360" w:lineRule="auto"/>
        <w:rPr>
          <w:rFonts w:hint="eastAsia" w:ascii="宋体" w:hAnsi="宋体" w:eastAsia="宋体" w:cs="宋体"/>
          <w:color w:val="auto"/>
          <w:sz w:val="24"/>
          <w:szCs w:val="24"/>
        </w:rPr>
      </w:pPr>
    </w:p>
    <w:p w14:paraId="61445FB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53FF352">
      <w:pPr>
        <w:rPr>
          <w:rFonts w:hint="eastAsia" w:ascii="宋体" w:hAnsi="宋体" w:eastAsia="宋体" w:cs="宋体"/>
          <w:b/>
          <w:w w:val="100"/>
          <w:sz w:val="32"/>
          <w:szCs w:val="32"/>
          <w:lang w:val="en-US" w:eastAsia="zh-CN"/>
        </w:rPr>
      </w:pPr>
    </w:p>
    <w:p w14:paraId="3406EDA8">
      <w:pPr>
        <w:rPr>
          <w:rFonts w:hint="eastAsia" w:ascii="宋体" w:hAnsi="宋体" w:eastAsia="宋体" w:cs="宋体"/>
          <w:b/>
          <w:w w:val="100"/>
          <w:sz w:val="32"/>
          <w:szCs w:val="32"/>
          <w:lang w:val="en-US" w:eastAsia="zh-CN"/>
        </w:rPr>
      </w:pPr>
      <w:r>
        <w:rPr>
          <w:rFonts w:hint="eastAsia" w:ascii="宋体" w:hAnsi="宋体" w:eastAsia="宋体" w:cs="宋体"/>
          <w:b/>
          <w:w w:val="100"/>
          <w:sz w:val="32"/>
          <w:szCs w:val="32"/>
          <w:lang w:val="en-US" w:eastAsia="zh-CN"/>
        </w:rPr>
        <w:br w:type="page"/>
      </w:r>
    </w:p>
    <w:p w14:paraId="21A552AA">
      <w:pPr>
        <w:spacing w:line="400" w:lineRule="exact"/>
        <w:jc w:val="center"/>
        <w:rPr>
          <w:rFonts w:hint="eastAsia" w:ascii="宋体" w:hAnsi="宋体" w:eastAsia="宋体" w:cs="宋体"/>
          <w:w w:val="100"/>
          <w:sz w:val="32"/>
          <w:szCs w:val="32"/>
          <w:lang w:eastAsia="zh-CN"/>
        </w:rPr>
      </w:pPr>
      <w:r>
        <w:rPr>
          <w:rFonts w:hint="eastAsia" w:ascii="宋体" w:hAnsi="宋体" w:cs="宋体"/>
          <w:b/>
          <w:w w:val="100"/>
          <w:sz w:val="32"/>
          <w:szCs w:val="32"/>
          <w:lang w:val="en-US" w:eastAsia="zh-CN"/>
        </w:rPr>
        <w:t>七</w:t>
      </w:r>
      <w:r>
        <w:rPr>
          <w:rFonts w:hint="eastAsia" w:ascii="宋体" w:hAnsi="宋体" w:eastAsia="宋体" w:cs="宋体"/>
          <w:b/>
          <w:w w:val="100"/>
          <w:sz w:val="32"/>
          <w:szCs w:val="32"/>
        </w:rPr>
        <w:t>、开标一览表（格式）</w:t>
      </w:r>
    </w:p>
    <w:p w14:paraId="1075597F">
      <w:pPr>
        <w:spacing w:line="400" w:lineRule="exact"/>
        <w:rPr>
          <w:rFonts w:hint="eastAsia" w:ascii="宋体" w:hAnsi="宋体" w:eastAsia="宋体" w:cs="宋体"/>
          <w:w w:val="100"/>
          <w:sz w:val="28"/>
          <w:lang w:val="en-US" w:eastAsia="zh-CN"/>
        </w:rPr>
      </w:pPr>
      <w:r>
        <w:rPr>
          <w:rFonts w:hint="eastAsia" w:ascii="宋体" w:hAnsi="宋体" w:eastAsia="宋体" w:cs="宋体"/>
          <w:w w:val="100"/>
          <w:sz w:val="28"/>
          <w:lang w:val="en-US" w:eastAsia="zh-CN"/>
        </w:rPr>
        <w:t xml:space="preserve">                        </w:t>
      </w:r>
    </w:p>
    <w:p w14:paraId="2C85122A">
      <w:pPr>
        <w:spacing w:line="400" w:lineRule="exact"/>
        <w:ind w:left="1400" w:hanging="1400" w:hangingChars="500"/>
        <w:rPr>
          <w:rFonts w:hint="eastAsia" w:ascii="宋体" w:hAnsi="宋体" w:eastAsia="宋体" w:cs="宋体"/>
          <w:w w:val="100"/>
          <w:sz w:val="28"/>
          <w:szCs w:val="28"/>
        </w:rPr>
      </w:pPr>
    </w:p>
    <w:p w14:paraId="209E7A97">
      <w:pPr>
        <w:spacing w:line="400" w:lineRule="exact"/>
        <w:ind w:left="1400" w:hanging="1400" w:hangingChars="500"/>
        <w:rPr>
          <w:rFonts w:hint="eastAsia" w:ascii="宋体" w:hAnsi="宋体" w:eastAsia="宋体" w:cs="宋体"/>
          <w:w w:val="100"/>
          <w:sz w:val="28"/>
          <w:szCs w:val="28"/>
          <w:lang w:eastAsia="zh-CN"/>
        </w:rPr>
      </w:pPr>
      <w:r>
        <w:rPr>
          <w:rFonts w:hint="eastAsia" w:ascii="宋体" w:hAnsi="宋体" w:eastAsia="宋体" w:cs="宋体"/>
          <w:w w:val="100"/>
          <w:sz w:val="28"/>
          <w:szCs w:val="28"/>
        </w:rPr>
        <w:t>项目名称：</w:t>
      </w:r>
      <w:r>
        <w:rPr>
          <w:rFonts w:hint="eastAsia" w:ascii="宋体" w:hAnsi="宋体" w:cs="宋体"/>
          <w:w w:val="100"/>
          <w:sz w:val="28"/>
          <w:szCs w:val="28"/>
          <w:lang w:eastAsia="zh-CN"/>
        </w:rPr>
        <w:t>诸暨市教育体育局2026年度全市校产保险服务采购项目</w:t>
      </w:r>
    </w:p>
    <w:p w14:paraId="45DFD89E">
      <w:pPr>
        <w:spacing w:line="400" w:lineRule="exact"/>
        <w:rPr>
          <w:rFonts w:hint="eastAsia" w:ascii="宋体" w:hAnsi="宋体" w:eastAsia="宋体" w:cs="宋体"/>
          <w:w w:val="100"/>
          <w:sz w:val="24"/>
          <w:szCs w:val="24"/>
        </w:rPr>
      </w:pPr>
      <w:r>
        <w:rPr>
          <w:rFonts w:hint="eastAsia" w:ascii="宋体" w:hAnsi="宋体" w:eastAsia="宋体" w:cs="宋体"/>
          <w:w w:val="100"/>
          <w:sz w:val="28"/>
          <w:szCs w:val="28"/>
        </w:rPr>
        <w:t>项目编号：</w:t>
      </w:r>
      <w:r>
        <w:rPr>
          <w:rFonts w:hint="eastAsia" w:ascii="宋体" w:hAnsi="宋体" w:cs="宋体"/>
          <w:w w:val="100"/>
          <w:sz w:val="28"/>
          <w:szCs w:val="28"/>
          <w:lang w:val="en-US" w:eastAsia="zh-CN"/>
        </w:rPr>
        <w:t>zjjyj-20260304</w:t>
      </w:r>
      <w:r>
        <w:rPr>
          <w:rFonts w:hint="eastAsia" w:ascii="宋体" w:hAnsi="宋体" w:eastAsia="宋体" w:cs="宋体"/>
          <w:w w:val="100"/>
          <w:sz w:val="28"/>
        </w:rPr>
        <w:t xml:space="preserve">                                                          </w:t>
      </w:r>
    </w:p>
    <w:p w14:paraId="5699A4CC">
      <w:pPr>
        <w:spacing w:line="360" w:lineRule="auto"/>
        <w:jc w:val="center"/>
        <w:rPr>
          <w:rFonts w:hint="eastAsia" w:ascii="宋体" w:hAnsi="宋体" w:eastAsia="宋体" w:cs="宋体"/>
          <w:w w:val="100"/>
          <w:sz w:val="24"/>
        </w:rPr>
      </w:pPr>
      <w:r>
        <w:rPr>
          <w:rFonts w:hint="eastAsia" w:ascii="宋体" w:hAnsi="宋体" w:eastAsia="宋体" w:cs="宋体"/>
          <w:w w:val="100"/>
          <w:sz w:val="24"/>
        </w:rPr>
        <w:t xml:space="preserve">                                                        </w:t>
      </w:r>
    </w:p>
    <w:tbl>
      <w:tblPr>
        <w:tblStyle w:val="52"/>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3"/>
        <w:gridCol w:w="1443"/>
        <w:gridCol w:w="2303"/>
        <w:gridCol w:w="1986"/>
      </w:tblGrid>
      <w:tr w14:paraId="0C0A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933" w:type="dxa"/>
            <w:vMerge w:val="restart"/>
            <w:noWrap w:val="0"/>
            <w:vAlign w:val="center"/>
          </w:tcPr>
          <w:p w14:paraId="62A6033D">
            <w:pPr>
              <w:spacing w:line="336" w:lineRule="auto"/>
              <w:jc w:val="center"/>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标项内容</w:t>
            </w:r>
          </w:p>
        </w:tc>
        <w:tc>
          <w:tcPr>
            <w:tcW w:w="1443" w:type="dxa"/>
            <w:vMerge w:val="restart"/>
            <w:noWrap w:val="0"/>
            <w:vAlign w:val="center"/>
          </w:tcPr>
          <w:p w14:paraId="32F7A71B">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最高限价</w:t>
            </w:r>
            <w:r>
              <w:rPr>
                <w:rFonts w:hint="eastAsia" w:ascii="宋体" w:hAnsi="宋体" w:eastAsia="宋体" w:cs="宋体"/>
                <w:b/>
                <w:bCs/>
                <w:sz w:val="24"/>
                <w:szCs w:val="24"/>
                <w:lang w:val="en-US" w:eastAsia="zh-CN"/>
              </w:rPr>
              <w:t>（元）</w:t>
            </w:r>
          </w:p>
        </w:tc>
        <w:tc>
          <w:tcPr>
            <w:tcW w:w="4289" w:type="dxa"/>
            <w:gridSpan w:val="2"/>
            <w:noWrap w:val="0"/>
            <w:vAlign w:val="center"/>
          </w:tcPr>
          <w:p w14:paraId="045627BF">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投标报价（元）</w:t>
            </w:r>
          </w:p>
        </w:tc>
      </w:tr>
      <w:tr w14:paraId="6B12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33" w:type="dxa"/>
            <w:vMerge w:val="continue"/>
            <w:noWrap w:val="0"/>
            <w:vAlign w:val="center"/>
          </w:tcPr>
          <w:p w14:paraId="7565E971">
            <w:pPr>
              <w:spacing w:line="336" w:lineRule="auto"/>
              <w:jc w:val="center"/>
              <w:rPr>
                <w:rFonts w:hint="eastAsia" w:ascii="宋体" w:hAnsi="宋体" w:eastAsia="宋体" w:cs="宋体"/>
              </w:rPr>
            </w:pPr>
          </w:p>
        </w:tc>
        <w:tc>
          <w:tcPr>
            <w:tcW w:w="1443" w:type="dxa"/>
            <w:vMerge w:val="continue"/>
            <w:noWrap w:val="0"/>
            <w:vAlign w:val="center"/>
          </w:tcPr>
          <w:p w14:paraId="02652653">
            <w:pPr>
              <w:spacing w:line="336" w:lineRule="auto"/>
              <w:jc w:val="center"/>
              <w:rPr>
                <w:rFonts w:hint="eastAsia" w:ascii="宋体" w:hAnsi="宋体" w:eastAsia="宋体" w:cs="宋体"/>
              </w:rPr>
            </w:pPr>
          </w:p>
        </w:tc>
        <w:tc>
          <w:tcPr>
            <w:tcW w:w="2303" w:type="dxa"/>
            <w:noWrap w:val="0"/>
            <w:vAlign w:val="center"/>
          </w:tcPr>
          <w:p w14:paraId="1A0875CF">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小写</w:t>
            </w:r>
          </w:p>
        </w:tc>
        <w:tc>
          <w:tcPr>
            <w:tcW w:w="1986" w:type="dxa"/>
            <w:noWrap w:val="0"/>
            <w:vAlign w:val="center"/>
          </w:tcPr>
          <w:p w14:paraId="39CAFAB3">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大写</w:t>
            </w:r>
          </w:p>
        </w:tc>
      </w:tr>
      <w:tr w14:paraId="4B9B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933" w:type="dxa"/>
            <w:noWrap w:val="0"/>
            <w:vAlign w:val="center"/>
          </w:tcPr>
          <w:p w14:paraId="315B4071">
            <w:pPr>
              <w:pStyle w:val="50"/>
              <w:ind w:left="0" w:leftChars="0" w:firstLine="0" w:firstLineChars="0"/>
              <w:rPr>
                <w:rFonts w:hint="eastAsia" w:ascii="宋体" w:hAnsi="宋体" w:eastAsia="宋体" w:cs="宋体"/>
                <w:sz w:val="24"/>
                <w:szCs w:val="24"/>
              </w:rPr>
            </w:pPr>
            <w:r>
              <w:rPr>
                <w:rFonts w:hint="eastAsia" w:ascii="宋体" w:hAnsi="宋体" w:cs="宋体"/>
                <w:w w:val="100"/>
                <w:sz w:val="24"/>
                <w:szCs w:val="24"/>
                <w:lang w:eastAsia="zh-CN"/>
              </w:rPr>
              <w:t>诸暨市教育体育局2026年度全市校产保险服务采购项目</w:t>
            </w:r>
          </w:p>
        </w:tc>
        <w:tc>
          <w:tcPr>
            <w:tcW w:w="1443" w:type="dxa"/>
            <w:noWrap w:val="0"/>
            <w:vAlign w:val="center"/>
          </w:tcPr>
          <w:p w14:paraId="414A869C">
            <w:pPr>
              <w:widowControl/>
              <w:spacing w:line="336" w:lineRule="auto"/>
              <w:jc w:val="center"/>
              <w:textAlignment w:val="bottom"/>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lang w:val="en-US" w:eastAsia="zh-CN"/>
              </w:rPr>
              <w:t>不得超过</w:t>
            </w:r>
            <w:r>
              <w:rPr>
                <w:rFonts w:hint="eastAsia" w:ascii="宋体" w:hAnsi="宋体" w:cs="宋体"/>
                <w:b w:val="0"/>
                <w:bCs/>
                <w:color w:val="000000"/>
                <w:sz w:val="24"/>
                <w:szCs w:val="24"/>
                <w:lang w:val="en-US" w:eastAsia="zh-CN"/>
              </w:rPr>
              <w:t>23</w:t>
            </w:r>
            <w:r>
              <w:rPr>
                <w:rFonts w:hint="eastAsia" w:ascii="宋体" w:hAnsi="宋体" w:eastAsia="宋体" w:cs="宋体"/>
                <w:b w:val="0"/>
                <w:bCs/>
                <w:color w:val="000000"/>
                <w:sz w:val="24"/>
                <w:szCs w:val="24"/>
                <w:lang w:val="en-US" w:eastAsia="zh-CN"/>
              </w:rPr>
              <w:t>0000.00</w:t>
            </w:r>
          </w:p>
        </w:tc>
        <w:tc>
          <w:tcPr>
            <w:tcW w:w="2303" w:type="dxa"/>
            <w:noWrap w:val="0"/>
            <w:vAlign w:val="center"/>
          </w:tcPr>
          <w:p w14:paraId="5ACE2F62">
            <w:pPr>
              <w:widowControl/>
              <w:spacing w:line="336" w:lineRule="auto"/>
              <w:jc w:val="left"/>
              <w:textAlignment w:val="bottom"/>
              <w:rPr>
                <w:rFonts w:hint="eastAsia" w:ascii="宋体" w:hAnsi="宋体" w:eastAsia="宋体" w:cs="宋体"/>
                <w:b w:val="0"/>
                <w:bCs/>
                <w:sz w:val="24"/>
                <w:szCs w:val="24"/>
                <w:u w:val="single"/>
                <w:lang w:val="en-US" w:eastAsia="zh-CN" w:bidi="ar"/>
              </w:rPr>
            </w:pPr>
            <w:r>
              <w:rPr>
                <w:rFonts w:hint="eastAsia" w:ascii="宋体" w:hAnsi="宋体" w:eastAsia="宋体" w:cs="宋体"/>
                <w:b w:val="0"/>
                <w:bCs/>
                <w:sz w:val="24"/>
                <w:szCs w:val="24"/>
                <w:lang w:eastAsia="zh-CN" w:bidi="ar"/>
              </w:rPr>
              <w:t>￥</w:t>
            </w:r>
            <w:r>
              <w:rPr>
                <w:rFonts w:hint="eastAsia" w:ascii="宋体" w:hAnsi="宋体" w:eastAsia="宋体" w:cs="宋体"/>
                <w:b w:val="0"/>
                <w:bCs/>
                <w:sz w:val="24"/>
                <w:szCs w:val="24"/>
                <w:u w:val="single"/>
                <w:lang w:val="en-US" w:eastAsia="zh-CN" w:bidi="ar"/>
              </w:rPr>
              <w:t xml:space="preserve">   </w:t>
            </w:r>
            <w:r>
              <w:rPr>
                <w:rFonts w:hint="eastAsia" w:ascii="宋体" w:hAnsi="宋体" w:cs="宋体"/>
                <w:b w:val="0"/>
                <w:bCs/>
                <w:sz w:val="24"/>
                <w:szCs w:val="24"/>
                <w:u w:val="single"/>
                <w:lang w:val="en-US" w:eastAsia="zh-CN" w:bidi="ar"/>
              </w:rPr>
              <w:t xml:space="preserve"> </w:t>
            </w:r>
            <w:r>
              <w:rPr>
                <w:rFonts w:hint="eastAsia" w:ascii="宋体" w:hAnsi="宋体" w:eastAsia="宋体" w:cs="宋体"/>
                <w:b w:val="0"/>
                <w:bCs/>
                <w:sz w:val="24"/>
                <w:szCs w:val="24"/>
                <w:u w:val="single"/>
                <w:lang w:val="en-US" w:eastAsia="zh-CN" w:bidi="ar"/>
              </w:rPr>
              <w:t xml:space="preserve">   </w:t>
            </w:r>
          </w:p>
        </w:tc>
        <w:tc>
          <w:tcPr>
            <w:tcW w:w="1986" w:type="dxa"/>
            <w:noWrap w:val="0"/>
            <w:vAlign w:val="center"/>
          </w:tcPr>
          <w:p w14:paraId="35159DC6">
            <w:pPr>
              <w:bidi w:val="0"/>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cs="宋体"/>
                <w:b w:val="0"/>
                <w:bCs/>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p>
        </w:tc>
      </w:tr>
    </w:tbl>
    <w:p w14:paraId="21FB49F0">
      <w:pPr>
        <w:rPr>
          <w:rFonts w:hint="eastAsia" w:ascii="宋体" w:hAnsi="宋体" w:eastAsia="宋体" w:cs="宋体"/>
          <w:w w:val="100"/>
        </w:rPr>
      </w:pPr>
    </w:p>
    <w:p w14:paraId="601B3656">
      <w:pPr>
        <w:spacing w:line="400" w:lineRule="exact"/>
        <w:ind w:firstLine="480" w:firstLineChars="200"/>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注：报价需保留小数点后两位。</w:t>
      </w:r>
    </w:p>
    <w:p w14:paraId="6C23D4A6">
      <w:pPr>
        <w:spacing w:line="400" w:lineRule="exact"/>
        <w:rPr>
          <w:rFonts w:hint="eastAsia" w:ascii="宋体" w:hAnsi="宋体" w:eastAsia="宋体" w:cs="宋体"/>
          <w:w w:val="100"/>
          <w:sz w:val="24"/>
          <w:szCs w:val="24"/>
        </w:rPr>
      </w:pPr>
    </w:p>
    <w:p w14:paraId="0052A309">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投标人：</w:t>
      </w:r>
      <w:r>
        <w:rPr>
          <w:rFonts w:hint="eastAsia" w:ascii="宋体" w:hAnsi="宋体" w:eastAsia="宋体" w:cs="宋体"/>
          <w:w w:val="100"/>
          <w:sz w:val="24"/>
          <w:szCs w:val="24"/>
          <w:u w:val="single"/>
        </w:rPr>
        <w:t xml:space="preserve">           （盖单位公章）               </w:t>
      </w:r>
      <w:r>
        <w:rPr>
          <w:rFonts w:hint="eastAsia" w:ascii="宋体" w:hAnsi="宋体" w:eastAsia="宋体" w:cs="宋体"/>
          <w:w w:val="100"/>
          <w:sz w:val="24"/>
          <w:szCs w:val="24"/>
        </w:rPr>
        <w:t xml:space="preserve">      </w:t>
      </w:r>
    </w:p>
    <w:p w14:paraId="4A3337AB">
      <w:pPr>
        <w:spacing w:line="400" w:lineRule="exact"/>
        <w:rPr>
          <w:rFonts w:hint="eastAsia" w:ascii="宋体" w:hAnsi="宋体" w:eastAsia="宋体" w:cs="宋体"/>
          <w:w w:val="100"/>
          <w:sz w:val="24"/>
          <w:szCs w:val="24"/>
        </w:rPr>
      </w:pPr>
    </w:p>
    <w:p w14:paraId="014AD78A">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法定代表人或委托代理人：</w:t>
      </w:r>
      <w:r>
        <w:rPr>
          <w:rFonts w:hint="eastAsia" w:ascii="宋体" w:hAnsi="宋体" w:eastAsia="宋体" w:cs="宋体"/>
          <w:w w:val="100"/>
          <w:sz w:val="24"/>
          <w:szCs w:val="24"/>
          <w:u w:val="single"/>
        </w:rPr>
        <w:t xml:space="preserve">      （签字或盖章）    </w:t>
      </w:r>
      <w:r>
        <w:rPr>
          <w:rFonts w:hint="eastAsia" w:ascii="宋体" w:hAnsi="宋体" w:eastAsia="宋体" w:cs="宋体"/>
          <w:w w:val="100"/>
          <w:sz w:val="24"/>
          <w:szCs w:val="24"/>
        </w:rPr>
        <w:t xml:space="preserve">       </w:t>
      </w:r>
    </w:p>
    <w:p w14:paraId="38F7829C">
      <w:pPr>
        <w:spacing w:line="400" w:lineRule="exact"/>
        <w:rPr>
          <w:rFonts w:hint="eastAsia" w:ascii="宋体" w:hAnsi="宋体" w:eastAsia="宋体" w:cs="宋体"/>
          <w:w w:val="100"/>
          <w:sz w:val="24"/>
          <w:szCs w:val="24"/>
        </w:rPr>
      </w:pPr>
    </w:p>
    <w:p w14:paraId="6F190DED">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日期：</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年</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月</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日</w:t>
      </w:r>
    </w:p>
    <w:p w14:paraId="473EFB25">
      <w:pPr>
        <w:rPr>
          <w:rFonts w:hint="eastAsia" w:ascii="宋体" w:hAnsi="宋体" w:eastAsia="宋体" w:cs="宋体"/>
          <w:lang w:val="en-US" w:eastAsia="zh-CN"/>
        </w:rPr>
      </w:pPr>
    </w:p>
    <w:p w14:paraId="014E58E2">
      <w:pPr>
        <w:rPr>
          <w:rFonts w:hint="eastAsia" w:ascii="宋体" w:hAnsi="宋体" w:eastAsia="宋体" w:cs="宋体"/>
          <w:lang w:val="en-US" w:eastAsia="zh-CN"/>
        </w:rPr>
      </w:pPr>
      <w:r>
        <w:rPr>
          <w:rFonts w:hint="eastAsia" w:ascii="宋体" w:hAnsi="宋体" w:eastAsia="宋体" w:cs="宋体"/>
          <w:lang w:val="en-US" w:eastAsia="zh-CN"/>
        </w:rPr>
        <w:br w:type="page"/>
      </w:r>
    </w:p>
    <w:p w14:paraId="2EE3F287">
      <w:pPr>
        <w:pStyle w:val="3"/>
        <w:spacing w:before="0" w:line="500" w:lineRule="exact"/>
        <w:jc w:val="center"/>
        <w:rPr>
          <w:rFonts w:hint="eastAsia" w:ascii="宋体" w:hAnsi="宋体" w:eastAsia="宋体" w:cs="宋体"/>
          <w:b w:val="0"/>
          <w:color w:val="auto"/>
        </w:rPr>
      </w:pPr>
      <w:r>
        <w:rPr>
          <w:rFonts w:hint="eastAsia" w:ascii="宋体" w:hAnsi="宋体" w:eastAsia="宋体" w:cs="宋体"/>
          <w:lang w:val="en-US" w:eastAsia="zh-CN"/>
        </w:rPr>
        <w:t>八</w:t>
      </w:r>
      <w:r>
        <w:rPr>
          <w:rFonts w:hint="eastAsia" w:ascii="宋体" w:hAnsi="宋体" w:eastAsia="宋体" w:cs="宋体"/>
        </w:rPr>
        <w:t>、投标承诺书</w:t>
      </w:r>
    </w:p>
    <w:p w14:paraId="7757F61F">
      <w:pPr>
        <w:ind w:firstLine="420" w:firstLineChars="200"/>
        <w:rPr>
          <w:rFonts w:hint="eastAsia" w:ascii="宋体" w:hAnsi="宋体" w:eastAsia="宋体" w:cs="宋体"/>
          <w:color w:val="auto"/>
        </w:rPr>
      </w:pPr>
      <w:r>
        <w:rPr>
          <w:rFonts w:hint="eastAsia" w:ascii="宋体" w:hAnsi="宋体" w:eastAsia="宋体" w:cs="宋体"/>
          <w:color w:val="auto"/>
        </w:rPr>
        <w:t>我公司已详细阅读了</w:t>
      </w:r>
      <w:r>
        <w:rPr>
          <w:rFonts w:hint="eastAsia" w:ascii="宋体" w:hAnsi="宋体" w:eastAsia="宋体" w:cs="宋体"/>
        </w:rPr>
        <w:t>________</w:t>
      </w:r>
      <w:r>
        <w:rPr>
          <w:rFonts w:hint="eastAsia" w:ascii="宋体" w:hAnsi="宋体" w:eastAsia="宋体" w:cs="宋体"/>
          <w:color w:val="auto"/>
        </w:rPr>
        <w:t>项目（项目编号：</w:t>
      </w:r>
      <w:r>
        <w:rPr>
          <w:rFonts w:hint="eastAsia" w:ascii="宋体" w:hAnsi="宋体" w:cs="宋体"/>
          <w:color w:val="auto"/>
          <w:lang w:eastAsia="zh-CN"/>
        </w:rPr>
        <w:t>zjjyj-20260304</w:t>
      </w:r>
      <w:r>
        <w:rPr>
          <w:rFonts w:hint="eastAsia" w:ascii="宋体" w:hAnsi="宋体" w:eastAsia="宋体" w:cs="宋体"/>
          <w:color w:val="auto"/>
        </w:rPr>
        <w:t>）招标文件，现参加该项目投标，并就有关事项作出如下承诺：</w:t>
      </w:r>
    </w:p>
    <w:p w14:paraId="5489B0B3">
      <w:pPr>
        <w:ind w:firstLine="420" w:firstLineChars="200"/>
        <w:rPr>
          <w:rFonts w:hint="eastAsia" w:ascii="宋体" w:hAnsi="宋体" w:eastAsia="宋体" w:cs="宋体"/>
        </w:rPr>
      </w:pPr>
      <w:r>
        <w:rPr>
          <w:rFonts w:hint="eastAsia" w:ascii="宋体" w:hAnsi="宋体" w:eastAsia="宋体" w:cs="宋体"/>
          <w:color w:val="auto"/>
        </w:rPr>
        <w:t>一、我公司在该项目招投标及合同履约过程中，不会出现以下行为，否则我公司愿意接受该行为被记录为不良行为，并在不良行为记录时限内放弃在</w:t>
      </w:r>
      <w:r>
        <w:rPr>
          <w:rFonts w:hint="eastAsia" w:ascii="宋体" w:hAnsi="宋体" w:cs="宋体"/>
          <w:lang w:eastAsia="zh-CN"/>
        </w:rPr>
        <w:t>诸暨市教育体育局</w:t>
      </w:r>
      <w:r>
        <w:rPr>
          <w:rFonts w:hint="eastAsia" w:ascii="宋体" w:hAnsi="宋体" w:eastAsia="宋体" w:cs="宋体"/>
        </w:rPr>
        <w:t>采购项目投标的资格。</w:t>
      </w:r>
    </w:p>
    <w:p w14:paraId="4D7335D8">
      <w:pPr>
        <w:ind w:firstLine="420" w:firstLineChars="200"/>
        <w:rPr>
          <w:rFonts w:hint="eastAsia" w:ascii="宋体" w:hAnsi="宋体" w:eastAsia="宋体" w:cs="宋体"/>
          <w:color w:val="auto"/>
        </w:rPr>
      </w:pPr>
      <w:r>
        <w:rPr>
          <w:rFonts w:hint="eastAsia" w:ascii="宋体" w:hAnsi="宋体" w:eastAsia="宋体" w:cs="宋体"/>
          <w:color w:val="auto"/>
        </w:rPr>
        <w:t>（1）已报名但无故放弃投标(开标前已有书面说明并证实的除外)一年内累计3次以上的；</w:t>
      </w:r>
    </w:p>
    <w:p w14:paraId="0D405C57">
      <w:pPr>
        <w:ind w:firstLine="420" w:firstLineChars="200"/>
        <w:rPr>
          <w:rFonts w:hint="eastAsia" w:ascii="宋体" w:hAnsi="宋体" w:eastAsia="宋体" w:cs="宋体"/>
          <w:color w:val="auto"/>
        </w:rPr>
      </w:pPr>
      <w:r>
        <w:rPr>
          <w:rFonts w:hint="eastAsia" w:ascii="宋体" w:hAnsi="宋体" w:eastAsia="宋体" w:cs="宋体"/>
          <w:color w:val="auto"/>
        </w:rPr>
        <w:t>（2）在招标采购过程中，与采购人进行协商谈判的；</w:t>
      </w:r>
    </w:p>
    <w:p w14:paraId="77E2AF0D">
      <w:pPr>
        <w:ind w:firstLine="420" w:firstLineChars="200"/>
        <w:rPr>
          <w:rFonts w:hint="eastAsia" w:ascii="宋体" w:hAnsi="宋体" w:eastAsia="宋体" w:cs="宋体"/>
          <w:color w:val="auto"/>
        </w:rPr>
      </w:pPr>
      <w:r>
        <w:rPr>
          <w:rFonts w:hint="eastAsia" w:ascii="宋体" w:hAnsi="宋体" w:eastAsia="宋体" w:cs="宋体"/>
          <w:color w:val="auto"/>
        </w:rPr>
        <w:t>（3）投标有效期内撤回其投标文件的；</w:t>
      </w:r>
    </w:p>
    <w:p w14:paraId="2A74494A">
      <w:pPr>
        <w:ind w:firstLine="420" w:firstLineChars="200"/>
        <w:rPr>
          <w:rFonts w:hint="eastAsia" w:ascii="宋体" w:hAnsi="宋体" w:eastAsia="宋体" w:cs="宋体"/>
          <w:color w:val="auto"/>
        </w:rPr>
      </w:pPr>
      <w:r>
        <w:rPr>
          <w:rFonts w:hint="eastAsia" w:ascii="宋体" w:hAnsi="宋体" w:eastAsia="宋体" w:cs="宋体"/>
          <w:color w:val="auto"/>
        </w:rPr>
        <w:t>（4）拒绝有关部门监督检查或提供虚假情况的；</w:t>
      </w:r>
    </w:p>
    <w:p w14:paraId="5B07B47E">
      <w:pPr>
        <w:ind w:firstLine="420" w:firstLineChars="200"/>
        <w:rPr>
          <w:rFonts w:hint="eastAsia" w:ascii="宋体" w:hAnsi="宋体" w:eastAsia="宋体" w:cs="宋体"/>
          <w:color w:val="auto"/>
        </w:rPr>
      </w:pPr>
      <w:r>
        <w:rPr>
          <w:rFonts w:hint="eastAsia" w:ascii="宋体" w:hAnsi="宋体" w:eastAsia="宋体" w:cs="宋体"/>
          <w:color w:val="auto"/>
        </w:rPr>
        <w:t>（5）不积极配合采购单位做好标的验收工作的；</w:t>
      </w:r>
    </w:p>
    <w:p w14:paraId="61D73821">
      <w:pPr>
        <w:ind w:firstLine="420" w:firstLineChars="200"/>
        <w:rPr>
          <w:rFonts w:hint="eastAsia" w:ascii="宋体" w:hAnsi="宋体" w:eastAsia="宋体" w:cs="宋体"/>
          <w:color w:val="auto"/>
        </w:rPr>
      </w:pPr>
      <w:r>
        <w:rPr>
          <w:rFonts w:hint="eastAsia" w:ascii="宋体" w:hAnsi="宋体" w:eastAsia="宋体" w:cs="宋体"/>
          <w:color w:val="auto"/>
        </w:rPr>
        <w:t>（6）在有关部门的监督检查或考核中被通报批评或处以警告及以上处罚的；</w:t>
      </w:r>
    </w:p>
    <w:p w14:paraId="6CB6B87C">
      <w:pPr>
        <w:ind w:firstLine="420" w:firstLineChars="200"/>
        <w:rPr>
          <w:rFonts w:hint="eastAsia" w:ascii="宋体" w:hAnsi="宋体" w:eastAsia="宋体" w:cs="宋体"/>
          <w:color w:val="auto"/>
        </w:rPr>
      </w:pPr>
      <w:r>
        <w:rPr>
          <w:rFonts w:hint="eastAsia" w:ascii="宋体" w:hAnsi="宋体" w:eastAsia="宋体" w:cs="宋体"/>
          <w:color w:val="auto"/>
        </w:rPr>
        <w:t>（7）不遵守投标会场纪律，无理取闹，扰乱交易秩序的；</w:t>
      </w:r>
    </w:p>
    <w:p w14:paraId="70F0085E">
      <w:pPr>
        <w:ind w:firstLine="420" w:firstLineChars="200"/>
        <w:rPr>
          <w:rFonts w:hint="eastAsia" w:ascii="宋体" w:hAnsi="宋体" w:eastAsia="宋体" w:cs="宋体"/>
          <w:color w:val="auto"/>
        </w:rPr>
      </w:pPr>
      <w:r>
        <w:rPr>
          <w:rFonts w:hint="eastAsia" w:ascii="宋体" w:hAnsi="宋体" w:eastAsia="宋体" w:cs="宋体"/>
          <w:color w:val="auto"/>
        </w:rPr>
        <w:t>（8）中标后无正当理由放弃中标，或不与采购人签订采购合同，或在签订合同时提出附加条件或更改合同实质性内容，或拒不提交所要求的履约保证金的；</w:t>
      </w:r>
    </w:p>
    <w:p w14:paraId="28515B6E">
      <w:pPr>
        <w:ind w:firstLine="420" w:firstLineChars="200"/>
        <w:rPr>
          <w:rFonts w:hint="eastAsia" w:ascii="宋体" w:hAnsi="宋体" w:eastAsia="宋体" w:cs="宋体"/>
          <w:color w:val="auto"/>
        </w:rPr>
      </w:pPr>
      <w:r>
        <w:rPr>
          <w:rFonts w:hint="eastAsia" w:ascii="宋体" w:hAnsi="宋体" w:eastAsia="宋体" w:cs="宋体"/>
          <w:color w:val="auto"/>
        </w:rPr>
        <w:t>（9）虚假投诉、恶意投诉或未按层级和相关程序逐级质疑、投诉而影响采购工作正常进行或造成不良影响的；</w:t>
      </w:r>
    </w:p>
    <w:p w14:paraId="31905F56">
      <w:pPr>
        <w:ind w:firstLine="420" w:firstLineChars="200"/>
        <w:rPr>
          <w:rFonts w:hint="eastAsia" w:ascii="宋体" w:hAnsi="宋体" w:eastAsia="宋体" w:cs="宋体"/>
          <w:color w:val="auto"/>
        </w:rPr>
      </w:pPr>
      <w:r>
        <w:rPr>
          <w:rFonts w:hint="eastAsia" w:ascii="宋体" w:hAnsi="宋体" w:eastAsia="宋体" w:cs="宋体"/>
          <w:color w:val="auto"/>
        </w:rPr>
        <w:t>（10）不按照与采购人订立的合同履行义务（包括提供标的、售后服务、技术支持等），严重违反合同规定和廉政合同要求的；</w:t>
      </w:r>
    </w:p>
    <w:p w14:paraId="014FE8AF">
      <w:pPr>
        <w:ind w:firstLine="420" w:firstLineChars="200"/>
        <w:rPr>
          <w:rFonts w:hint="eastAsia" w:ascii="宋体" w:hAnsi="宋体" w:eastAsia="宋体" w:cs="宋体"/>
          <w:color w:val="auto"/>
        </w:rPr>
      </w:pPr>
      <w:r>
        <w:rPr>
          <w:rFonts w:hint="eastAsia" w:ascii="宋体" w:hAnsi="宋体" w:eastAsia="宋体" w:cs="宋体"/>
          <w:color w:val="auto"/>
        </w:rPr>
        <w:t>（11）项目负责人不到位，或擅自变换项目负责人，或不认真履行职责造成采购人损失的；</w:t>
      </w:r>
    </w:p>
    <w:p w14:paraId="4695D650">
      <w:pPr>
        <w:ind w:firstLine="420" w:firstLineChars="200"/>
        <w:rPr>
          <w:rFonts w:hint="eastAsia" w:ascii="宋体" w:hAnsi="宋体" w:eastAsia="宋体" w:cs="宋体"/>
          <w:color w:val="auto"/>
        </w:rPr>
      </w:pPr>
      <w:r>
        <w:rPr>
          <w:rFonts w:hint="eastAsia" w:ascii="宋体" w:hAnsi="宋体" w:eastAsia="宋体" w:cs="宋体"/>
          <w:color w:val="auto"/>
        </w:rPr>
        <w:t>（12）发生经营状况重大变化以及重要担保、重大合同纠纷或诉讼、信用等级和资质变化等可能影响履约能力的重大事项，未及时向</w:t>
      </w:r>
      <w:r>
        <w:rPr>
          <w:rFonts w:hint="eastAsia" w:ascii="宋体" w:hAnsi="宋体" w:eastAsia="宋体" w:cs="宋体"/>
        </w:rPr>
        <w:t>诸暨市</w:t>
      </w:r>
      <w:r>
        <w:rPr>
          <w:rFonts w:hint="eastAsia" w:ascii="宋体" w:hAnsi="宋体" w:cs="宋体"/>
          <w:lang w:val="en-US" w:eastAsia="zh-CN"/>
        </w:rPr>
        <w:t>教育体育局</w:t>
      </w:r>
      <w:r>
        <w:rPr>
          <w:rFonts w:hint="eastAsia" w:ascii="宋体" w:hAnsi="宋体" w:eastAsia="宋体" w:cs="宋体"/>
          <w:color w:val="auto"/>
        </w:rPr>
        <w:t>提供书面报告，因而造成采购人损失的；</w:t>
      </w:r>
    </w:p>
    <w:p w14:paraId="4FD81196">
      <w:pPr>
        <w:ind w:firstLine="420" w:firstLineChars="200"/>
        <w:rPr>
          <w:rFonts w:hint="eastAsia" w:ascii="宋体" w:hAnsi="宋体" w:eastAsia="宋体" w:cs="宋体"/>
          <w:color w:val="auto"/>
        </w:rPr>
      </w:pPr>
      <w:r>
        <w:rPr>
          <w:rFonts w:hint="eastAsia" w:ascii="宋体" w:hAnsi="宋体" w:eastAsia="宋体" w:cs="宋体"/>
          <w:color w:val="auto"/>
        </w:rPr>
        <w:t>（13）与采购人、其他供应商或者采购代理机构相互串通的；</w:t>
      </w:r>
    </w:p>
    <w:p w14:paraId="57F5F67C">
      <w:pPr>
        <w:ind w:firstLine="420" w:firstLineChars="200"/>
        <w:rPr>
          <w:rFonts w:hint="eastAsia" w:ascii="宋体" w:hAnsi="宋体" w:eastAsia="宋体" w:cs="宋体"/>
          <w:color w:val="auto"/>
        </w:rPr>
      </w:pPr>
      <w:r>
        <w:rPr>
          <w:rFonts w:hint="eastAsia" w:ascii="宋体" w:hAnsi="宋体" w:eastAsia="宋体" w:cs="宋体"/>
          <w:color w:val="auto"/>
        </w:rPr>
        <w:t>（14）采取不正当手段排挤其他供应商，进行不公平竞争的；</w:t>
      </w:r>
    </w:p>
    <w:p w14:paraId="3663BBC1">
      <w:pPr>
        <w:ind w:firstLine="420" w:firstLineChars="200"/>
        <w:rPr>
          <w:rFonts w:hint="eastAsia" w:ascii="宋体" w:hAnsi="宋体" w:eastAsia="宋体" w:cs="宋体"/>
          <w:color w:val="auto"/>
        </w:rPr>
      </w:pPr>
      <w:r>
        <w:rPr>
          <w:rFonts w:hint="eastAsia" w:ascii="宋体" w:hAnsi="宋体" w:eastAsia="宋体" w:cs="宋体"/>
          <w:color w:val="auto"/>
        </w:rPr>
        <w:t>（15）中标后与采购人另行订立背离合同实质内容的协议的；</w:t>
      </w:r>
    </w:p>
    <w:p w14:paraId="75114753">
      <w:pPr>
        <w:ind w:firstLine="420" w:firstLineChars="200"/>
        <w:rPr>
          <w:rFonts w:hint="eastAsia" w:ascii="宋体" w:hAnsi="宋体" w:eastAsia="宋体" w:cs="宋体"/>
          <w:color w:val="auto"/>
        </w:rPr>
      </w:pPr>
      <w:r>
        <w:rPr>
          <w:rFonts w:hint="eastAsia" w:ascii="宋体" w:hAnsi="宋体" w:eastAsia="宋体" w:cs="宋体"/>
          <w:color w:val="auto"/>
        </w:rPr>
        <w:t>（16）事先有承诺，而事后违反承诺内容的；</w:t>
      </w:r>
    </w:p>
    <w:p w14:paraId="5AC5B5EE">
      <w:pPr>
        <w:ind w:firstLine="420" w:firstLineChars="200"/>
        <w:rPr>
          <w:rFonts w:hint="eastAsia" w:ascii="宋体" w:hAnsi="宋体" w:eastAsia="宋体" w:cs="宋体"/>
          <w:color w:val="auto"/>
        </w:rPr>
      </w:pPr>
      <w:r>
        <w:rPr>
          <w:rFonts w:hint="eastAsia" w:ascii="宋体" w:hAnsi="宋体" w:eastAsia="宋体" w:cs="宋体"/>
          <w:color w:val="auto"/>
        </w:rPr>
        <w:t>（17）将中标项目转包或违反规定进行分包的；</w:t>
      </w:r>
    </w:p>
    <w:p w14:paraId="0098AA39">
      <w:pPr>
        <w:ind w:firstLine="420" w:firstLineChars="200"/>
        <w:rPr>
          <w:rFonts w:hint="eastAsia" w:ascii="宋体" w:hAnsi="宋体" w:eastAsia="宋体" w:cs="宋体"/>
          <w:color w:val="auto"/>
        </w:rPr>
      </w:pPr>
      <w:r>
        <w:rPr>
          <w:rFonts w:hint="eastAsia" w:ascii="宋体" w:hAnsi="宋体" w:eastAsia="宋体" w:cs="宋体"/>
          <w:color w:val="auto"/>
        </w:rPr>
        <w:t>（18）以他人名义投标或允许他人以自己名义投标，或者以其他方式弄虚作假的；</w:t>
      </w:r>
    </w:p>
    <w:p w14:paraId="6D63E46F">
      <w:pPr>
        <w:ind w:firstLine="420" w:firstLineChars="200"/>
        <w:rPr>
          <w:rFonts w:hint="eastAsia" w:ascii="宋体" w:hAnsi="宋体" w:eastAsia="宋体" w:cs="宋体"/>
          <w:color w:val="auto"/>
        </w:rPr>
      </w:pPr>
      <w:r>
        <w:rPr>
          <w:rFonts w:hint="eastAsia" w:ascii="宋体" w:hAnsi="宋体" w:eastAsia="宋体" w:cs="宋体"/>
          <w:color w:val="auto"/>
        </w:rPr>
        <w:t>（19）未按照采购合同约定及时提供全部货物的，或无故拖延工期的；</w:t>
      </w:r>
    </w:p>
    <w:p w14:paraId="3A724B22">
      <w:pPr>
        <w:ind w:firstLine="420" w:firstLineChars="200"/>
        <w:rPr>
          <w:rFonts w:hint="eastAsia" w:ascii="宋体" w:hAnsi="宋体" w:eastAsia="宋体" w:cs="宋体"/>
          <w:color w:val="auto"/>
        </w:rPr>
      </w:pPr>
      <w:r>
        <w:rPr>
          <w:rFonts w:hint="eastAsia" w:ascii="宋体" w:hAnsi="宋体" w:eastAsia="宋体" w:cs="宋体"/>
          <w:color w:val="auto"/>
        </w:rPr>
        <w:t>（20）无故不提供中标要求的型号、配置等产品的，或有拆换、调换、截留产品零部件和备品备件的行为的；</w:t>
      </w:r>
    </w:p>
    <w:p w14:paraId="2181582F">
      <w:pPr>
        <w:ind w:firstLine="420" w:firstLineChars="200"/>
        <w:rPr>
          <w:rFonts w:hint="eastAsia" w:ascii="宋体" w:hAnsi="宋体" w:eastAsia="宋体" w:cs="宋体"/>
          <w:color w:val="auto"/>
        </w:rPr>
      </w:pPr>
      <w:r>
        <w:rPr>
          <w:rFonts w:hint="eastAsia" w:ascii="宋体" w:hAnsi="宋体" w:eastAsia="宋体" w:cs="宋体"/>
          <w:color w:val="auto"/>
        </w:rPr>
        <w:t>（21）为获取自身利益，向采购人及其他有利害关系的单位或个人提供不正当利益的；</w:t>
      </w:r>
    </w:p>
    <w:p w14:paraId="2F362CE2">
      <w:pPr>
        <w:ind w:firstLine="420" w:firstLineChars="200"/>
        <w:rPr>
          <w:rFonts w:hint="eastAsia" w:ascii="宋体" w:hAnsi="宋体" w:eastAsia="宋体" w:cs="宋体"/>
          <w:color w:val="auto"/>
        </w:rPr>
      </w:pPr>
      <w:r>
        <w:rPr>
          <w:rFonts w:hint="eastAsia" w:ascii="宋体" w:hAnsi="宋体" w:eastAsia="宋体" w:cs="宋体"/>
          <w:color w:val="auto"/>
        </w:rPr>
        <w:t>（22）提供假冒伪劣产品或走私物品的；</w:t>
      </w:r>
    </w:p>
    <w:p w14:paraId="69DF4670">
      <w:pPr>
        <w:ind w:firstLine="420" w:firstLineChars="200"/>
        <w:rPr>
          <w:rFonts w:hint="eastAsia" w:ascii="宋体" w:hAnsi="宋体" w:eastAsia="宋体" w:cs="宋体"/>
          <w:color w:val="auto"/>
        </w:rPr>
      </w:pPr>
      <w:r>
        <w:rPr>
          <w:rFonts w:hint="eastAsia" w:ascii="宋体" w:hAnsi="宋体" w:eastAsia="宋体" w:cs="宋体"/>
          <w:color w:val="auto"/>
        </w:rPr>
        <w:t>（23）擅自变更、中止、终止或解除采购合同的；</w:t>
      </w:r>
    </w:p>
    <w:p w14:paraId="1ED81A03">
      <w:pPr>
        <w:ind w:firstLine="420" w:firstLineChars="200"/>
        <w:rPr>
          <w:rFonts w:hint="eastAsia" w:ascii="宋体" w:hAnsi="宋体" w:eastAsia="宋体" w:cs="宋体"/>
          <w:color w:val="auto"/>
        </w:rPr>
      </w:pPr>
      <w:r>
        <w:rPr>
          <w:rFonts w:hint="eastAsia" w:ascii="宋体" w:hAnsi="宋体" w:eastAsia="宋体" w:cs="宋体"/>
          <w:color w:val="auto"/>
        </w:rPr>
        <w:t>（24）向有关人员行贿或者提供不正当利益谋取中标的；</w:t>
      </w:r>
    </w:p>
    <w:p w14:paraId="5F3C7756">
      <w:pPr>
        <w:ind w:firstLine="420" w:firstLineChars="200"/>
        <w:rPr>
          <w:rFonts w:hint="eastAsia" w:ascii="宋体" w:hAnsi="宋体" w:eastAsia="宋体" w:cs="宋体"/>
          <w:color w:val="auto"/>
        </w:rPr>
      </w:pPr>
      <w:r>
        <w:rPr>
          <w:rFonts w:hint="eastAsia" w:ascii="宋体" w:hAnsi="宋体" w:eastAsia="宋体" w:cs="宋体"/>
          <w:color w:val="auto"/>
        </w:rPr>
        <w:t>（25）在采购活动期间，对管理机构、采购人、其他投标人、评标专家、中介机构等采购相关机构和人员，采取诋毁、诽谤、胁迫、暴力等不正当手段的；</w:t>
      </w:r>
    </w:p>
    <w:p w14:paraId="4A02FFCF">
      <w:pPr>
        <w:ind w:firstLine="420" w:firstLineChars="200"/>
        <w:rPr>
          <w:rFonts w:hint="eastAsia" w:ascii="宋体" w:hAnsi="宋体" w:eastAsia="宋体" w:cs="宋体"/>
          <w:color w:val="auto"/>
        </w:rPr>
      </w:pPr>
      <w:r>
        <w:rPr>
          <w:rFonts w:hint="eastAsia" w:ascii="宋体" w:hAnsi="宋体" w:eastAsia="宋体" w:cs="宋体"/>
          <w:color w:val="auto"/>
        </w:rPr>
        <w:t>（26）市公管办认定的其他违反采购管理的行为。</w:t>
      </w:r>
    </w:p>
    <w:p w14:paraId="2B993F94">
      <w:pPr>
        <w:ind w:firstLine="420" w:firstLineChars="200"/>
        <w:rPr>
          <w:rFonts w:hint="eastAsia" w:ascii="宋体" w:hAnsi="宋体" w:eastAsia="宋体" w:cs="宋体"/>
          <w:color w:val="auto"/>
        </w:rPr>
      </w:pPr>
      <w:r>
        <w:rPr>
          <w:rFonts w:hint="eastAsia" w:ascii="宋体" w:hAnsi="宋体" w:eastAsia="宋体" w:cs="宋体"/>
          <w:color w:val="auto"/>
        </w:rPr>
        <w:t>出现（1）~（6）行为之一，记录时限为6个月；出现（7）~（12）行为之一，记录时限为1年；出现（13）~（17）行为之一，记录时限为2年；出现（18）~（21）行为之一，记录时限为3年；出现（22）~（25）行为之一，记录时限为5年；出现（26）行为，酌情处理。时限以被记录为不良行为之日起算，在记录时限内再次被计为不良行为的，记录时限应从上次记录时限截止日起算。</w:t>
      </w:r>
    </w:p>
    <w:p w14:paraId="3C32AC3F">
      <w:pPr>
        <w:ind w:firstLine="420" w:firstLineChars="200"/>
        <w:rPr>
          <w:rFonts w:hint="eastAsia" w:ascii="宋体" w:hAnsi="宋体" w:eastAsia="宋体" w:cs="宋体"/>
          <w:color w:val="auto"/>
        </w:rPr>
      </w:pPr>
      <w:r>
        <w:rPr>
          <w:rFonts w:hint="eastAsia" w:ascii="宋体" w:hAnsi="宋体" w:eastAsia="宋体" w:cs="宋体"/>
          <w:color w:val="auto"/>
        </w:rPr>
        <w:t>二、我公司承诺接受招标文件及澄清修改部分（如有）的全部条款（包括投标文件递交截止时间、保证金、资格条件、评审成交标准以及</w:t>
      </w:r>
      <w:r>
        <w:rPr>
          <w:rFonts w:hint="eastAsia" w:ascii="宋体" w:hAnsi="宋体" w:eastAsia="宋体" w:cs="宋体"/>
          <w:color w:val="auto"/>
          <w:lang w:eastAsia="zh-CN"/>
        </w:rPr>
        <w:t>采购需求</w:t>
      </w:r>
      <w:r>
        <w:rPr>
          <w:rFonts w:hint="eastAsia" w:ascii="宋体" w:hAnsi="宋体" w:eastAsia="宋体" w:cs="宋体"/>
          <w:color w:val="auto"/>
        </w:rPr>
        <w:t>等其他所有条款）且无任何异议。如果我公司在递交投标文件后还对招标文件提出质疑的，愿意接受相关部门不予受理的决定。</w:t>
      </w:r>
    </w:p>
    <w:p w14:paraId="582A7D69">
      <w:pPr>
        <w:ind w:firstLine="420" w:firstLineChars="200"/>
        <w:rPr>
          <w:rFonts w:hint="eastAsia" w:ascii="宋体" w:hAnsi="宋体" w:eastAsia="宋体" w:cs="宋体"/>
          <w:color w:val="auto"/>
        </w:rPr>
      </w:pPr>
      <w:r>
        <w:rPr>
          <w:rFonts w:hint="eastAsia" w:ascii="宋体" w:hAnsi="宋体" w:eastAsia="宋体" w:cs="宋体"/>
          <w:color w:val="auto"/>
        </w:rPr>
        <w:t>三、我公司及其他利害关系人如对该项目的中标公示有异议，将在招标文件规定的公示期限内提出符合以下条件的有效质疑，否则我公司愿意接受相关部门不予受理的决定。</w:t>
      </w:r>
    </w:p>
    <w:p w14:paraId="26E90E6E">
      <w:pPr>
        <w:ind w:firstLine="420" w:firstLineChars="200"/>
        <w:rPr>
          <w:rFonts w:hint="eastAsia" w:ascii="宋体" w:hAnsi="宋体" w:eastAsia="宋体" w:cs="宋体"/>
          <w:color w:val="auto"/>
        </w:rPr>
      </w:pPr>
      <w:r>
        <w:rPr>
          <w:rFonts w:hint="eastAsia" w:ascii="宋体" w:hAnsi="宋体" w:eastAsia="宋体" w:cs="宋体"/>
          <w:color w:val="auto"/>
        </w:rPr>
        <w:t>1、质疑人须为采购响应人和其他利害关系人；</w:t>
      </w:r>
    </w:p>
    <w:p w14:paraId="2597B9BE">
      <w:pPr>
        <w:ind w:firstLine="420" w:firstLineChars="200"/>
        <w:rPr>
          <w:rFonts w:hint="eastAsia" w:ascii="宋体" w:hAnsi="宋体" w:eastAsia="宋体" w:cs="宋体"/>
          <w:color w:val="auto"/>
        </w:rPr>
      </w:pPr>
      <w:r>
        <w:rPr>
          <w:rFonts w:hint="eastAsia" w:ascii="宋体" w:hAnsi="宋体" w:eastAsia="宋体" w:cs="宋体"/>
          <w:color w:val="auto"/>
        </w:rPr>
        <w:t>2、投诉时，应当递交质疑书，质疑书应当包括下列内容：</w:t>
      </w:r>
    </w:p>
    <w:p w14:paraId="518E5377">
      <w:pPr>
        <w:ind w:firstLine="420" w:firstLineChars="200"/>
        <w:rPr>
          <w:rFonts w:hint="eastAsia" w:ascii="宋体" w:hAnsi="宋体" w:eastAsia="宋体" w:cs="宋体"/>
          <w:color w:val="auto"/>
        </w:rPr>
      </w:pPr>
      <w:r>
        <w:rPr>
          <w:rFonts w:hint="eastAsia" w:ascii="宋体" w:hAnsi="宋体" w:eastAsia="宋体" w:cs="宋体"/>
          <w:color w:val="auto"/>
        </w:rPr>
        <w:t>（1）质疑人的名称、地址及有效联系方式；</w:t>
      </w:r>
    </w:p>
    <w:p w14:paraId="04B7A75C">
      <w:pPr>
        <w:ind w:firstLine="420" w:firstLineChars="200"/>
        <w:rPr>
          <w:rFonts w:hint="eastAsia" w:ascii="宋体" w:hAnsi="宋体" w:eastAsia="宋体" w:cs="宋体"/>
          <w:color w:val="auto"/>
        </w:rPr>
      </w:pPr>
      <w:r>
        <w:rPr>
          <w:rFonts w:hint="eastAsia" w:ascii="宋体" w:hAnsi="宋体" w:eastAsia="宋体" w:cs="宋体"/>
          <w:color w:val="auto"/>
        </w:rPr>
        <w:t>（2）被质疑人的名称、地址及联系方式；</w:t>
      </w:r>
    </w:p>
    <w:p w14:paraId="254A26A8">
      <w:pPr>
        <w:ind w:firstLine="420" w:firstLineChars="200"/>
        <w:rPr>
          <w:rFonts w:hint="eastAsia" w:ascii="宋体" w:hAnsi="宋体" w:eastAsia="宋体" w:cs="宋体"/>
          <w:color w:val="auto"/>
        </w:rPr>
      </w:pPr>
      <w:r>
        <w:rPr>
          <w:rFonts w:hint="eastAsia" w:ascii="宋体" w:hAnsi="宋体" w:eastAsia="宋体" w:cs="宋体"/>
          <w:color w:val="auto"/>
        </w:rPr>
        <w:t>（3）质疑事项的基本事实；</w:t>
      </w:r>
    </w:p>
    <w:p w14:paraId="12FB5F03">
      <w:pPr>
        <w:ind w:firstLine="420" w:firstLineChars="200"/>
        <w:rPr>
          <w:rFonts w:hint="eastAsia" w:ascii="宋体" w:hAnsi="宋体" w:eastAsia="宋体" w:cs="宋体"/>
          <w:color w:val="auto"/>
        </w:rPr>
      </w:pPr>
      <w:r>
        <w:rPr>
          <w:rFonts w:hint="eastAsia" w:ascii="宋体" w:hAnsi="宋体" w:eastAsia="宋体" w:cs="宋体"/>
          <w:color w:val="auto"/>
        </w:rPr>
        <w:t>（4）相关请求及主张；</w:t>
      </w:r>
    </w:p>
    <w:p w14:paraId="22F9B186">
      <w:pPr>
        <w:ind w:firstLine="420" w:firstLineChars="200"/>
        <w:rPr>
          <w:rFonts w:hint="eastAsia" w:ascii="宋体" w:hAnsi="宋体" w:eastAsia="宋体" w:cs="宋体"/>
          <w:color w:val="auto"/>
        </w:rPr>
      </w:pPr>
      <w:r>
        <w:rPr>
          <w:rFonts w:hint="eastAsia" w:ascii="宋体" w:hAnsi="宋体" w:eastAsia="宋体" w:cs="宋体"/>
          <w:color w:val="auto"/>
        </w:rPr>
        <w:t>（5）有效线索和相关证明材料；</w:t>
      </w:r>
    </w:p>
    <w:p w14:paraId="65DCBD89">
      <w:pPr>
        <w:ind w:firstLine="420" w:firstLineChars="200"/>
        <w:rPr>
          <w:rFonts w:hint="eastAsia" w:ascii="宋体" w:hAnsi="宋体" w:eastAsia="宋体" w:cs="宋体"/>
          <w:color w:val="auto"/>
        </w:rPr>
      </w:pPr>
      <w:r>
        <w:rPr>
          <w:rFonts w:hint="eastAsia" w:ascii="宋体" w:hAnsi="宋体" w:eastAsia="宋体" w:cs="宋体"/>
          <w:color w:val="auto"/>
        </w:rPr>
        <w:t>（6）质疑人是法人的，质疑书必须由其法定代表人或者授权代表签字并加盖公章；其他组织或者个人质疑的，质疑书必须由其主要负责人或者质疑人本人签字，并附有效身份证明复印件。</w:t>
      </w:r>
    </w:p>
    <w:p w14:paraId="365C4EEF">
      <w:pPr>
        <w:spacing w:line="340" w:lineRule="exact"/>
        <w:ind w:firstLine="720" w:firstLineChars="400"/>
        <w:rPr>
          <w:rFonts w:hint="eastAsia" w:ascii="宋体" w:hAnsi="宋体" w:eastAsia="宋体" w:cs="宋体"/>
          <w:b/>
          <w:color w:val="auto"/>
          <w:sz w:val="18"/>
          <w:szCs w:val="18"/>
        </w:rPr>
      </w:pPr>
    </w:p>
    <w:p w14:paraId="735A35E3">
      <w:pPr>
        <w:spacing w:line="340" w:lineRule="exact"/>
        <w:ind w:firstLine="840" w:firstLineChars="400"/>
        <w:rPr>
          <w:rFonts w:hint="eastAsia" w:ascii="宋体" w:hAnsi="宋体" w:eastAsia="宋体" w:cs="宋体"/>
          <w:color w:val="auto"/>
        </w:rPr>
      </w:pPr>
    </w:p>
    <w:p w14:paraId="603EFC2D">
      <w:pPr>
        <w:spacing w:line="340" w:lineRule="exact"/>
        <w:ind w:firstLine="840" w:firstLineChars="400"/>
        <w:rPr>
          <w:rFonts w:hint="eastAsia" w:ascii="宋体" w:hAnsi="宋体" w:eastAsia="宋体" w:cs="宋体"/>
          <w:color w:val="auto"/>
        </w:rPr>
      </w:pPr>
    </w:p>
    <w:p w14:paraId="3A326B7A">
      <w:pPr>
        <w:spacing w:line="48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投标人全称：</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（盖章）</w:t>
      </w:r>
      <w:r>
        <w:rPr>
          <w:rFonts w:hint="eastAsia" w:ascii="宋体" w:hAnsi="宋体" w:cs="宋体"/>
          <w:sz w:val="24"/>
          <w:szCs w:val="24"/>
          <w:u w:val="single"/>
          <w:lang w:val="en-US" w:eastAsia="zh-CN"/>
        </w:rPr>
        <w:t xml:space="preserve">   </w:t>
      </w:r>
    </w:p>
    <w:p w14:paraId="20266794">
      <w:pPr>
        <w:spacing w:line="480" w:lineRule="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040A63C7">
      <w:pPr>
        <w:spacing w:line="480" w:lineRule="auto"/>
        <w:rPr>
          <w:rFonts w:hint="eastAsia" w:ascii="宋体" w:hAnsi="宋体" w:eastAsia="宋体" w:cs="宋体"/>
          <w:sz w:val="24"/>
          <w:szCs w:val="24"/>
        </w:rPr>
      </w:pPr>
      <w:r>
        <w:rPr>
          <w:rFonts w:hint="eastAsia" w:ascii="宋体" w:hAnsi="宋体" w:eastAsia="宋体" w:cs="宋体"/>
          <w:sz w:val="24"/>
          <w:szCs w:val="24"/>
        </w:rPr>
        <w:t>日期：_____年_____月_____日</w:t>
      </w:r>
    </w:p>
    <w:p w14:paraId="4304A803">
      <w:pPr>
        <w:rPr>
          <w:rFonts w:hint="eastAsia"/>
        </w:rPr>
      </w:pPr>
      <w:r>
        <w:rPr>
          <w:rFonts w:hint="eastAsia" w:ascii="宋体" w:hAnsi="宋体" w:eastAsia="宋体" w:cs="宋体"/>
          <w:color w:val="auto"/>
        </w:rPr>
        <w:br w:type="page"/>
      </w:r>
    </w:p>
    <w:p w14:paraId="7D62343F">
      <w:pPr>
        <w:pStyle w:val="3"/>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九、</w:t>
      </w:r>
      <w:r>
        <w:rPr>
          <w:rFonts w:hint="eastAsia" w:ascii="宋体" w:hAnsi="宋体" w:eastAsia="宋体" w:cs="宋体"/>
          <w:lang w:val="zh-CN" w:eastAsia="zh-CN"/>
        </w:rPr>
        <w:t>供应商廉洁自律承诺书</w:t>
      </w:r>
    </w:p>
    <w:p w14:paraId="7DAD43A1">
      <w:pPr>
        <w:shd w:val="clear" w:color="auto" w:fill="auto"/>
        <w:snapToGrid w:val="0"/>
        <w:spacing w:line="360" w:lineRule="auto"/>
        <w:rPr>
          <w:rFonts w:hint="eastAsia" w:ascii="宋体" w:hAnsi="宋体" w:cs="宋体"/>
          <w:color w:val="auto"/>
          <w:sz w:val="24"/>
          <w:highlight w:val="none"/>
        </w:rPr>
      </w:pPr>
    </w:p>
    <w:p w14:paraId="178DD556">
      <w:pPr>
        <w:autoSpaceDE/>
        <w:autoSpaceDN/>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73E696F8">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项目招标要求参加投标。在这次投标过程中和中标后，我们将严格遵守国家法律法规要求，并郑重承诺：</w:t>
      </w:r>
    </w:p>
    <w:p w14:paraId="29E13875">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lang w:val="zh-CN"/>
        </w:rPr>
        <w:t xml:space="preserve">一、不向项目有关人员及部门赠送礼金礼物、有价证券、回扣以及中介费、介绍费、咨询费等好处费； </w:t>
      </w:r>
    </w:p>
    <w:p w14:paraId="5577E090">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二、不为项目有关人员及部门报销应由你方单位或个人支付的费用； </w:t>
      </w:r>
    </w:p>
    <w:p w14:paraId="2EBA65F4">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三、不向项目有关人员及部门提供有可能影响公正的宴请和健身娱乐等活动； </w:t>
      </w:r>
    </w:p>
    <w:p w14:paraId="323B286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四、不为项目有关人员及部门出国（境）、旅游等提供方便；</w:t>
      </w:r>
    </w:p>
    <w:p w14:paraId="3EF62C17">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五、不为项目有关人员个人装修住房、婚丧嫁娶、配偶子女工作安排等提供</w:t>
      </w:r>
      <w:r>
        <w:rPr>
          <w:rFonts w:hint="eastAsia" w:ascii="宋体" w:hAnsi="宋体" w:eastAsia="宋体" w:cs="宋体"/>
          <w:color w:val="auto"/>
          <w:sz w:val="24"/>
          <w:szCs w:val="24"/>
          <w:highlight w:val="none"/>
        </w:rPr>
        <w:t>好处；</w:t>
      </w:r>
    </w:p>
    <w:p w14:paraId="48F010D3">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六、严格遵守</w:t>
      </w:r>
      <w:r>
        <w:rPr>
          <w:rFonts w:hint="eastAsia" w:ascii="宋体" w:hAnsi="宋体" w:eastAsia="宋体" w:cs="宋体"/>
          <w:sz w:val="24"/>
          <w:szCs w:val="24"/>
        </w:rPr>
        <w:t>《中华人民共和国政府采购法》、《政府采购货物和服务招标投标管理办法》、《中华人民共和国政府采购法实施条例》</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lang w:val="zh-CN"/>
        </w:rPr>
        <w:t>《中华人民共和国民法典》等法律法规，诚实守信，合法经营，坚决抵制各种违法违纪行为。</w:t>
      </w:r>
    </w:p>
    <w:p w14:paraId="78A6ED2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如违反上述承诺，你</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val="zh-CN"/>
        </w:rPr>
        <w:t>有</w:t>
      </w:r>
      <w:r>
        <w:rPr>
          <w:rFonts w:hint="eastAsia" w:ascii="宋体" w:hAnsi="宋体" w:eastAsia="宋体" w:cs="宋体"/>
          <w:color w:val="auto"/>
          <w:sz w:val="24"/>
          <w:highlight w:val="none"/>
          <w:lang w:val="zh-CN"/>
        </w:rPr>
        <w:t>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进行项目建设或其他经营活动。由此引起的相应损失均由我单位承担。</w:t>
      </w:r>
    </w:p>
    <w:p w14:paraId="3E2FCEA8">
      <w:pPr>
        <w:shd w:val="clear" w:color="auto" w:fill="auto"/>
        <w:bidi w:val="0"/>
        <w:rPr>
          <w:rFonts w:hint="eastAsia" w:ascii="宋体" w:hAnsi="宋体" w:eastAsia="宋体" w:cs="宋体"/>
          <w:color w:val="auto"/>
          <w:highlight w:val="none"/>
        </w:rPr>
      </w:pPr>
    </w:p>
    <w:p w14:paraId="16DCC404">
      <w:pPr>
        <w:keepNext w:val="0"/>
        <w:keepLines w:val="0"/>
        <w:pageBreakBefore w:val="0"/>
        <w:widowControl w:val="0"/>
        <w:shd w:val="clear" w:color="auto" w:fill="auto"/>
        <w:kinsoku/>
        <w:wordWrap/>
        <w:overflowPunct/>
        <w:topLinePunct w:val="0"/>
        <w:autoSpaceDE/>
        <w:autoSpaceDN/>
        <w:bidi w:val="0"/>
        <w:adjustRightInd w:val="0"/>
        <w:snapToGrid/>
        <w:spacing w:before="936" w:beforeLines="300"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（盖单位公章）                       </w:t>
      </w:r>
    </w:p>
    <w:p w14:paraId="4F081AB0">
      <w:pPr>
        <w:shd w:val="clear" w:color="auto" w:fill="auto"/>
        <w:bidi w:val="0"/>
        <w:rPr>
          <w:rFonts w:hint="eastAsia" w:ascii="宋体" w:hAnsi="宋体" w:eastAsia="宋体" w:cs="宋体"/>
          <w:color w:val="auto"/>
          <w:highlight w:val="none"/>
        </w:rPr>
      </w:pPr>
    </w:p>
    <w:p w14:paraId="2FA492A9">
      <w:pPr>
        <w:keepNext w:val="0"/>
        <w:keepLines w:val="0"/>
        <w:pageBreakBefore w:val="0"/>
        <w:widowControl w:val="0"/>
        <w:shd w:val="clear" w:color="auto" w:fill="auto"/>
        <w:kinsoku/>
        <w:wordWrap/>
        <w:overflowPunct/>
        <w:topLinePunct w:val="0"/>
        <w:autoSpaceDE/>
        <w:autoSpaceDN/>
        <w:bidi w:val="0"/>
        <w:adjustRightInd w:val="0"/>
        <w:snapToGrid/>
        <w:spacing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（签字或盖章）                </w:t>
      </w:r>
    </w:p>
    <w:p w14:paraId="35A42229">
      <w:pPr>
        <w:shd w:val="clear" w:color="auto" w:fill="auto"/>
        <w:bidi w:val="0"/>
        <w:rPr>
          <w:rFonts w:hint="eastAsia" w:ascii="宋体" w:hAnsi="宋体" w:eastAsia="宋体" w:cs="宋体"/>
          <w:color w:val="auto"/>
          <w:highlight w:val="none"/>
        </w:rPr>
      </w:pPr>
    </w:p>
    <w:p w14:paraId="728260C1">
      <w:pPr>
        <w:jc w:val="center"/>
        <w:rPr>
          <w:rFonts w:hint="eastAsia" w:ascii="黑体" w:hAnsi="黑体" w:eastAsia="黑体" w:cs="Times New Roman"/>
          <w:b w:val="0"/>
          <w:bCs/>
          <w:color w:val="auto"/>
          <w:kern w:val="2"/>
          <w:sz w:val="32"/>
          <w:szCs w:val="32"/>
          <w:lang w:val="en-US" w:eastAsia="zh-CN" w:bidi="ar-SA"/>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BE85D02">
      <w:pPr>
        <w:pStyle w:val="20"/>
        <w:rPr>
          <w:rFonts w:hint="eastAsia"/>
        </w:rPr>
        <w:sectPr>
          <w:pgSz w:w="11906" w:h="16838"/>
          <w:pgMar w:top="1134" w:right="1417" w:bottom="1020" w:left="1417" w:header="567" w:footer="454" w:gutter="0"/>
          <w:pgNumType w:fmt="numberInDash"/>
          <w:cols w:space="0" w:num="1"/>
          <w:docGrid w:type="linesAndChars" w:linePitch="312" w:charSpace="200"/>
        </w:sectPr>
      </w:pPr>
    </w:p>
    <w:p w14:paraId="7AA1908E">
      <w:pPr>
        <w:spacing w:line="480" w:lineRule="auto"/>
        <w:jc w:val="center"/>
        <w:rPr>
          <w:rFonts w:hint="eastAsia" w:ascii="宋体" w:hAnsi="宋体" w:eastAsia="宋体" w:cs="宋体"/>
          <w:b/>
          <w:color w:val="auto"/>
          <w:sz w:val="32"/>
          <w:szCs w:val="32"/>
        </w:rPr>
      </w:pPr>
      <w:r>
        <w:rPr>
          <w:rFonts w:hint="eastAsia" w:ascii="宋体" w:hAnsi="宋体" w:cs="宋体"/>
          <w:b/>
          <w:color w:val="auto"/>
          <w:sz w:val="32"/>
          <w:szCs w:val="32"/>
          <w:lang w:val="en-US" w:eastAsia="zh-CN"/>
        </w:rPr>
        <w:t>十</w:t>
      </w:r>
      <w:r>
        <w:rPr>
          <w:rFonts w:hint="eastAsia" w:ascii="宋体" w:hAnsi="宋体" w:eastAsia="宋体" w:cs="宋体"/>
          <w:b/>
          <w:color w:val="auto"/>
          <w:sz w:val="32"/>
          <w:szCs w:val="32"/>
        </w:rPr>
        <w:t>、</w:t>
      </w:r>
      <w:r>
        <w:rPr>
          <w:rFonts w:hint="eastAsia" w:ascii="宋体" w:hAnsi="宋体" w:cs="宋体"/>
          <w:b/>
          <w:color w:val="auto"/>
          <w:sz w:val="32"/>
          <w:szCs w:val="32"/>
          <w:lang w:val="en-US" w:eastAsia="zh-CN"/>
        </w:rPr>
        <w:t>技术</w:t>
      </w:r>
      <w:r>
        <w:rPr>
          <w:rFonts w:hint="eastAsia" w:ascii="宋体" w:hAnsi="宋体" w:eastAsia="宋体" w:cs="宋体"/>
          <w:b/>
          <w:color w:val="auto"/>
          <w:sz w:val="32"/>
          <w:szCs w:val="32"/>
        </w:rPr>
        <w:t>偏离表</w:t>
      </w:r>
    </w:p>
    <w:tbl>
      <w:tblPr>
        <w:tblStyle w:val="52"/>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49"/>
        <w:gridCol w:w="2838"/>
        <w:gridCol w:w="3236"/>
        <w:gridCol w:w="1307"/>
      </w:tblGrid>
      <w:tr w14:paraId="3763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4BE8FED1">
            <w:pPr>
              <w:pStyle w:val="25"/>
              <w:spacing w:line="400" w:lineRule="atLeast"/>
              <w:jc w:val="center"/>
              <w:rPr>
                <w:rFonts w:hint="eastAsia" w:ascii="宋体" w:hAnsi="宋体" w:eastAsia="宋体" w:cs="宋体"/>
                <w:szCs w:val="24"/>
              </w:rPr>
            </w:pPr>
            <w:r>
              <w:rPr>
                <w:rFonts w:hint="eastAsia" w:ascii="宋体" w:hAnsi="宋体" w:eastAsia="宋体" w:cs="宋体"/>
                <w:szCs w:val="24"/>
              </w:rPr>
              <w:t>序号</w:t>
            </w:r>
          </w:p>
        </w:tc>
        <w:tc>
          <w:tcPr>
            <w:tcW w:w="1349" w:type="dxa"/>
            <w:noWrap/>
            <w:vAlign w:val="center"/>
          </w:tcPr>
          <w:p w14:paraId="20BC18F3">
            <w:pPr>
              <w:pStyle w:val="25"/>
              <w:spacing w:line="400" w:lineRule="atLeast"/>
              <w:jc w:val="center"/>
              <w:rPr>
                <w:rFonts w:hint="eastAsia" w:ascii="宋体" w:hAnsi="宋体" w:eastAsia="宋体" w:cs="宋体"/>
                <w:szCs w:val="24"/>
                <w:lang w:val="en-US" w:eastAsia="zh-CN"/>
              </w:rPr>
            </w:pPr>
            <w:r>
              <w:rPr>
                <w:rFonts w:hint="eastAsia" w:ascii="宋体" w:hAnsi="宋体" w:eastAsia="宋体" w:cs="宋体"/>
                <w:szCs w:val="24"/>
                <w:lang w:val="en-US" w:eastAsia="zh-CN"/>
              </w:rPr>
              <w:t>内容</w:t>
            </w:r>
          </w:p>
        </w:tc>
        <w:tc>
          <w:tcPr>
            <w:tcW w:w="2838" w:type="dxa"/>
            <w:noWrap/>
            <w:vAlign w:val="center"/>
          </w:tcPr>
          <w:p w14:paraId="25E6BB72">
            <w:pPr>
              <w:pStyle w:val="25"/>
              <w:spacing w:line="400" w:lineRule="atLeast"/>
              <w:jc w:val="center"/>
              <w:rPr>
                <w:rFonts w:hint="eastAsia" w:ascii="宋体" w:hAnsi="宋体" w:eastAsia="宋体" w:cs="宋体"/>
                <w:szCs w:val="24"/>
              </w:rPr>
            </w:pPr>
            <w:r>
              <w:rPr>
                <w:rFonts w:hint="eastAsia" w:ascii="宋体" w:hAnsi="宋体" w:eastAsia="宋体" w:cs="宋体"/>
                <w:szCs w:val="24"/>
              </w:rPr>
              <w:t>招标文件</w:t>
            </w:r>
          </w:p>
          <w:p w14:paraId="5367DF19">
            <w:pPr>
              <w:pStyle w:val="25"/>
              <w:spacing w:line="400" w:lineRule="atLeast"/>
              <w:jc w:val="center"/>
              <w:rPr>
                <w:rFonts w:hint="eastAsia" w:ascii="宋体" w:hAnsi="宋体" w:eastAsia="宋体" w:cs="宋体"/>
                <w:szCs w:val="24"/>
              </w:rPr>
            </w:pPr>
            <w:r>
              <w:rPr>
                <w:rFonts w:hint="eastAsia" w:ascii="宋体" w:hAnsi="宋体" w:eastAsia="宋体" w:cs="宋体"/>
                <w:szCs w:val="24"/>
              </w:rPr>
              <w:t>规范要求</w:t>
            </w:r>
          </w:p>
        </w:tc>
        <w:tc>
          <w:tcPr>
            <w:tcW w:w="3236" w:type="dxa"/>
            <w:noWrap/>
            <w:vAlign w:val="center"/>
          </w:tcPr>
          <w:p w14:paraId="108640D9">
            <w:pPr>
              <w:pStyle w:val="25"/>
              <w:spacing w:line="400" w:lineRule="atLeast"/>
              <w:jc w:val="center"/>
              <w:rPr>
                <w:rFonts w:hint="eastAsia" w:ascii="宋体" w:hAnsi="宋体" w:eastAsia="宋体" w:cs="宋体"/>
                <w:szCs w:val="24"/>
              </w:rPr>
            </w:pPr>
            <w:r>
              <w:rPr>
                <w:rFonts w:hint="eastAsia" w:ascii="宋体" w:hAnsi="宋体" w:eastAsia="宋体" w:cs="宋体"/>
                <w:szCs w:val="24"/>
              </w:rPr>
              <w:t>投标文件</w:t>
            </w:r>
          </w:p>
          <w:p w14:paraId="5F0B14A7">
            <w:pPr>
              <w:pStyle w:val="25"/>
              <w:spacing w:line="400" w:lineRule="atLeast"/>
              <w:jc w:val="center"/>
              <w:rPr>
                <w:rFonts w:hint="eastAsia" w:ascii="宋体" w:hAnsi="宋体" w:eastAsia="宋体" w:cs="宋体"/>
                <w:szCs w:val="24"/>
              </w:rPr>
            </w:pPr>
            <w:r>
              <w:rPr>
                <w:rFonts w:hint="eastAsia" w:ascii="宋体" w:hAnsi="宋体" w:eastAsia="宋体" w:cs="宋体"/>
                <w:szCs w:val="24"/>
              </w:rPr>
              <w:t>对应规范</w:t>
            </w:r>
          </w:p>
        </w:tc>
        <w:tc>
          <w:tcPr>
            <w:tcW w:w="1307" w:type="dxa"/>
            <w:noWrap/>
            <w:vAlign w:val="center"/>
          </w:tcPr>
          <w:p w14:paraId="37256CC5">
            <w:pPr>
              <w:pStyle w:val="25"/>
              <w:spacing w:line="400" w:lineRule="atLeast"/>
              <w:jc w:val="center"/>
              <w:rPr>
                <w:rFonts w:hint="eastAsia" w:ascii="宋体" w:hAnsi="宋体" w:eastAsia="宋体" w:cs="宋体"/>
                <w:szCs w:val="24"/>
              </w:rPr>
            </w:pPr>
            <w:r>
              <w:rPr>
                <w:rFonts w:hint="eastAsia" w:ascii="宋体" w:hAnsi="宋体" w:eastAsia="宋体" w:cs="宋体"/>
                <w:szCs w:val="24"/>
              </w:rPr>
              <w:t xml:space="preserve"> 偏离情况</w:t>
            </w:r>
          </w:p>
        </w:tc>
      </w:tr>
      <w:tr w14:paraId="2943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0F105293">
            <w:pPr>
              <w:pStyle w:val="25"/>
              <w:spacing w:line="400" w:lineRule="atLeast"/>
              <w:jc w:val="center"/>
              <w:rPr>
                <w:rFonts w:hint="eastAsia" w:ascii="宋体" w:hAnsi="宋体" w:eastAsia="宋体" w:cs="宋体"/>
                <w:szCs w:val="24"/>
              </w:rPr>
            </w:pPr>
          </w:p>
        </w:tc>
        <w:tc>
          <w:tcPr>
            <w:tcW w:w="1349" w:type="dxa"/>
            <w:noWrap/>
            <w:vAlign w:val="center"/>
          </w:tcPr>
          <w:p w14:paraId="033BBEA7">
            <w:pPr>
              <w:pStyle w:val="25"/>
              <w:spacing w:line="400" w:lineRule="atLeast"/>
              <w:jc w:val="center"/>
              <w:rPr>
                <w:rFonts w:hint="eastAsia" w:ascii="宋体" w:hAnsi="宋体" w:eastAsia="宋体" w:cs="宋体"/>
                <w:szCs w:val="24"/>
              </w:rPr>
            </w:pPr>
          </w:p>
        </w:tc>
        <w:tc>
          <w:tcPr>
            <w:tcW w:w="2838" w:type="dxa"/>
            <w:noWrap/>
            <w:vAlign w:val="center"/>
          </w:tcPr>
          <w:p w14:paraId="7B4D74EB">
            <w:pPr>
              <w:pStyle w:val="25"/>
              <w:spacing w:line="400" w:lineRule="atLeast"/>
              <w:jc w:val="center"/>
              <w:rPr>
                <w:rFonts w:hint="eastAsia" w:ascii="宋体" w:hAnsi="宋体" w:eastAsia="宋体" w:cs="宋体"/>
                <w:szCs w:val="24"/>
              </w:rPr>
            </w:pPr>
          </w:p>
        </w:tc>
        <w:tc>
          <w:tcPr>
            <w:tcW w:w="3236" w:type="dxa"/>
            <w:noWrap/>
            <w:vAlign w:val="center"/>
          </w:tcPr>
          <w:p w14:paraId="4A105ABE">
            <w:pPr>
              <w:pStyle w:val="25"/>
              <w:spacing w:line="400" w:lineRule="atLeast"/>
              <w:jc w:val="center"/>
              <w:rPr>
                <w:rFonts w:hint="eastAsia" w:ascii="宋体" w:hAnsi="宋体" w:eastAsia="宋体" w:cs="宋体"/>
                <w:szCs w:val="24"/>
              </w:rPr>
            </w:pPr>
          </w:p>
        </w:tc>
        <w:tc>
          <w:tcPr>
            <w:tcW w:w="1307" w:type="dxa"/>
            <w:noWrap/>
            <w:vAlign w:val="center"/>
          </w:tcPr>
          <w:p w14:paraId="0B153D7A">
            <w:pPr>
              <w:pStyle w:val="25"/>
              <w:spacing w:line="400" w:lineRule="atLeast"/>
              <w:jc w:val="center"/>
              <w:rPr>
                <w:rFonts w:hint="eastAsia" w:ascii="宋体" w:hAnsi="宋体" w:eastAsia="宋体" w:cs="宋体"/>
                <w:szCs w:val="24"/>
              </w:rPr>
            </w:pPr>
          </w:p>
        </w:tc>
      </w:tr>
      <w:tr w14:paraId="205C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30BE0D4E">
            <w:pPr>
              <w:pStyle w:val="25"/>
              <w:spacing w:line="400" w:lineRule="atLeast"/>
              <w:jc w:val="center"/>
              <w:rPr>
                <w:rFonts w:hint="eastAsia" w:ascii="宋体" w:hAnsi="宋体" w:eastAsia="宋体" w:cs="宋体"/>
                <w:szCs w:val="24"/>
              </w:rPr>
            </w:pPr>
          </w:p>
        </w:tc>
        <w:tc>
          <w:tcPr>
            <w:tcW w:w="1349" w:type="dxa"/>
            <w:noWrap/>
            <w:vAlign w:val="center"/>
          </w:tcPr>
          <w:p w14:paraId="1232C6D4">
            <w:pPr>
              <w:pStyle w:val="25"/>
              <w:spacing w:line="400" w:lineRule="atLeast"/>
              <w:jc w:val="center"/>
              <w:rPr>
                <w:rFonts w:hint="eastAsia" w:ascii="宋体" w:hAnsi="宋体" w:eastAsia="宋体" w:cs="宋体"/>
                <w:szCs w:val="24"/>
              </w:rPr>
            </w:pPr>
          </w:p>
        </w:tc>
        <w:tc>
          <w:tcPr>
            <w:tcW w:w="2838" w:type="dxa"/>
            <w:noWrap/>
            <w:vAlign w:val="center"/>
          </w:tcPr>
          <w:p w14:paraId="179DFF12">
            <w:pPr>
              <w:pStyle w:val="25"/>
              <w:spacing w:line="400" w:lineRule="atLeast"/>
              <w:jc w:val="center"/>
              <w:rPr>
                <w:rFonts w:hint="eastAsia" w:ascii="宋体" w:hAnsi="宋体" w:eastAsia="宋体" w:cs="宋体"/>
                <w:szCs w:val="24"/>
              </w:rPr>
            </w:pPr>
          </w:p>
        </w:tc>
        <w:tc>
          <w:tcPr>
            <w:tcW w:w="3236" w:type="dxa"/>
            <w:noWrap/>
            <w:vAlign w:val="center"/>
          </w:tcPr>
          <w:p w14:paraId="74CEFAC0">
            <w:pPr>
              <w:pStyle w:val="25"/>
              <w:spacing w:line="400" w:lineRule="atLeast"/>
              <w:jc w:val="center"/>
              <w:rPr>
                <w:rFonts w:hint="eastAsia" w:ascii="宋体" w:hAnsi="宋体" w:eastAsia="宋体" w:cs="宋体"/>
                <w:szCs w:val="24"/>
              </w:rPr>
            </w:pPr>
          </w:p>
        </w:tc>
        <w:tc>
          <w:tcPr>
            <w:tcW w:w="1307" w:type="dxa"/>
            <w:noWrap/>
            <w:vAlign w:val="center"/>
          </w:tcPr>
          <w:p w14:paraId="7349395B">
            <w:pPr>
              <w:pStyle w:val="25"/>
              <w:spacing w:line="400" w:lineRule="atLeast"/>
              <w:jc w:val="center"/>
              <w:rPr>
                <w:rFonts w:hint="eastAsia" w:ascii="宋体" w:hAnsi="宋体" w:eastAsia="宋体" w:cs="宋体"/>
                <w:szCs w:val="24"/>
              </w:rPr>
            </w:pPr>
          </w:p>
        </w:tc>
      </w:tr>
      <w:tr w14:paraId="4FA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1C3C3947">
            <w:pPr>
              <w:pStyle w:val="25"/>
              <w:spacing w:line="400" w:lineRule="atLeast"/>
              <w:jc w:val="center"/>
              <w:rPr>
                <w:rFonts w:hint="eastAsia" w:ascii="宋体" w:hAnsi="宋体" w:eastAsia="宋体" w:cs="宋体"/>
                <w:szCs w:val="24"/>
              </w:rPr>
            </w:pPr>
          </w:p>
        </w:tc>
        <w:tc>
          <w:tcPr>
            <w:tcW w:w="1349" w:type="dxa"/>
            <w:noWrap/>
            <w:vAlign w:val="center"/>
          </w:tcPr>
          <w:p w14:paraId="1F57ABF5">
            <w:pPr>
              <w:pStyle w:val="25"/>
              <w:spacing w:line="400" w:lineRule="atLeast"/>
              <w:jc w:val="center"/>
              <w:rPr>
                <w:rFonts w:hint="eastAsia" w:ascii="宋体" w:hAnsi="宋体" w:eastAsia="宋体" w:cs="宋体"/>
                <w:szCs w:val="24"/>
              </w:rPr>
            </w:pPr>
          </w:p>
        </w:tc>
        <w:tc>
          <w:tcPr>
            <w:tcW w:w="2838" w:type="dxa"/>
            <w:noWrap/>
            <w:vAlign w:val="center"/>
          </w:tcPr>
          <w:p w14:paraId="55CCB37F">
            <w:pPr>
              <w:pStyle w:val="25"/>
              <w:spacing w:line="400" w:lineRule="atLeast"/>
              <w:jc w:val="center"/>
              <w:rPr>
                <w:rFonts w:hint="eastAsia" w:ascii="宋体" w:hAnsi="宋体" w:eastAsia="宋体" w:cs="宋体"/>
                <w:szCs w:val="24"/>
              </w:rPr>
            </w:pPr>
          </w:p>
        </w:tc>
        <w:tc>
          <w:tcPr>
            <w:tcW w:w="3236" w:type="dxa"/>
            <w:noWrap/>
            <w:vAlign w:val="center"/>
          </w:tcPr>
          <w:p w14:paraId="108539A9">
            <w:pPr>
              <w:pStyle w:val="25"/>
              <w:spacing w:line="400" w:lineRule="atLeast"/>
              <w:jc w:val="center"/>
              <w:rPr>
                <w:rFonts w:hint="eastAsia" w:ascii="宋体" w:hAnsi="宋体" w:eastAsia="宋体" w:cs="宋体"/>
                <w:szCs w:val="24"/>
              </w:rPr>
            </w:pPr>
          </w:p>
        </w:tc>
        <w:tc>
          <w:tcPr>
            <w:tcW w:w="1307" w:type="dxa"/>
            <w:noWrap/>
            <w:vAlign w:val="center"/>
          </w:tcPr>
          <w:p w14:paraId="6C07FB5A">
            <w:pPr>
              <w:pStyle w:val="25"/>
              <w:spacing w:line="400" w:lineRule="atLeast"/>
              <w:jc w:val="center"/>
              <w:rPr>
                <w:rFonts w:hint="eastAsia" w:ascii="宋体" w:hAnsi="宋体" w:eastAsia="宋体" w:cs="宋体"/>
                <w:szCs w:val="24"/>
              </w:rPr>
            </w:pPr>
          </w:p>
        </w:tc>
      </w:tr>
      <w:tr w14:paraId="57C5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78DC1FC0">
            <w:pPr>
              <w:pStyle w:val="25"/>
              <w:spacing w:line="400" w:lineRule="atLeast"/>
              <w:jc w:val="center"/>
              <w:rPr>
                <w:rFonts w:hint="eastAsia" w:ascii="宋体" w:hAnsi="宋体" w:eastAsia="宋体" w:cs="宋体"/>
                <w:szCs w:val="24"/>
              </w:rPr>
            </w:pPr>
          </w:p>
        </w:tc>
        <w:tc>
          <w:tcPr>
            <w:tcW w:w="1349" w:type="dxa"/>
            <w:noWrap/>
            <w:vAlign w:val="center"/>
          </w:tcPr>
          <w:p w14:paraId="0D94DEBD">
            <w:pPr>
              <w:pStyle w:val="25"/>
              <w:spacing w:line="400" w:lineRule="atLeast"/>
              <w:jc w:val="center"/>
              <w:rPr>
                <w:rFonts w:hint="eastAsia" w:ascii="宋体" w:hAnsi="宋体" w:eastAsia="宋体" w:cs="宋体"/>
                <w:szCs w:val="24"/>
              </w:rPr>
            </w:pPr>
          </w:p>
        </w:tc>
        <w:tc>
          <w:tcPr>
            <w:tcW w:w="2838" w:type="dxa"/>
            <w:noWrap/>
            <w:vAlign w:val="center"/>
          </w:tcPr>
          <w:p w14:paraId="32CCD1A7">
            <w:pPr>
              <w:pStyle w:val="25"/>
              <w:spacing w:line="400" w:lineRule="atLeast"/>
              <w:jc w:val="center"/>
              <w:rPr>
                <w:rFonts w:hint="eastAsia" w:ascii="宋体" w:hAnsi="宋体" w:eastAsia="宋体" w:cs="宋体"/>
                <w:szCs w:val="24"/>
              </w:rPr>
            </w:pPr>
          </w:p>
        </w:tc>
        <w:tc>
          <w:tcPr>
            <w:tcW w:w="3236" w:type="dxa"/>
            <w:noWrap/>
            <w:vAlign w:val="center"/>
          </w:tcPr>
          <w:p w14:paraId="35F58229">
            <w:pPr>
              <w:pStyle w:val="25"/>
              <w:spacing w:line="400" w:lineRule="atLeast"/>
              <w:jc w:val="center"/>
              <w:rPr>
                <w:rFonts w:hint="eastAsia" w:ascii="宋体" w:hAnsi="宋体" w:eastAsia="宋体" w:cs="宋体"/>
                <w:szCs w:val="24"/>
              </w:rPr>
            </w:pPr>
          </w:p>
        </w:tc>
        <w:tc>
          <w:tcPr>
            <w:tcW w:w="1307" w:type="dxa"/>
            <w:noWrap/>
            <w:vAlign w:val="center"/>
          </w:tcPr>
          <w:p w14:paraId="68B21050">
            <w:pPr>
              <w:pStyle w:val="25"/>
              <w:spacing w:line="400" w:lineRule="atLeast"/>
              <w:jc w:val="center"/>
              <w:rPr>
                <w:rFonts w:hint="eastAsia" w:ascii="宋体" w:hAnsi="宋体" w:eastAsia="宋体" w:cs="宋体"/>
                <w:szCs w:val="24"/>
              </w:rPr>
            </w:pPr>
          </w:p>
        </w:tc>
      </w:tr>
      <w:tr w14:paraId="1464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7E1AD8B1">
            <w:pPr>
              <w:pStyle w:val="25"/>
              <w:spacing w:line="400" w:lineRule="atLeast"/>
              <w:jc w:val="center"/>
              <w:rPr>
                <w:rFonts w:hint="eastAsia" w:ascii="宋体" w:hAnsi="宋体" w:eastAsia="宋体" w:cs="宋体"/>
                <w:szCs w:val="24"/>
              </w:rPr>
            </w:pPr>
          </w:p>
        </w:tc>
        <w:tc>
          <w:tcPr>
            <w:tcW w:w="1349" w:type="dxa"/>
            <w:noWrap/>
            <w:vAlign w:val="center"/>
          </w:tcPr>
          <w:p w14:paraId="46ED5E72">
            <w:pPr>
              <w:pStyle w:val="25"/>
              <w:spacing w:line="400" w:lineRule="atLeast"/>
              <w:jc w:val="center"/>
              <w:rPr>
                <w:rFonts w:hint="eastAsia" w:ascii="宋体" w:hAnsi="宋体" w:eastAsia="宋体" w:cs="宋体"/>
                <w:szCs w:val="24"/>
              </w:rPr>
            </w:pPr>
          </w:p>
        </w:tc>
        <w:tc>
          <w:tcPr>
            <w:tcW w:w="2838" w:type="dxa"/>
            <w:noWrap/>
            <w:vAlign w:val="center"/>
          </w:tcPr>
          <w:p w14:paraId="4266E8B9">
            <w:pPr>
              <w:pStyle w:val="25"/>
              <w:spacing w:line="400" w:lineRule="atLeast"/>
              <w:jc w:val="center"/>
              <w:rPr>
                <w:rFonts w:hint="eastAsia" w:ascii="宋体" w:hAnsi="宋体" w:eastAsia="宋体" w:cs="宋体"/>
                <w:szCs w:val="24"/>
              </w:rPr>
            </w:pPr>
          </w:p>
        </w:tc>
        <w:tc>
          <w:tcPr>
            <w:tcW w:w="3236" w:type="dxa"/>
            <w:noWrap/>
            <w:vAlign w:val="center"/>
          </w:tcPr>
          <w:p w14:paraId="6316060B">
            <w:pPr>
              <w:pStyle w:val="25"/>
              <w:spacing w:line="400" w:lineRule="atLeast"/>
              <w:jc w:val="center"/>
              <w:rPr>
                <w:rFonts w:hint="eastAsia" w:ascii="宋体" w:hAnsi="宋体" w:eastAsia="宋体" w:cs="宋体"/>
                <w:szCs w:val="24"/>
              </w:rPr>
            </w:pPr>
          </w:p>
        </w:tc>
        <w:tc>
          <w:tcPr>
            <w:tcW w:w="1307" w:type="dxa"/>
            <w:noWrap/>
            <w:vAlign w:val="center"/>
          </w:tcPr>
          <w:p w14:paraId="09FE29A9">
            <w:pPr>
              <w:pStyle w:val="25"/>
              <w:spacing w:line="400" w:lineRule="atLeast"/>
              <w:jc w:val="center"/>
              <w:rPr>
                <w:rFonts w:hint="eastAsia" w:ascii="宋体" w:hAnsi="宋体" w:eastAsia="宋体" w:cs="宋体"/>
                <w:szCs w:val="24"/>
              </w:rPr>
            </w:pPr>
          </w:p>
        </w:tc>
      </w:tr>
      <w:tr w14:paraId="7157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6480596A">
            <w:pPr>
              <w:pStyle w:val="25"/>
              <w:spacing w:line="400" w:lineRule="atLeast"/>
              <w:jc w:val="center"/>
              <w:rPr>
                <w:rFonts w:hint="eastAsia" w:ascii="宋体" w:hAnsi="宋体" w:eastAsia="宋体" w:cs="宋体"/>
                <w:szCs w:val="24"/>
              </w:rPr>
            </w:pPr>
          </w:p>
        </w:tc>
        <w:tc>
          <w:tcPr>
            <w:tcW w:w="1349" w:type="dxa"/>
            <w:noWrap/>
            <w:vAlign w:val="center"/>
          </w:tcPr>
          <w:p w14:paraId="6DF40D37">
            <w:pPr>
              <w:pStyle w:val="25"/>
              <w:spacing w:line="400" w:lineRule="atLeast"/>
              <w:jc w:val="center"/>
              <w:rPr>
                <w:rFonts w:hint="eastAsia" w:ascii="宋体" w:hAnsi="宋体" w:eastAsia="宋体" w:cs="宋体"/>
                <w:szCs w:val="24"/>
              </w:rPr>
            </w:pPr>
          </w:p>
        </w:tc>
        <w:tc>
          <w:tcPr>
            <w:tcW w:w="2838" w:type="dxa"/>
            <w:noWrap/>
            <w:vAlign w:val="center"/>
          </w:tcPr>
          <w:p w14:paraId="1ABBB145">
            <w:pPr>
              <w:pStyle w:val="25"/>
              <w:spacing w:line="400" w:lineRule="atLeast"/>
              <w:jc w:val="center"/>
              <w:rPr>
                <w:rFonts w:hint="eastAsia" w:ascii="宋体" w:hAnsi="宋体" w:eastAsia="宋体" w:cs="宋体"/>
                <w:szCs w:val="24"/>
              </w:rPr>
            </w:pPr>
          </w:p>
        </w:tc>
        <w:tc>
          <w:tcPr>
            <w:tcW w:w="3236" w:type="dxa"/>
            <w:noWrap/>
            <w:vAlign w:val="center"/>
          </w:tcPr>
          <w:p w14:paraId="09050993">
            <w:pPr>
              <w:pStyle w:val="25"/>
              <w:spacing w:line="400" w:lineRule="atLeast"/>
              <w:jc w:val="center"/>
              <w:rPr>
                <w:rFonts w:hint="eastAsia" w:ascii="宋体" w:hAnsi="宋体" w:eastAsia="宋体" w:cs="宋体"/>
                <w:szCs w:val="24"/>
              </w:rPr>
            </w:pPr>
          </w:p>
        </w:tc>
        <w:tc>
          <w:tcPr>
            <w:tcW w:w="1307" w:type="dxa"/>
            <w:noWrap/>
            <w:vAlign w:val="center"/>
          </w:tcPr>
          <w:p w14:paraId="5D587E33">
            <w:pPr>
              <w:pStyle w:val="25"/>
              <w:spacing w:line="400" w:lineRule="atLeast"/>
              <w:jc w:val="center"/>
              <w:rPr>
                <w:rFonts w:hint="eastAsia" w:ascii="宋体" w:hAnsi="宋体" w:eastAsia="宋体" w:cs="宋体"/>
                <w:szCs w:val="24"/>
              </w:rPr>
            </w:pPr>
          </w:p>
        </w:tc>
      </w:tr>
      <w:tr w14:paraId="338D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186E99D6">
            <w:pPr>
              <w:pStyle w:val="25"/>
              <w:spacing w:line="400" w:lineRule="atLeast"/>
              <w:jc w:val="center"/>
              <w:rPr>
                <w:rFonts w:hint="eastAsia" w:ascii="宋体" w:hAnsi="宋体" w:eastAsia="宋体" w:cs="宋体"/>
                <w:szCs w:val="24"/>
              </w:rPr>
            </w:pPr>
          </w:p>
        </w:tc>
        <w:tc>
          <w:tcPr>
            <w:tcW w:w="1349" w:type="dxa"/>
            <w:noWrap/>
            <w:vAlign w:val="center"/>
          </w:tcPr>
          <w:p w14:paraId="533294C5">
            <w:pPr>
              <w:pStyle w:val="25"/>
              <w:spacing w:line="400" w:lineRule="atLeast"/>
              <w:jc w:val="center"/>
              <w:rPr>
                <w:rFonts w:hint="eastAsia" w:ascii="宋体" w:hAnsi="宋体" w:eastAsia="宋体" w:cs="宋体"/>
                <w:szCs w:val="24"/>
              </w:rPr>
            </w:pPr>
          </w:p>
        </w:tc>
        <w:tc>
          <w:tcPr>
            <w:tcW w:w="2838" w:type="dxa"/>
            <w:noWrap/>
            <w:vAlign w:val="center"/>
          </w:tcPr>
          <w:p w14:paraId="35012D7F">
            <w:pPr>
              <w:pStyle w:val="25"/>
              <w:spacing w:line="400" w:lineRule="atLeast"/>
              <w:jc w:val="center"/>
              <w:rPr>
                <w:rFonts w:hint="eastAsia" w:ascii="宋体" w:hAnsi="宋体" w:eastAsia="宋体" w:cs="宋体"/>
                <w:szCs w:val="24"/>
              </w:rPr>
            </w:pPr>
          </w:p>
        </w:tc>
        <w:tc>
          <w:tcPr>
            <w:tcW w:w="3236" w:type="dxa"/>
            <w:noWrap/>
            <w:vAlign w:val="center"/>
          </w:tcPr>
          <w:p w14:paraId="672773E2">
            <w:pPr>
              <w:pStyle w:val="25"/>
              <w:spacing w:line="400" w:lineRule="atLeast"/>
              <w:jc w:val="center"/>
              <w:rPr>
                <w:rFonts w:hint="eastAsia" w:ascii="宋体" w:hAnsi="宋体" w:eastAsia="宋体" w:cs="宋体"/>
                <w:szCs w:val="24"/>
              </w:rPr>
            </w:pPr>
          </w:p>
        </w:tc>
        <w:tc>
          <w:tcPr>
            <w:tcW w:w="1307" w:type="dxa"/>
            <w:noWrap/>
            <w:vAlign w:val="center"/>
          </w:tcPr>
          <w:p w14:paraId="1058CE19">
            <w:pPr>
              <w:pStyle w:val="25"/>
              <w:spacing w:line="400" w:lineRule="atLeast"/>
              <w:jc w:val="center"/>
              <w:rPr>
                <w:rFonts w:hint="eastAsia" w:ascii="宋体" w:hAnsi="宋体" w:eastAsia="宋体" w:cs="宋体"/>
                <w:szCs w:val="24"/>
              </w:rPr>
            </w:pPr>
          </w:p>
        </w:tc>
      </w:tr>
    </w:tbl>
    <w:p w14:paraId="66D406C1">
      <w:pPr>
        <w:pStyle w:val="25"/>
        <w:spacing w:line="400" w:lineRule="atLeast"/>
        <w:rPr>
          <w:rFonts w:hint="eastAsia" w:ascii="宋体" w:hAnsi="宋体" w:eastAsia="宋体" w:cs="宋体"/>
          <w:szCs w:val="24"/>
        </w:rPr>
      </w:pPr>
      <w:r>
        <w:rPr>
          <w:rFonts w:hint="eastAsia" w:ascii="宋体" w:hAnsi="宋体" w:eastAsia="宋体" w:cs="宋体"/>
          <w:szCs w:val="24"/>
        </w:rPr>
        <w:t>注：</w:t>
      </w:r>
    </w:p>
    <w:p w14:paraId="45FB5856">
      <w:pPr>
        <w:pStyle w:val="25"/>
        <w:spacing w:line="400" w:lineRule="atLeast"/>
        <w:rPr>
          <w:rFonts w:hint="eastAsia" w:ascii="宋体" w:hAnsi="宋体" w:eastAsia="宋体" w:cs="宋体"/>
          <w:szCs w:val="24"/>
        </w:rPr>
      </w:pPr>
      <w:r>
        <w:rPr>
          <w:rFonts w:hint="eastAsia" w:ascii="宋体" w:hAnsi="宋体" w:eastAsia="宋体" w:cs="宋体"/>
          <w:szCs w:val="24"/>
        </w:rPr>
        <w:t>1、此表须与招标文件“采购需求”相应标项内的所有技术规格（含技术、功能、配置、附加必备条件、售后服务、安装、验收、付款方式等）相比较且一一对应真实逐条填列，并在“偏离情况”栏注明“正偏离”、“负偏离”或“无偏离”。</w:t>
      </w:r>
    </w:p>
    <w:p w14:paraId="1431EA5C">
      <w:pPr>
        <w:pStyle w:val="25"/>
        <w:spacing w:line="400" w:lineRule="atLeast"/>
        <w:rPr>
          <w:rFonts w:hint="eastAsia" w:ascii="宋体" w:hAnsi="宋体" w:eastAsia="宋体" w:cs="宋体"/>
          <w:szCs w:val="24"/>
        </w:rPr>
      </w:pPr>
      <w:r>
        <w:rPr>
          <w:rFonts w:hint="eastAsia" w:ascii="宋体" w:hAnsi="宋体" w:eastAsia="宋体" w:cs="宋体"/>
          <w:szCs w:val="24"/>
        </w:rPr>
        <w:t>2、投标人递交的技术规格书中必须真实逐条列明，否则由投标人自行承担相关风险。</w:t>
      </w:r>
    </w:p>
    <w:p w14:paraId="1F81CEBC">
      <w:pPr>
        <w:pStyle w:val="25"/>
        <w:spacing w:line="400" w:lineRule="atLeast"/>
        <w:rPr>
          <w:rFonts w:hint="eastAsia" w:ascii="宋体" w:hAnsi="宋体" w:eastAsia="宋体" w:cs="宋体"/>
          <w:szCs w:val="24"/>
        </w:rPr>
      </w:pPr>
      <w:r>
        <w:rPr>
          <w:rFonts w:hint="eastAsia" w:ascii="宋体" w:hAnsi="宋体" w:eastAsia="宋体" w:cs="宋体"/>
          <w:szCs w:val="24"/>
        </w:rPr>
        <w:t>3、此表在不改变格式的情况下可自行制作。</w:t>
      </w:r>
    </w:p>
    <w:p w14:paraId="497761AE">
      <w:pPr>
        <w:pStyle w:val="25"/>
        <w:spacing w:line="400" w:lineRule="atLeast"/>
        <w:rPr>
          <w:rFonts w:hint="eastAsia" w:ascii="宋体" w:hAnsi="宋体" w:eastAsia="宋体" w:cs="宋体"/>
          <w:szCs w:val="24"/>
        </w:rPr>
      </w:pPr>
      <w:r>
        <w:rPr>
          <w:rFonts w:hint="eastAsia" w:ascii="宋体" w:hAnsi="宋体" w:eastAsia="宋体" w:cs="宋体"/>
          <w:szCs w:val="24"/>
        </w:rPr>
        <w:t>4、此表置于此</w:t>
      </w:r>
      <w:r>
        <w:rPr>
          <w:rFonts w:hint="eastAsia" w:ascii="宋体" w:hAnsi="宋体" w:eastAsia="宋体" w:cs="宋体"/>
          <w:szCs w:val="24"/>
          <w:lang w:val="en-US" w:eastAsia="zh-CN"/>
        </w:rPr>
        <w:t>技术</w:t>
      </w:r>
      <w:r>
        <w:rPr>
          <w:rFonts w:hint="eastAsia" w:ascii="宋体" w:hAnsi="宋体" w:eastAsia="宋体" w:cs="宋体"/>
          <w:szCs w:val="24"/>
        </w:rPr>
        <w:t>标书中。</w:t>
      </w:r>
    </w:p>
    <w:p w14:paraId="3504399B">
      <w:pPr>
        <w:snapToGrid w:val="0"/>
        <w:spacing w:before="50" w:after="50"/>
        <w:jc w:val="center"/>
        <w:rPr>
          <w:rFonts w:hint="eastAsia" w:ascii="宋体" w:hAnsi="宋体" w:eastAsia="宋体" w:cs="宋体"/>
          <w:b/>
          <w:bCs/>
          <w:spacing w:val="6"/>
          <w:sz w:val="32"/>
          <w:szCs w:val="32"/>
        </w:rPr>
      </w:pPr>
    </w:p>
    <w:p w14:paraId="7A9E8B5F">
      <w:pPr>
        <w:snapToGrid w:val="0"/>
        <w:spacing w:before="50" w:after="50"/>
        <w:jc w:val="center"/>
        <w:rPr>
          <w:rFonts w:hint="eastAsia" w:ascii="宋体" w:hAnsi="宋体" w:eastAsia="宋体" w:cs="宋体"/>
          <w:b/>
          <w:bCs/>
          <w:spacing w:val="6"/>
          <w:sz w:val="32"/>
          <w:szCs w:val="32"/>
        </w:rPr>
      </w:pPr>
    </w:p>
    <w:p w14:paraId="61EF51CC">
      <w:pPr>
        <w:spacing w:line="48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（盖章）</w:t>
      </w:r>
    </w:p>
    <w:p w14:paraId="5AA0218F">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79FEAF03">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日期：_____年_____月_____日</w:t>
      </w:r>
    </w:p>
    <w:p w14:paraId="1800D401">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lang w:val="en-US" w:eastAsia="zh-CN"/>
        </w:rPr>
        <w:br w:type="page"/>
      </w:r>
    </w:p>
    <w:p w14:paraId="38849BFA">
      <w:pPr>
        <w:rPr>
          <w:rFonts w:hint="eastAsia" w:ascii="宋体" w:hAnsi="宋体" w:eastAsia="宋体" w:cs="宋体"/>
          <w:lang w:val="en-US" w:eastAsia="zh-CN"/>
        </w:rPr>
      </w:pPr>
    </w:p>
    <w:p w14:paraId="2FF6951B">
      <w:pPr>
        <w:pStyle w:val="3"/>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十一、根据评分细则及前附表需提供的其他资料（例如承诺函、“信用中国”等查询资料等，</w:t>
      </w:r>
      <w:r>
        <w:rPr>
          <w:rFonts w:hint="eastAsia" w:ascii="宋体" w:hAnsi="宋体" w:eastAsia="宋体" w:cs="宋体"/>
          <w:b/>
          <w:bCs/>
          <w:color w:val="auto"/>
          <w:sz w:val="32"/>
          <w:szCs w:val="32"/>
        </w:rPr>
        <w:t>格式自拟</w:t>
      </w:r>
      <w:r>
        <w:rPr>
          <w:rFonts w:hint="eastAsia" w:ascii="宋体" w:hAnsi="宋体" w:eastAsia="宋体" w:cs="宋体"/>
          <w:lang w:val="en-US" w:eastAsia="zh-CN"/>
        </w:rPr>
        <w:t>）</w:t>
      </w:r>
    </w:p>
    <w:p w14:paraId="7E593CD6">
      <w:pPr>
        <w:rPr>
          <w:rFonts w:hint="eastAsia"/>
        </w:rPr>
      </w:pPr>
      <w:r>
        <w:rPr>
          <w:rFonts w:hint="eastAsia"/>
        </w:rPr>
        <w:br w:type="page"/>
      </w:r>
    </w:p>
    <w:p w14:paraId="39259220">
      <w:pPr>
        <w:jc w:val="center"/>
        <w:rPr>
          <w:rFonts w:hint="eastAsia" w:ascii="宋体" w:hAnsi="宋体" w:eastAsia="宋体" w:cs="宋体"/>
          <w:b/>
          <w:bCs/>
          <w:color w:val="FF0000"/>
          <w:sz w:val="32"/>
          <w:szCs w:val="32"/>
          <w:lang w:val="en-US" w:eastAsia="zh-CN"/>
        </w:rPr>
      </w:pPr>
    </w:p>
    <w:p w14:paraId="556B4041">
      <w:pPr>
        <w:jc w:val="cente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温馨提示</w:t>
      </w:r>
    </w:p>
    <w:p w14:paraId="2E1AD493">
      <w:pPr>
        <w:pStyle w:val="2"/>
        <w:rPr>
          <w:rFonts w:hint="eastAsia" w:ascii="宋体" w:hAnsi="宋体" w:eastAsia="宋体" w:cs="宋体"/>
          <w:b/>
          <w:bCs/>
          <w:color w:val="FF0000"/>
          <w:sz w:val="32"/>
          <w:szCs w:val="32"/>
          <w:lang w:val="en-US" w:eastAsia="zh-CN"/>
        </w:rPr>
      </w:pPr>
      <w:r>
        <w:rPr>
          <w:rFonts w:hint="eastAsia" w:ascii="宋体" w:hAnsi="宋体" w:cs="宋体"/>
          <w:b/>
          <w:bCs/>
          <w:color w:val="FF0000"/>
          <w:sz w:val="32"/>
          <w:szCs w:val="32"/>
          <w:lang w:val="en-US" w:eastAsia="zh-CN"/>
        </w:rPr>
        <w:t>1.技术文件</w:t>
      </w:r>
      <w:r>
        <w:rPr>
          <w:rFonts w:hint="eastAsia" w:ascii="宋体" w:hAnsi="宋体" w:eastAsia="宋体" w:cs="宋体"/>
          <w:b/>
          <w:bCs/>
          <w:color w:val="FF0000"/>
          <w:sz w:val="32"/>
          <w:szCs w:val="32"/>
          <w:lang w:val="en-US" w:eastAsia="zh-CN"/>
        </w:rPr>
        <w:t>必须控制在</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00页以内，超过</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00页将作无效投标处理。</w:t>
      </w:r>
    </w:p>
    <w:p w14:paraId="15D6B997">
      <w:pPr>
        <w:pStyle w:val="2"/>
        <w:numPr>
          <w:ilvl w:val="0"/>
          <w:numId w:val="0"/>
        </w:numPr>
        <w:rPr>
          <w:rFonts w:hint="eastAsia" w:ascii="宋体" w:hAnsi="宋体" w:eastAsia="宋体" w:cs="宋体"/>
          <w:b/>
          <w:bCs/>
          <w:color w:val="FF0000"/>
          <w:sz w:val="32"/>
          <w:szCs w:val="32"/>
          <w:lang w:val="en-US" w:eastAsia="zh-CN"/>
        </w:rPr>
      </w:pPr>
      <w:r>
        <w:rPr>
          <w:rFonts w:hint="eastAsia" w:ascii="宋体" w:hAnsi="宋体" w:cs="宋体"/>
          <w:b/>
          <w:bCs/>
          <w:color w:val="FF0000"/>
          <w:sz w:val="32"/>
          <w:szCs w:val="32"/>
          <w:lang w:val="en-US" w:eastAsia="zh-CN"/>
        </w:rPr>
        <w:t>2.商务文件</w:t>
      </w:r>
      <w:r>
        <w:rPr>
          <w:rFonts w:hint="eastAsia" w:ascii="宋体" w:hAnsi="宋体" w:eastAsia="宋体" w:cs="宋体"/>
          <w:b/>
          <w:bCs/>
          <w:color w:val="FF0000"/>
          <w:sz w:val="32"/>
          <w:szCs w:val="32"/>
          <w:lang w:val="en-US" w:eastAsia="zh-CN"/>
        </w:rPr>
        <w:t>必须控制在</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00页以内，超过</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00页将作无效投标处理。</w:t>
      </w:r>
    </w:p>
    <w:p w14:paraId="50CF7798">
      <w:pPr>
        <w:rPr>
          <w:rFonts w:hint="eastAsia" w:ascii="宋体" w:hAnsi="宋体" w:eastAsia="宋体" w:cs="宋体"/>
          <w:b/>
          <w:bCs/>
          <w:color w:val="FF0000"/>
          <w:sz w:val="32"/>
          <w:szCs w:val="32"/>
          <w:lang w:val="en-US" w:eastAsia="zh-CN"/>
        </w:rPr>
      </w:pPr>
    </w:p>
    <w:p w14:paraId="352A0245">
      <w:pPr>
        <w:pStyle w:val="50"/>
        <w:rPr>
          <w:rFonts w:hint="default"/>
          <w:lang w:val="en-US" w:eastAsia="zh-CN"/>
        </w:rPr>
      </w:pPr>
      <w:r>
        <w:rPr>
          <w:rFonts w:hint="eastAsia" w:ascii="宋体" w:hAnsi="宋体" w:cs="宋体"/>
          <w:b/>
          <w:bCs/>
          <w:color w:val="FF0000"/>
          <w:sz w:val="32"/>
          <w:szCs w:val="32"/>
          <w:lang w:val="en-US" w:eastAsia="zh-CN"/>
        </w:rPr>
        <w:t>建议A4纸正反面打印！</w:t>
      </w:r>
    </w:p>
    <w:p w14:paraId="7E6445EF">
      <w:pPr>
        <w:widowControl w:val="0"/>
        <w:numPr>
          <w:ilvl w:val="0"/>
          <w:numId w:val="0"/>
        </w:numPr>
        <w:autoSpaceDE w:val="0"/>
        <w:autoSpaceDN w:val="0"/>
        <w:adjustRightInd w:val="0"/>
        <w:jc w:val="both"/>
        <w:rPr>
          <w:rFonts w:hint="eastAsia"/>
          <w:lang w:val="en-US" w:eastAsia="zh-CN"/>
        </w:rPr>
      </w:pPr>
    </w:p>
    <w:sectPr>
      <w:pgSz w:w="11906" w:h="16838"/>
      <w:pgMar w:top="1247" w:right="1417" w:bottom="1247" w:left="1417" w:header="567" w:footer="454" w:gutter="0"/>
      <w:pgNumType w:fmt="numberInDash"/>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2C53">
    <w:pPr>
      <w:pStyle w:val="31"/>
      <w:ind w:firstLine="360"/>
      <w:jc w:val="center"/>
    </w:pPr>
  </w:p>
  <w:p w14:paraId="1A17840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787D">
    <w:pPr>
      <w:pStyle w:val="31"/>
      <w:jc w:val="center"/>
    </w:pPr>
    <w:r>
      <w:fldChar w:fldCharType="begin"/>
    </w:r>
    <w:r>
      <w:instrText xml:space="preserve">PAGE   \* MERGEFORMAT</w:instrText>
    </w:r>
    <w:r>
      <w:fldChar w:fldCharType="separate"/>
    </w:r>
    <w:r>
      <w:rPr>
        <w:lang w:val="zh-CN"/>
      </w:rPr>
      <w:t>-</w:t>
    </w:r>
    <w:r>
      <w:t xml:space="preserve"> 2 -</w:t>
    </w:r>
    <w:r>
      <w:fldChar w:fldCharType="end"/>
    </w:r>
  </w:p>
  <w:p w14:paraId="446D2293">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06B7">
    <w:pPr>
      <w:pStyle w:val="31"/>
      <w:framePr w:wrap="around" w:vAnchor="text" w:hAnchor="margin" w:xAlign="center" w:y="1"/>
      <w:rPr>
        <w:rStyle w:val="56"/>
      </w:rPr>
    </w:pPr>
    <w:r>
      <w:fldChar w:fldCharType="begin"/>
    </w:r>
    <w:r>
      <w:rPr>
        <w:rStyle w:val="56"/>
      </w:rPr>
      <w:instrText xml:space="preserve">PAGE  </w:instrText>
    </w:r>
    <w:r>
      <w:fldChar w:fldCharType="end"/>
    </w:r>
  </w:p>
  <w:p w14:paraId="6075431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9599">
    <w:pPr>
      <w:pStyle w:val="31"/>
      <w:jc w:val="center"/>
    </w:pPr>
    <w:r>
      <w:fldChar w:fldCharType="begin"/>
    </w:r>
    <w:r>
      <w:instrText xml:space="preserve">PAGE   \* MERGEFORMAT</w:instrText>
    </w:r>
    <w:r>
      <w:fldChar w:fldCharType="separate"/>
    </w:r>
    <w:r>
      <w:rPr>
        <w:lang w:val="zh-CN"/>
      </w:rPr>
      <w:t>-</w:t>
    </w:r>
    <w:r>
      <w:t xml:space="preserve"> 1 -</w:t>
    </w:r>
    <w:r>
      <w:fldChar w:fldCharType="end"/>
    </w:r>
  </w:p>
  <w:p w14:paraId="45CC8CE4">
    <w:pPr>
      <w:pStyle w:val="31"/>
      <w:jc w:val="center"/>
      <w:rPr>
        <w:rFonts w:eastAsia="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221B">
    <w:pPr>
      <w:pStyle w:val="31"/>
      <w:jc w:val="center"/>
    </w:pPr>
    <w:r>
      <w:fldChar w:fldCharType="begin"/>
    </w:r>
    <w:r>
      <w:instrText xml:space="preserve">PAGE   \* MERGEFORMAT</w:instrText>
    </w:r>
    <w:r>
      <w:fldChar w:fldCharType="separate"/>
    </w:r>
    <w:r>
      <w:rPr>
        <w:lang w:val="zh-CN"/>
      </w:rPr>
      <w:t>-</w:t>
    </w:r>
    <w:r>
      <w:t xml:space="preserve"> 32 -</w:t>
    </w:r>
    <w:r>
      <w:fldChar w:fldCharType="end"/>
    </w:r>
  </w:p>
  <w:p w14:paraId="2C7EFA03">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B5D4">
    <w:pPr>
      <w:pStyle w:val="31"/>
      <w:jc w:val="center"/>
    </w:pPr>
    <w:r>
      <w:fldChar w:fldCharType="begin"/>
    </w:r>
    <w:r>
      <w:instrText xml:space="preserve">PAGE   \* MERGEFORMAT</w:instrText>
    </w:r>
    <w:r>
      <w:fldChar w:fldCharType="separate"/>
    </w:r>
    <w:r>
      <w:rPr>
        <w:lang w:val="zh-CN"/>
      </w:rPr>
      <w:t>-</w:t>
    </w:r>
    <w:r>
      <w:t xml:space="preserve"> 17 -</w:t>
    </w:r>
    <w:r>
      <w:fldChar w:fldCharType="end"/>
    </w:r>
  </w:p>
  <w:p w14:paraId="53DAE8ED">
    <w:pPr>
      <w:pStyle w:val="31"/>
      <w:jc w:val="center"/>
      <w:rPr>
        <w:rFonts w:eastAsia="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7343">
    <w:pPr>
      <w:pStyle w:val="31"/>
      <w:jc w:val="center"/>
    </w:pPr>
    <w:r>
      <w:fldChar w:fldCharType="begin"/>
    </w:r>
    <w:r>
      <w:instrText xml:space="preserve">PAGE   \* MERGEFORMAT</w:instrText>
    </w:r>
    <w:r>
      <w:fldChar w:fldCharType="separate"/>
    </w:r>
    <w:r>
      <w:rPr>
        <w:lang w:val="zh-CN"/>
      </w:rPr>
      <w:t>-</w:t>
    </w:r>
    <w:r>
      <w:t xml:space="preserve"> 26 -</w:t>
    </w:r>
    <w:r>
      <w:rPr>
        <w:lang w:val="zh-CN"/>
      </w:rPr>
      <w:fldChar w:fldCharType="end"/>
    </w:r>
  </w:p>
  <w:p w14:paraId="254DCCC2">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5C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BD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8460">
    <w:pPr>
      <w:pBdr>
        <w:bottom w:val="single" w:color="auto" w:sz="4" w:space="0"/>
      </w:pBdr>
      <w:jc w:val="center"/>
      <w:rPr>
        <w:rFonts w:hint="default" w:eastAsia="宋体"/>
        <w:lang w:val="en-US" w:eastAsia="zh-CN"/>
      </w:rPr>
    </w:pPr>
    <w:r>
      <w:rPr>
        <w:rFonts w:hint="eastAsia"/>
        <w:lang w:val="en-US" w:eastAsia="zh-CN"/>
      </w:rPr>
      <w:t>诸暨市教育体育局项目交易办公室招标文件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41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AE478"/>
    <w:multiLevelType w:val="singleLevel"/>
    <w:tmpl w:val="904AE478"/>
    <w:lvl w:ilvl="0" w:tentative="0">
      <w:start w:val="1"/>
      <w:numFmt w:val="decimal"/>
      <w:lvlText w:val="%1."/>
      <w:lvlJc w:val="left"/>
      <w:pPr>
        <w:tabs>
          <w:tab w:val="left" w:pos="312"/>
        </w:tabs>
      </w:pPr>
    </w:lvl>
  </w:abstractNum>
  <w:abstractNum w:abstractNumId="1">
    <w:nsid w:val="A22EAE6C"/>
    <w:multiLevelType w:val="singleLevel"/>
    <w:tmpl w:val="A22EAE6C"/>
    <w:lvl w:ilvl="0" w:tentative="0">
      <w:start w:val="5"/>
      <w:numFmt w:val="chineseCounting"/>
      <w:suff w:val="space"/>
      <w:lvlText w:val="第%1章"/>
      <w:lvlJc w:val="left"/>
      <w:rPr>
        <w:rFonts w:hint="eastAsia"/>
      </w:rPr>
    </w:lvl>
  </w:abstractNum>
  <w:abstractNum w:abstractNumId="2">
    <w:nsid w:val="C4CD5690"/>
    <w:multiLevelType w:val="singleLevel"/>
    <w:tmpl w:val="C4CD5690"/>
    <w:lvl w:ilvl="0" w:tentative="0">
      <w:start w:val="13"/>
      <w:numFmt w:val="decimal"/>
      <w:lvlText w:val="%1."/>
      <w:lvlJc w:val="left"/>
      <w:pPr>
        <w:tabs>
          <w:tab w:val="left" w:pos="312"/>
        </w:tabs>
      </w:pPr>
    </w:lvl>
  </w:abstractNum>
  <w:abstractNum w:abstractNumId="3">
    <w:nsid w:val="FFFFFF7E"/>
    <w:multiLevelType w:val="singleLevel"/>
    <w:tmpl w:val="FFFFFF7E"/>
    <w:lvl w:ilvl="0" w:tentative="0">
      <w:start w:val="1"/>
      <w:numFmt w:val="decimal"/>
      <w:pStyle w:val="216"/>
      <w:lvlText w:val="%1."/>
      <w:lvlJc w:val="left"/>
      <w:pPr>
        <w:tabs>
          <w:tab w:val="left" w:pos="1200"/>
        </w:tabs>
        <w:ind w:left="1200" w:hanging="360"/>
      </w:pPr>
    </w:lvl>
  </w:abstractNum>
  <w:abstractNum w:abstractNumId="4">
    <w:nsid w:val="00000006"/>
    <w:multiLevelType w:val="singleLevel"/>
    <w:tmpl w:val="00000006"/>
    <w:lvl w:ilvl="0" w:tentative="0">
      <w:start w:val="1"/>
      <w:numFmt w:val="decimal"/>
      <w:pStyle w:val="22"/>
      <w:lvlText w:val="%1."/>
      <w:lvlJc w:val="left"/>
      <w:pPr>
        <w:tabs>
          <w:tab w:val="left" w:pos="1200"/>
        </w:tabs>
        <w:ind w:left="1200" w:hanging="360"/>
      </w:pPr>
    </w:lvl>
  </w:abstractNum>
  <w:abstractNum w:abstractNumId="5">
    <w:nsid w:val="00000008"/>
    <w:multiLevelType w:val="multilevel"/>
    <w:tmpl w:val="00000008"/>
    <w:lvl w:ilvl="0" w:tentative="0">
      <w:start w:val="1"/>
      <w:numFmt w:val="bullet"/>
      <w:pStyle w:val="13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0000009"/>
    <w:multiLevelType w:val="multilevel"/>
    <w:tmpl w:val="00000009"/>
    <w:lvl w:ilvl="0" w:tentative="0">
      <w:start w:val="1"/>
      <w:numFmt w:val="decimal"/>
      <w:pStyle w:val="14"/>
      <w:lvlText w:val="%1、"/>
      <w:lvlJc w:val="left"/>
      <w:pPr>
        <w:tabs>
          <w:tab w:val="left" w:pos="360"/>
        </w:tabs>
        <w:ind w:left="360" w:hanging="360"/>
      </w:pPr>
      <w:rPr>
        <w:rFonts w:ascii="Times New Roman" w:hAnsi="Times New Roman" w:eastAsia="黑体" w:cs="Times New Roman"/>
      </w:rPr>
    </w:lvl>
    <w:lvl w:ilvl="1" w:tentative="0">
      <w:start w:val="2005"/>
      <w:numFmt w:val="decimal"/>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pStyle w:val="173"/>
      <w:lvlText w:val="%1、"/>
      <w:lvlJc w:val="left"/>
      <w:pPr>
        <w:tabs>
          <w:tab w:val="left" w:pos="360"/>
        </w:tabs>
        <w:ind w:left="360" w:hanging="360"/>
      </w:pPr>
      <w:rPr>
        <w:rFonts w:ascii="Times New Roman" w:hAnsi="Times New Roman" w:eastAsia="黑体" w:cs="Times New Roman"/>
      </w:rPr>
    </w:lvl>
    <w:lvl w:ilvl="1" w:tentative="0">
      <w:start w:val="2005"/>
      <w:numFmt w:val="decimal"/>
      <w:pStyle w:val="34"/>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ascii="仿宋_GB2312" w:hAnsi="宋体" w:eastAsia="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A760F1C"/>
    <w:multiLevelType w:val="multilevel"/>
    <w:tmpl w:val="0A760F1C"/>
    <w:lvl w:ilvl="0" w:tentative="0">
      <w:start w:val="1"/>
      <w:numFmt w:val="decimal"/>
      <w:pStyle w:val="234"/>
      <w:suff w:val="space"/>
      <w:lvlText w:val="第%1章"/>
      <w:lvlJc w:val="center"/>
      <w:pPr>
        <w:ind w:left="0" w:firstLine="288"/>
      </w:pPr>
      <w:rPr>
        <w:rFonts w:hint="eastAsia" w:ascii="黑体" w:hAnsi="黑体" w:eastAsia="黑体"/>
        <w:sz w:val="36"/>
      </w:rPr>
    </w:lvl>
    <w:lvl w:ilvl="1" w:tentative="0">
      <w:start w:val="1"/>
      <w:numFmt w:val="decimal"/>
      <w:pStyle w:val="245"/>
      <w:suff w:val="space"/>
      <w:lvlText w:val="%1.%2"/>
      <w:lvlJc w:val="left"/>
      <w:pPr>
        <w:ind w:left="0" w:firstLine="0"/>
      </w:pPr>
      <w:rPr>
        <w:rFonts w:hint="eastAsia" w:ascii="黑体" w:hAnsi="黑体" w:eastAsia="黑体"/>
        <w:sz w:val="30"/>
      </w:rPr>
    </w:lvl>
    <w:lvl w:ilvl="2" w:tentative="0">
      <w:start w:val="1"/>
      <w:numFmt w:val="decimal"/>
      <w:pStyle w:val="227"/>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pStyle w:val="238"/>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pStyle w:val="226"/>
      <w:lvlText w:val="%1.%2.%3.%4.%5.%6.%7"/>
      <w:lvlJc w:val="left"/>
      <w:pPr>
        <w:ind w:left="0" w:firstLine="0"/>
      </w:pPr>
      <w:rPr>
        <w:rFonts w:hint="eastAsia"/>
      </w:rPr>
    </w:lvl>
    <w:lvl w:ilvl="7" w:tentative="0">
      <w:start w:val="1"/>
      <w:numFmt w:val="decimal"/>
      <w:pStyle w:val="240"/>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33AB27E1"/>
    <w:multiLevelType w:val="singleLevel"/>
    <w:tmpl w:val="33AB27E1"/>
    <w:lvl w:ilvl="0" w:tentative="0">
      <w:start w:val="3"/>
      <w:numFmt w:val="chineseCounting"/>
      <w:suff w:val="nothing"/>
      <w:lvlText w:val="%1、"/>
      <w:lvlJc w:val="left"/>
      <w:rPr>
        <w:rFonts w:hint="eastAsia"/>
      </w:rPr>
    </w:lvl>
  </w:abstractNum>
  <w:abstractNum w:abstractNumId="10">
    <w:nsid w:val="4798592B"/>
    <w:multiLevelType w:val="multilevel"/>
    <w:tmpl w:val="4798592B"/>
    <w:lvl w:ilvl="0" w:tentative="0">
      <w:start w:val="1"/>
      <w:numFmt w:val="decimal"/>
      <w:pStyle w:val="213"/>
      <w:lvlText w:val="%1、"/>
      <w:lvlJc w:val="left"/>
      <w:pPr>
        <w:tabs>
          <w:tab w:val="left" w:pos="360"/>
        </w:tabs>
        <w:ind w:left="360" w:hanging="360"/>
      </w:pPr>
      <w:rPr>
        <w:rFonts w:ascii="Times New Roman" w:hAnsi="Times New Roman" w:eastAsia="黑体" w:cs="Times New Roman"/>
      </w:rPr>
    </w:lvl>
    <w:lvl w:ilvl="1" w:tentative="0">
      <w:start w:val="2005"/>
      <w:numFmt w:val="decimal"/>
      <w:pStyle w:val="244"/>
      <w:lvlText w:val="%2年"/>
      <w:lvlJc w:val="left"/>
      <w:pPr>
        <w:tabs>
          <w:tab w:val="left" w:pos="1620"/>
        </w:tabs>
        <w:ind w:left="1620" w:hanging="1200"/>
      </w:pPr>
      <w:rPr>
        <w:rFonts w:hint="eastAsia"/>
      </w:rPr>
    </w:lvl>
    <w:lvl w:ilvl="2" w:tentative="0">
      <w:start w:val="1"/>
      <w:numFmt w:val="decimal"/>
      <w:pStyle w:val="215"/>
      <w:lvlText w:val="（%3）"/>
      <w:lvlJc w:val="left"/>
      <w:pPr>
        <w:tabs>
          <w:tab w:val="left" w:pos="1560"/>
        </w:tabs>
        <w:ind w:left="1560" w:hanging="720"/>
      </w:pPr>
      <w:rPr>
        <w:rFonts w:hint="eastAsia"/>
      </w:rPr>
    </w:lvl>
    <w:lvl w:ilvl="3" w:tentative="0">
      <w:start w:val="1"/>
      <w:numFmt w:val="decimal"/>
      <w:pStyle w:val="2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F56743F"/>
    <w:multiLevelType w:val="multilevel"/>
    <w:tmpl w:val="6F56743F"/>
    <w:lvl w:ilvl="0" w:tentative="0">
      <w:start w:val="1"/>
      <w:numFmt w:val="decimalEnclosedCircle"/>
      <w:pStyle w:val="225"/>
      <w:lvlText w:val="%1"/>
      <w:lvlJc w:val="left"/>
      <w:pPr>
        <w:tabs>
          <w:tab w:val="left" w:pos="780"/>
        </w:tabs>
        <w:ind w:left="780" w:hanging="360"/>
      </w:pPr>
      <w:rPr>
        <w:rFonts w:ascii="宋体" w:hAnsi="宋体" w:eastAsia="宋体"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70E0079F"/>
    <w:multiLevelType w:val="multilevel"/>
    <w:tmpl w:val="70E0079F"/>
    <w:lvl w:ilvl="0" w:tentative="0">
      <w:start w:val="4"/>
      <w:numFmt w:val="japaneseCounting"/>
      <w:pStyle w:val="196"/>
      <w:lvlText w:val="%1、"/>
      <w:lvlJc w:val="left"/>
      <w:pPr>
        <w:tabs>
          <w:tab w:val="left" w:pos="885"/>
        </w:tabs>
        <w:ind w:left="885" w:hanging="885"/>
      </w:pPr>
      <w:rPr>
        <w:rFonts w:hint="default"/>
        <w:sz w:val="4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66F4AFF"/>
    <w:multiLevelType w:val="multilevel"/>
    <w:tmpl w:val="766F4AFF"/>
    <w:lvl w:ilvl="0" w:tentative="0">
      <w:start w:val="1"/>
      <w:numFmt w:val="decimal"/>
      <w:pStyle w:val="217"/>
      <w:lvlText w:val="%1、"/>
      <w:lvlJc w:val="left"/>
      <w:pPr>
        <w:tabs>
          <w:tab w:val="left" w:pos="780"/>
        </w:tabs>
        <w:ind w:left="780" w:hanging="360"/>
      </w:pPr>
      <w:rPr>
        <w:rFonts w:ascii="Times New Roman" w:hAnsi="Times New Roman" w:eastAsia="Times New Roman"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79C5C384"/>
    <w:multiLevelType w:val="singleLevel"/>
    <w:tmpl w:val="79C5C384"/>
    <w:lvl w:ilvl="0" w:tentative="0">
      <w:start w:val="6"/>
      <w:numFmt w:val="decimal"/>
      <w:lvlText w:val="%1."/>
      <w:lvlJc w:val="left"/>
      <w:pPr>
        <w:tabs>
          <w:tab w:val="left" w:pos="312"/>
        </w:tabs>
      </w:pPr>
    </w:lvl>
  </w:abstractNum>
  <w:num w:numId="1">
    <w:abstractNumId w:val="6"/>
  </w:num>
  <w:num w:numId="2">
    <w:abstractNumId w:val="4"/>
  </w:num>
  <w:num w:numId="3">
    <w:abstractNumId w:val="7"/>
  </w:num>
  <w:num w:numId="4">
    <w:abstractNumId w:val="5"/>
  </w:num>
  <w:num w:numId="5">
    <w:abstractNumId w:val="12"/>
  </w:num>
  <w:num w:numId="6">
    <w:abstractNumId w:val="10"/>
  </w:num>
  <w:num w:numId="7">
    <w:abstractNumId w:val="3"/>
  </w:num>
  <w:num w:numId="8">
    <w:abstractNumId w:val="13"/>
  </w:num>
  <w:num w:numId="9">
    <w:abstractNumId w:val="11"/>
  </w:num>
  <w:num w:numId="10">
    <w:abstractNumId w:val="8"/>
  </w:num>
  <w:num w:numId="11">
    <w:abstractNumId w:val="2"/>
  </w:num>
  <w:num w:numId="12">
    <w:abstractNumId w:val="0"/>
  </w:num>
  <w:num w:numId="13">
    <w:abstractNumId w:val="14"/>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CB"/>
    <w:rsid w:val="00001947"/>
    <w:rsid w:val="00001A6B"/>
    <w:rsid w:val="00002329"/>
    <w:rsid w:val="000036C9"/>
    <w:rsid w:val="00016978"/>
    <w:rsid w:val="000219CE"/>
    <w:rsid w:val="000229BF"/>
    <w:rsid w:val="0002311D"/>
    <w:rsid w:val="000245E6"/>
    <w:rsid w:val="000276D9"/>
    <w:rsid w:val="0003006E"/>
    <w:rsid w:val="00033C44"/>
    <w:rsid w:val="00035342"/>
    <w:rsid w:val="00036FB5"/>
    <w:rsid w:val="00043073"/>
    <w:rsid w:val="000437D2"/>
    <w:rsid w:val="00044EF2"/>
    <w:rsid w:val="00045CD8"/>
    <w:rsid w:val="00047353"/>
    <w:rsid w:val="00050006"/>
    <w:rsid w:val="00050EAF"/>
    <w:rsid w:val="00054C04"/>
    <w:rsid w:val="00055A60"/>
    <w:rsid w:val="000560AC"/>
    <w:rsid w:val="00061801"/>
    <w:rsid w:val="00061AC7"/>
    <w:rsid w:val="00061C4E"/>
    <w:rsid w:val="000626B1"/>
    <w:rsid w:val="00062AC7"/>
    <w:rsid w:val="000656EE"/>
    <w:rsid w:val="0006746C"/>
    <w:rsid w:val="000727B5"/>
    <w:rsid w:val="00074BC1"/>
    <w:rsid w:val="000753A6"/>
    <w:rsid w:val="00080C53"/>
    <w:rsid w:val="0008169B"/>
    <w:rsid w:val="00082372"/>
    <w:rsid w:val="00086F75"/>
    <w:rsid w:val="00094662"/>
    <w:rsid w:val="000947E3"/>
    <w:rsid w:val="00096E89"/>
    <w:rsid w:val="00097AD8"/>
    <w:rsid w:val="00097DBF"/>
    <w:rsid w:val="000A24C7"/>
    <w:rsid w:val="000A3127"/>
    <w:rsid w:val="000A48B5"/>
    <w:rsid w:val="000A4AE2"/>
    <w:rsid w:val="000A5E0E"/>
    <w:rsid w:val="000B2BFC"/>
    <w:rsid w:val="000B2DE5"/>
    <w:rsid w:val="000B51EE"/>
    <w:rsid w:val="000B5F4C"/>
    <w:rsid w:val="000C09CF"/>
    <w:rsid w:val="000C346C"/>
    <w:rsid w:val="000C4DD7"/>
    <w:rsid w:val="000C4FE3"/>
    <w:rsid w:val="000C528A"/>
    <w:rsid w:val="000C63B0"/>
    <w:rsid w:val="000D3DE2"/>
    <w:rsid w:val="000E2324"/>
    <w:rsid w:val="000E303A"/>
    <w:rsid w:val="000E634A"/>
    <w:rsid w:val="000F1F43"/>
    <w:rsid w:val="000F25F4"/>
    <w:rsid w:val="000F386B"/>
    <w:rsid w:val="000F5553"/>
    <w:rsid w:val="000F6828"/>
    <w:rsid w:val="00101084"/>
    <w:rsid w:val="001013F5"/>
    <w:rsid w:val="0010176F"/>
    <w:rsid w:val="001128A4"/>
    <w:rsid w:val="00112E76"/>
    <w:rsid w:val="0011404F"/>
    <w:rsid w:val="00125AF0"/>
    <w:rsid w:val="00130D92"/>
    <w:rsid w:val="001330BF"/>
    <w:rsid w:val="001331A1"/>
    <w:rsid w:val="00133D99"/>
    <w:rsid w:val="0013751F"/>
    <w:rsid w:val="0014171A"/>
    <w:rsid w:val="0014253F"/>
    <w:rsid w:val="00146C40"/>
    <w:rsid w:val="0015127F"/>
    <w:rsid w:val="00152712"/>
    <w:rsid w:val="00152CCE"/>
    <w:rsid w:val="00155402"/>
    <w:rsid w:val="00155945"/>
    <w:rsid w:val="00161308"/>
    <w:rsid w:val="001711DF"/>
    <w:rsid w:val="00171F6C"/>
    <w:rsid w:val="00174068"/>
    <w:rsid w:val="0018174D"/>
    <w:rsid w:val="00183693"/>
    <w:rsid w:val="001838AC"/>
    <w:rsid w:val="00183CC8"/>
    <w:rsid w:val="0018521C"/>
    <w:rsid w:val="00190411"/>
    <w:rsid w:val="00191CDC"/>
    <w:rsid w:val="001924C0"/>
    <w:rsid w:val="0019272C"/>
    <w:rsid w:val="00193885"/>
    <w:rsid w:val="0019393B"/>
    <w:rsid w:val="001A28F3"/>
    <w:rsid w:val="001A3F8A"/>
    <w:rsid w:val="001B034E"/>
    <w:rsid w:val="001B63CD"/>
    <w:rsid w:val="001C37DF"/>
    <w:rsid w:val="001C5BA7"/>
    <w:rsid w:val="001D08A5"/>
    <w:rsid w:val="001D182B"/>
    <w:rsid w:val="001D25E8"/>
    <w:rsid w:val="001D3691"/>
    <w:rsid w:val="001D3DA0"/>
    <w:rsid w:val="001D3DB3"/>
    <w:rsid w:val="001E3414"/>
    <w:rsid w:val="001E375B"/>
    <w:rsid w:val="001F0EC0"/>
    <w:rsid w:val="001F1059"/>
    <w:rsid w:val="001F3BFA"/>
    <w:rsid w:val="001F3DE9"/>
    <w:rsid w:val="00203649"/>
    <w:rsid w:val="00207DA6"/>
    <w:rsid w:val="00210566"/>
    <w:rsid w:val="002159F1"/>
    <w:rsid w:val="00216111"/>
    <w:rsid w:val="0022224F"/>
    <w:rsid w:val="00223FAE"/>
    <w:rsid w:val="00224D60"/>
    <w:rsid w:val="00224E29"/>
    <w:rsid w:val="0022600D"/>
    <w:rsid w:val="0023000E"/>
    <w:rsid w:val="00231016"/>
    <w:rsid w:val="00231201"/>
    <w:rsid w:val="00237A0D"/>
    <w:rsid w:val="00243697"/>
    <w:rsid w:val="00246B45"/>
    <w:rsid w:val="00253D4B"/>
    <w:rsid w:val="0025740C"/>
    <w:rsid w:val="002578BB"/>
    <w:rsid w:val="0026624C"/>
    <w:rsid w:val="00271F80"/>
    <w:rsid w:val="002755DD"/>
    <w:rsid w:val="00276263"/>
    <w:rsid w:val="002767D3"/>
    <w:rsid w:val="00280496"/>
    <w:rsid w:val="00280CEE"/>
    <w:rsid w:val="002810BE"/>
    <w:rsid w:val="00282888"/>
    <w:rsid w:val="00294E43"/>
    <w:rsid w:val="002A0874"/>
    <w:rsid w:val="002A1253"/>
    <w:rsid w:val="002A17B6"/>
    <w:rsid w:val="002A2F6A"/>
    <w:rsid w:val="002B098E"/>
    <w:rsid w:val="002B2C23"/>
    <w:rsid w:val="002B5D39"/>
    <w:rsid w:val="002B5D64"/>
    <w:rsid w:val="002C22A6"/>
    <w:rsid w:val="002C36D1"/>
    <w:rsid w:val="002C4262"/>
    <w:rsid w:val="002C5CC7"/>
    <w:rsid w:val="002D70A8"/>
    <w:rsid w:val="002D74EA"/>
    <w:rsid w:val="002D74EE"/>
    <w:rsid w:val="002E2BC8"/>
    <w:rsid w:val="002E355B"/>
    <w:rsid w:val="002E6790"/>
    <w:rsid w:val="002E797B"/>
    <w:rsid w:val="002E7EE8"/>
    <w:rsid w:val="002F0AD8"/>
    <w:rsid w:val="002F2582"/>
    <w:rsid w:val="002F3F52"/>
    <w:rsid w:val="00301C3A"/>
    <w:rsid w:val="00303D2B"/>
    <w:rsid w:val="00305277"/>
    <w:rsid w:val="003073ED"/>
    <w:rsid w:val="00311BF4"/>
    <w:rsid w:val="00311C0C"/>
    <w:rsid w:val="00312033"/>
    <w:rsid w:val="003133BE"/>
    <w:rsid w:val="003168AB"/>
    <w:rsid w:val="00317A80"/>
    <w:rsid w:val="003215A0"/>
    <w:rsid w:val="00326E70"/>
    <w:rsid w:val="00330FA4"/>
    <w:rsid w:val="00330FC1"/>
    <w:rsid w:val="0033356C"/>
    <w:rsid w:val="00334970"/>
    <w:rsid w:val="00335200"/>
    <w:rsid w:val="00335C0C"/>
    <w:rsid w:val="003404BA"/>
    <w:rsid w:val="00347145"/>
    <w:rsid w:val="00356651"/>
    <w:rsid w:val="0036246C"/>
    <w:rsid w:val="00365995"/>
    <w:rsid w:val="003669CF"/>
    <w:rsid w:val="0036776C"/>
    <w:rsid w:val="00367A90"/>
    <w:rsid w:val="00371593"/>
    <w:rsid w:val="003839AB"/>
    <w:rsid w:val="0038400B"/>
    <w:rsid w:val="00386EE4"/>
    <w:rsid w:val="00387FE6"/>
    <w:rsid w:val="00390B69"/>
    <w:rsid w:val="00390C24"/>
    <w:rsid w:val="00390F25"/>
    <w:rsid w:val="0039423E"/>
    <w:rsid w:val="00395920"/>
    <w:rsid w:val="00397427"/>
    <w:rsid w:val="003A05FC"/>
    <w:rsid w:val="003A250F"/>
    <w:rsid w:val="003A36DD"/>
    <w:rsid w:val="003B2A5A"/>
    <w:rsid w:val="003B60AB"/>
    <w:rsid w:val="003C4209"/>
    <w:rsid w:val="003C6C39"/>
    <w:rsid w:val="003C75B7"/>
    <w:rsid w:val="003C7DCA"/>
    <w:rsid w:val="003D2578"/>
    <w:rsid w:val="003E18A5"/>
    <w:rsid w:val="003E430C"/>
    <w:rsid w:val="003E793A"/>
    <w:rsid w:val="003F424F"/>
    <w:rsid w:val="004012B0"/>
    <w:rsid w:val="00405100"/>
    <w:rsid w:val="00406A98"/>
    <w:rsid w:val="00406B27"/>
    <w:rsid w:val="00411F9A"/>
    <w:rsid w:val="004128ED"/>
    <w:rsid w:val="00415FE2"/>
    <w:rsid w:val="0042711B"/>
    <w:rsid w:val="00430F62"/>
    <w:rsid w:val="0043119C"/>
    <w:rsid w:val="0043262F"/>
    <w:rsid w:val="004328E8"/>
    <w:rsid w:val="004347F1"/>
    <w:rsid w:val="004372E3"/>
    <w:rsid w:val="004401D5"/>
    <w:rsid w:val="0044040C"/>
    <w:rsid w:val="00443A89"/>
    <w:rsid w:val="00445186"/>
    <w:rsid w:val="0045107B"/>
    <w:rsid w:val="004515D3"/>
    <w:rsid w:val="0045267C"/>
    <w:rsid w:val="004556D8"/>
    <w:rsid w:val="004573D9"/>
    <w:rsid w:val="004578EF"/>
    <w:rsid w:val="00461EE2"/>
    <w:rsid w:val="004653FB"/>
    <w:rsid w:val="00466FF6"/>
    <w:rsid w:val="00470821"/>
    <w:rsid w:val="00471B14"/>
    <w:rsid w:val="00473529"/>
    <w:rsid w:val="0047617E"/>
    <w:rsid w:val="0047644A"/>
    <w:rsid w:val="00484309"/>
    <w:rsid w:val="004869F1"/>
    <w:rsid w:val="004876E8"/>
    <w:rsid w:val="00487AF3"/>
    <w:rsid w:val="00492335"/>
    <w:rsid w:val="00495F03"/>
    <w:rsid w:val="004967E9"/>
    <w:rsid w:val="00496AF3"/>
    <w:rsid w:val="00497B9D"/>
    <w:rsid w:val="004A133E"/>
    <w:rsid w:val="004A1C34"/>
    <w:rsid w:val="004A5537"/>
    <w:rsid w:val="004A5ADE"/>
    <w:rsid w:val="004B65FF"/>
    <w:rsid w:val="004B6BD0"/>
    <w:rsid w:val="004B6CBB"/>
    <w:rsid w:val="004C20BB"/>
    <w:rsid w:val="004C412D"/>
    <w:rsid w:val="004C5625"/>
    <w:rsid w:val="004C7D6A"/>
    <w:rsid w:val="004C7FB4"/>
    <w:rsid w:val="004D0548"/>
    <w:rsid w:val="004D1E84"/>
    <w:rsid w:val="004E613B"/>
    <w:rsid w:val="004E6BE6"/>
    <w:rsid w:val="004E725E"/>
    <w:rsid w:val="004F23AE"/>
    <w:rsid w:val="004F4040"/>
    <w:rsid w:val="00503166"/>
    <w:rsid w:val="0050530F"/>
    <w:rsid w:val="00505E01"/>
    <w:rsid w:val="005065F4"/>
    <w:rsid w:val="00513F2D"/>
    <w:rsid w:val="00515801"/>
    <w:rsid w:val="00515A52"/>
    <w:rsid w:val="00521CC0"/>
    <w:rsid w:val="00522A38"/>
    <w:rsid w:val="00523447"/>
    <w:rsid w:val="00524375"/>
    <w:rsid w:val="00526D66"/>
    <w:rsid w:val="0052700E"/>
    <w:rsid w:val="00527E07"/>
    <w:rsid w:val="005306A7"/>
    <w:rsid w:val="00534963"/>
    <w:rsid w:val="005355A0"/>
    <w:rsid w:val="005362BE"/>
    <w:rsid w:val="00540816"/>
    <w:rsid w:val="00540DEA"/>
    <w:rsid w:val="005417CB"/>
    <w:rsid w:val="00542FF9"/>
    <w:rsid w:val="00543542"/>
    <w:rsid w:val="005512BA"/>
    <w:rsid w:val="005522E4"/>
    <w:rsid w:val="0055318E"/>
    <w:rsid w:val="0056186E"/>
    <w:rsid w:val="00561FCA"/>
    <w:rsid w:val="00563FEB"/>
    <w:rsid w:val="00566907"/>
    <w:rsid w:val="005674E7"/>
    <w:rsid w:val="00567837"/>
    <w:rsid w:val="00570845"/>
    <w:rsid w:val="00570CDD"/>
    <w:rsid w:val="00571398"/>
    <w:rsid w:val="00573A24"/>
    <w:rsid w:val="0057624C"/>
    <w:rsid w:val="005767C0"/>
    <w:rsid w:val="0058058F"/>
    <w:rsid w:val="005824DB"/>
    <w:rsid w:val="00582C06"/>
    <w:rsid w:val="005911ED"/>
    <w:rsid w:val="00596A18"/>
    <w:rsid w:val="005A149D"/>
    <w:rsid w:val="005A4254"/>
    <w:rsid w:val="005A43D3"/>
    <w:rsid w:val="005A4D69"/>
    <w:rsid w:val="005A5AB0"/>
    <w:rsid w:val="005B0F1E"/>
    <w:rsid w:val="005B2078"/>
    <w:rsid w:val="005B3350"/>
    <w:rsid w:val="005B4114"/>
    <w:rsid w:val="005B4866"/>
    <w:rsid w:val="005B5C49"/>
    <w:rsid w:val="005B5DA4"/>
    <w:rsid w:val="005C0504"/>
    <w:rsid w:val="005C42EA"/>
    <w:rsid w:val="005D04F8"/>
    <w:rsid w:val="005D0D52"/>
    <w:rsid w:val="005D3D01"/>
    <w:rsid w:val="005D5B4B"/>
    <w:rsid w:val="005E0AF4"/>
    <w:rsid w:val="005E26F0"/>
    <w:rsid w:val="005E27FE"/>
    <w:rsid w:val="005E6428"/>
    <w:rsid w:val="005E7D41"/>
    <w:rsid w:val="005E7FDA"/>
    <w:rsid w:val="005F0144"/>
    <w:rsid w:val="005F2B32"/>
    <w:rsid w:val="005F37EB"/>
    <w:rsid w:val="005F3AAB"/>
    <w:rsid w:val="005F476B"/>
    <w:rsid w:val="005F6E8A"/>
    <w:rsid w:val="005F7F14"/>
    <w:rsid w:val="00602465"/>
    <w:rsid w:val="00602C30"/>
    <w:rsid w:val="00604A92"/>
    <w:rsid w:val="00610597"/>
    <w:rsid w:val="0062336D"/>
    <w:rsid w:val="00623D6B"/>
    <w:rsid w:val="006245AA"/>
    <w:rsid w:val="0062653B"/>
    <w:rsid w:val="00626E90"/>
    <w:rsid w:val="0063197B"/>
    <w:rsid w:val="00633599"/>
    <w:rsid w:val="00633AE5"/>
    <w:rsid w:val="006342A3"/>
    <w:rsid w:val="0064311C"/>
    <w:rsid w:val="0064348E"/>
    <w:rsid w:val="0064465E"/>
    <w:rsid w:val="00646425"/>
    <w:rsid w:val="00647195"/>
    <w:rsid w:val="00651ED3"/>
    <w:rsid w:val="00652554"/>
    <w:rsid w:val="00654458"/>
    <w:rsid w:val="006619BD"/>
    <w:rsid w:val="00661B29"/>
    <w:rsid w:val="0066236F"/>
    <w:rsid w:val="006637E0"/>
    <w:rsid w:val="00664652"/>
    <w:rsid w:val="00664CF4"/>
    <w:rsid w:val="00673733"/>
    <w:rsid w:val="00676D5F"/>
    <w:rsid w:val="00680BC5"/>
    <w:rsid w:val="00681C1A"/>
    <w:rsid w:val="00686810"/>
    <w:rsid w:val="006872BD"/>
    <w:rsid w:val="00693967"/>
    <w:rsid w:val="0069452D"/>
    <w:rsid w:val="006957EF"/>
    <w:rsid w:val="00697C06"/>
    <w:rsid w:val="006A1AF3"/>
    <w:rsid w:val="006A61BD"/>
    <w:rsid w:val="006A61C0"/>
    <w:rsid w:val="006A67E1"/>
    <w:rsid w:val="006A7DD7"/>
    <w:rsid w:val="006B0D4F"/>
    <w:rsid w:val="006B5AEB"/>
    <w:rsid w:val="006B6E10"/>
    <w:rsid w:val="006B7A37"/>
    <w:rsid w:val="006C05D5"/>
    <w:rsid w:val="006C0E8E"/>
    <w:rsid w:val="006C12EC"/>
    <w:rsid w:val="006C3497"/>
    <w:rsid w:val="006C798B"/>
    <w:rsid w:val="006D08E4"/>
    <w:rsid w:val="006D0A0F"/>
    <w:rsid w:val="006D274C"/>
    <w:rsid w:val="006D5419"/>
    <w:rsid w:val="006E56DF"/>
    <w:rsid w:val="006E6868"/>
    <w:rsid w:val="006E717F"/>
    <w:rsid w:val="006F25F4"/>
    <w:rsid w:val="006F2F4C"/>
    <w:rsid w:val="006F552A"/>
    <w:rsid w:val="006F7356"/>
    <w:rsid w:val="006F7564"/>
    <w:rsid w:val="006F75C1"/>
    <w:rsid w:val="006F7A19"/>
    <w:rsid w:val="007006FD"/>
    <w:rsid w:val="00703EBF"/>
    <w:rsid w:val="00705340"/>
    <w:rsid w:val="00705A07"/>
    <w:rsid w:val="00706D05"/>
    <w:rsid w:val="007073A5"/>
    <w:rsid w:val="007077B2"/>
    <w:rsid w:val="007141FD"/>
    <w:rsid w:val="00721BFF"/>
    <w:rsid w:val="00722033"/>
    <w:rsid w:val="00723CEB"/>
    <w:rsid w:val="0072485B"/>
    <w:rsid w:val="0072632B"/>
    <w:rsid w:val="00726CE6"/>
    <w:rsid w:val="00735425"/>
    <w:rsid w:val="00736F3C"/>
    <w:rsid w:val="0074002D"/>
    <w:rsid w:val="00740803"/>
    <w:rsid w:val="0074268E"/>
    <w:rsid w:val="00744EF0"/>
    <w:rsid w:val="00745690"/>
    <w:rsid w:val="007472D2"/>
    <w:rsid w:val="007475DB"/>
    <w:rsid w:val="00747604"/>
    <w:rsid w:val="00751B58"/>
    <w:rsid w:val="00752F36"/>
    <w:rsid w:val="00754AFE"/>
    <w:rsid w:val="00757438"/>
    <w:rsid w:val="00760060"/>
    <w:rsid w:val="007639BE"/>
    <w:rsid w:val="00764D30"/>
    <w:rsid w:val="00765C04"/>
    <w:rsid w:val="007717DF"/>
    <w:rsid w:val="007735C6"/>
    <w:rsid w:val="00776947"/>
    <w:rsid w:val="00776D00"/>
    <w:rsid w:val="00776E51"/>
    <w:rsid w:val="00777240"/>
    <w:rsid w:val="007776DA"/>
    <w:rsid w:val="0078026F"/>
    <w:rsid w:val="00781122"/>
    <w:rsid w:val="00782AFF"/>
    <w:rsid w:val="0078333F"/>
    <w:rsid w:val="00784A49"/>
    <w:rsid w:val="00785257"/>
    <w:rsid w:val="00790264"/>
    <w:rsid w:val="00795CFA"/>
    <w:rsid w:val="007A0774"/>
    <w:rsid w:val="007A2F9E"/>
    <w:rsid w:val="007A3EC4"/>
    <w:rsid w:val="007B0BF7"/>
    <w:rsid w:val="007B10DE"/>
    <w:rsid w:val="007B36E7"/>
    <w:rsid w:val="007C13EE"/>
    <w:rsid w:val="007D1098"/>
    <w:rsid w:val="007D1F99"/>
    <w:rsid w:val="007D4E0E"/>
    <w:rsid w:val="007D536C"/>
    <w:rsid w:val="007D60C3"/>
    <w:rsid w:val="007D6F9A"/>
    <w:rsid w:val="007D7B42"/>
    <w:rsid w:val="007D7F56"/>
    <w:rsid w:val="007E10F3"/>
    <w:rsid w:val="007E7068"/>
    <w:rsid w:val="007F0E0E"/>
    <w:rsid w:val="007F10E6"/>
    <w:rsid w:val="007F3BA2"/>
    <w:rsid w:val="007F7C22"/>
    <w:rsid w:val="00801BDA"/>
    <w:rsid w:val="00804EF5"/>
    <w:rsid w:val="00806DAF"/>
    <w:rsid w:val="00810F44"/>
    <w:rsid w:val="008124A0"/>
    <w:rsid w:val="00813EA9"/>
    <w:rsid w:val="0081506F"/>
    <w:rsid w:val="00815121"/>
    <w:rsid w:val="0081656C"/>
    <w:rsid w:val="00820E16"/>
    <w:rsid w:val="008305CD"/>
    <w:rsid w:val="00833D34"/>
    <w:rsid w:val="00835D48"/>
    <w:rsid w:val="00836516"/>
    <w:rsid w:val="00841BEE"/>
    <w:rsid w:val="00843D2B"/>
    <w:rsid w:val="00843DDF"/>
    <w:rsid w:val="0084557D"/>
    <w:rsid w:val="0085117B"/>
    <w:rsid w:val="0085228A"/>
    <w:rsid w:val="00855E3E"/>
    <w:rsid w:val="0086096F"/>
    <w:rsid w:val="008619FA"/>
    <w:rsid w:val="0086256C"/>
    <w:rsid w:val="00862B87"/>
    <w:rsid w:val="0086461E"/>
    <w:rsid w:val="008646A6"/>
    <w:rsid w:val="00864711"/>
    <w:rsid w:val="00864BF3"/>
    <w:rsid w:val="00864EA4"/>
    <w:rsid w:val="00865369"/>
    <w:rsid w:val="0086539F"/>
    <w:rsid w:val="00870A1F"/>
    <w:rsid w:val="00872DF9"/>
    <w:rsid w:val="00875102"/>
    <w:rsid w:val="00876895"/>
    <w:rsid w:val="008823B3"/>
    <w:rsid w:val="008827D2"/>
    <w:rsid w:val="008837F1"/>
    <w:rsid w:val="00886422"/>
    <w:rsid w:val="0088702A"/>
    <w:rsid w:val="00887EAD"/>
    <w:rsid w:val="008927E8"/>
    <w:rsid w:val="008A1B7C"/>
    <w:rsid w:val="008A2811"/>
    <w:rsid w:val="008A4F6C"/>
    <w:rsid w:val="008A6328"/>
    <w:rsid w:val="008B261B"/>
    <w:rsid w:val="008B2632"/>
    <w:rsid w:val="008B3206"/>
    <w:rsid w:val="008B564C"/>
    <w:rsid w:val="008B7B40"/>
    <w:rsid w:val="008C2666"/>
    <w:rsid w:val="008C50DF"/>
    <w:rsid w:val="008C6681"/>
    <w:rsid w:val="008C743B"/>
    <w:rsid w:val="008C7D92"/>
    <w:rsid w:val="008D1A48"/>
    <w:rsid w:val="008D2D5C"/>
    <w:rsid w:val="008D6777"/>
    <w:rsid w:val="008E09DD"/>
    <w:rsid w:val="008E20F7"/>
    <w:rsid w:val="008E4605"/>
    <w:rsid w:val="008E5592"/>
    <w:rsid w:val="008E5AF2"/>
    <w:rsid w:val="008E62D3"/>
    <w:rsid w:val="008F07CB"/>
    <w:rsid w:val="008F321E"/>
    <w:rsid w:val="008F501B"/>
    <w:rsid w:val="008F7BC6"/>
    <w:rsid w:val="00902576"/>
    <w:rsid w:val="00902695"/>
    <w:rsid w:val="009062EC"/>
    <w:rsid w:val="00906509"/>
    <w:rsid w:val="009102E3"/>
    <w:rsid w:val="0091201E"/>
    <w:rsid w:val="00914ADA"/>
    <w:rsid w:val="00915236"/>
    <w:rsid w:val="00916541"/>
    <w:rsid w:val="009214E1"/>
    <w:rsid w:val="0092228B"/>
    <w:rsid w:val="00922D73"/>
    <w:rsid w:val="00925122"/>
    <w:rsid w:val="00925488"/>
    <w:rsid w:val="0093153B"/>
    <w:rsid w:val="00932ECA"/>
    <w:rsid w:val="009330A3"/>
    <w:rsid w:val="00934748"/>
    <w:rsid w:val="00940580"/>
    <w:rsid w:val="009461C1"/>
    <w:rsid w:val="00952488"/>
    <w:rsid w:val="00953865"/>
    <w:rsid w:val="00954B8C"/>
    <w:rsid w:val="00960111"/>
    <w:rsid w:val="00964891"/>
    <w:rsid w:val="00967B58"/>
    <w:rsid w:val="009705A4"/>
    <w:rsid w:val="00970ADC"/>
    <w:rsid w:val="009741B3"/>
    <w:rsid w:val="00974209"/>
    <w:rsid w:val="009745E6"/>
    <w:rsid w:val="009813BE"/>
    <w:rsid w:val="0098315A"/>
    <w:rsid w:val="009840D6"/>
    <w:rsid w:val="00984352"/>
    <w:rsid w:val="0098472B"/>
    <w:rsid w:val="00985612"/>
    <w:rsid w:val="009874B3"/>
    <w:rsid w:val="00987BA0"/>
    <w:rsid w:val="00990DDF"/>
    <w:rsid w:val="00993BC8"/>
    <w:rsid w:val="0099504A"/>
    <w:rsid w:val="00996F4B"/>
    <w:rsid w:val="009975AE"/>
    <w:rsid w:val="009A0187"/>
    <w:rsid w:val="009A05E9"/>
    <w:rsid w:val="009A126D"/>
    <w:rsid w:val="009A14A8"/>
    <w:rsid w:val="009A46E8"/>
    <w:rsid w:val="009A5DED"/>
    <w:rsid w:val="009A6177"/>
    <w:rsid w:val="009B29D5"/>
    <w:rsid w:val="009B33CF"/>
    <w:rsid w:val="009B3767"/>
    <w:rsid w:val="009B49A5"/>
    <w:rsid w:val="009B70E6"/>
    <w:rsid w:val="009B76AB"/>
    <w:rsid w:val="009B7E8D"/>
    <w:rsid w:val="009C0701"/>
    <w:rsid w:val="009C0BE7"/>
    <w:rsid w:val="009C47C4"/>
    <w:rsid w:val="009C4AA5"/>
    <w:rsid w:val="009C4E93"/>
    <w:rsid w:val="009C69DB"/>
    <w:rsid w:val="009C6C7E"/>
    <w:rsid w:val="009D3C07"/>
    <w:rsid w:val="009D470C"/>
    <w:rsid w:val="009D4DF8"/>
    <w:rsid w:val="009D5FB8"/>
    <w:rsid w:val="009E16E5"/>
    <w:rsid w:val="009E1A9F"/>
    <w:rsid w:val="009E2607"/>
    <w:rsid w:val="009E50C0"/>
    <w:rsid w:val="009F0653"/>
    <w:rsid w:val="009F32E6"/>
    <w:rsid w:val="009F421E"/>
    <w:rsid w:val="009F4E0E"/>
    <w:rsid w:val="009F510B"/>
    <w:rsid w:val="009F66D1"/>
    <w:rsid w:val="009F7C50"/>
    <w:rsid w:val="00A01A2C"/>
    <w:rsid w:val="00A02921"/>
    <w:rsid w:val="00A03168"/>
    <w:rsid w:val="00A03661"/>
    <w:rsid w:val="00A04784"/>
    <w:rsid w:val="00A10882"/>
    <w:rsid w:val="00A1241F"/>
    <w:rsid w:val="00A126FB"/>
    <w:rsid w:val="00A143B0"/>
    <w:rsid w:val="00A14A8C"/>
    <w:rsid w:val="00A2043D"/>
    <w:rsid w:val="00A22E66"/>
    <w:rsid w:val="00A30B86"/>
    <w:rsid w:val="00A32303"/>
    <w:rsid w:val="00A33AA2"/>
    <w:rsid w:val="00A33B27"/>
    <w:rsid w:val="00A33FC8"/>
    <w:rsid w:val="00A34998"/>
    <w:rsid w:val="00A379E1"/>
    <w:rsid w:val="00A44099"/>
    <w:rsid w:val="00A46B53"/>
    <w:rsid w:val="00A47EE4"/>
    <w:rsid w:val="00A545FB"/>
    <w:rsid w:val="00A54D36"/>
    <w:rsid w:val="00A5512A"/>
    <w:rsid w:val="00A60B8D"/>
    <w:rsid w:val="00A60BFC"/>
    <w:rsid w:val="00A62B33"/>
    <w:rsid w:val="00A64050"/>
    <w:rsid w:val="00A64591"/>
    <w:rsid w:val="00A65502"/>
    <w:rsid w:val="00A6577B"/>
    <w:rsid w:val="00A66071"/>
    <w:rsid w:val="00A71026"/>
    <w:rsid w:val="00A71AA3"/>
    <w:rsid w:val="00A75172"/>
    <w:rsid w:val="00A87D22"/>
    <w:rsid w:val="00A87DA4"/>
    <w:rsid w:val="00A90FE2"/>
    <w:rsid w:val="00A94AD2"/>
    <w:rsid w:val="00A9788C"/>
    <w:rsid w:val="00AA07E3"/>
    <w:rsid w:val="00AA0836"/>
    <w:rsid w:val="00AA4F77"/>
    <w:rsid w:val="00AA5015"/>
    <w:rsid w:val="00AB27BE"/>
    <w:rsid w:val="00AB3298"/>
    <w:rsid w:val="00AB5B41"/>
    <w:rsid w:val="00AB676C"/>
    <w:rsid w:val="00AB6B1D"/>
    <w:rsid w:val="00AB7D05"/>
    <w:rsid w:val="00AC3B53"/>
    <w:rsid w:val="00AC4AEB"/>
    <w:rsid w:val="00AC4D1A"/>
    <w:rsid w:val="00AD00F7"/>
    <w:rsid w:val="00AD190C"/>
    <w:rsid w:val="00AD4D52"/>
    <w:rsid w:val="00AD4DB1"/>
    <w:rsid w:val="00AD79BF"/>
    <w:rsid w:val="00AE17C4"/>
    <w:rsid w:val="00AE3646"/>
    <w:rsid w:val="00AE4404"/>
    <w:rsid w:val="00AE4F8A"/>
    <w:rsid w:val="00AE60E4"/>
    <w:rsid w:val="00AE70B7"/>
    <w:rsid w:val="00AF01E9"/>
    <w:rsid w:val="00AF0842"/>
    <w:rsid w:val="00AF11CB"/>
    <w:rsid w:val="00AF1A04"/>
    <w:rsid w:val="00AF4210"/>
    <w:rsid w:val="00AF52FB"/>
    <w:rsid w:val="00B01322"/>
    <w:rsid w:val="00B1021B"/>
    <w:rsid w:val="00B1677E"/>
    <w:rsid w:val="00B17503"/>
    <w:rsid w:val="00B20D1E"/>
    <w:rsid w:val="00B2432A"/>
    <w:rsid w:val="00B24CB4"/>
    <w:rsid w:val="00B327F9"/>
    <w:rsid w:val="00B32843"/>
    <w:rsid w:val="00B36E0C"/>
    <w:rsid w:val="00B40107"/>
    <w:rsid w:val="00B4256C"/>
    <w:rsid w:val="00B44C56"/>
    <w:rsid w:val="00B5066E"/>
    <w:rsid w:val="00B52368"/>
    <w:rsid w:val="00B5448C"/>
    <w:rsid w:val="00B56041"/>
    <w:rsid w:val="00B61252"/>
    <w:rsid w:val="00B61311"/>
    <w:rsid w:val="00B617CC"/>
    <w:rsid w:val="00B64909"/>
    <w:rsid w:val="00B651FA"/>
    <w:rsid w:val="00B67D42"/>
    <w:rsid w:val="00B70B54"/>
    <w:rsid w:val="00B7128F"/>
    <w:rsid w:val="00B72E3F"/>
    <w:rsid w:val="00B7647D"/>
    <w:rsid w:val="00B767BF"/>
    <w:rsid w:val="00B82EEB"/>
    <w:rsid w:val="00B82F93"/>
    <w:rsid w:val="00B8512A"/>
    <w:rsid w:val="00B86B6A"/>
    <w:rsid w:val="00B90210"/>
    <w:rsid w:val="00B90272"/>
    <w:rsid w:val="00BA312E"/>
    <w:rsid w:val="00BA3B35"/>
    <w:rsid w:val="00BA4F59"/>
    <w:rsid w:val="00BA5499"/>
    <w:rsid w:val="00BA6C37"/>
    <w:rsid w:val="00BA7A95"/>
    <w:rsid w:val="00BA7DD6"/>
    <w:rsid w:val="00BB0C37"/>
    <w:rsid w:val="00BB3FAA"/>
    <w:rsid w:val="00BB40C5"/>
    <w:rsid w:val="00BB4D68"/>
    <w:rsid w:val="00BC1B6C"/>
    <w:rsid w:val="00BC1D92"/>
    <w:rsid w:val="00BC356A"/>
    <w:rsid w:val="00BC41E7"/>
    <w:rsid w:val="00BC4B8C"/>
    <w:rsid w:val="00BC4CB8"/>
    <w:rsid w:val="00BD3031"/>
    <w:rsid w:val="00BD5D71"/>
    <w:rsid w:val="00BE0AAE"/>
    <w:rsid w:val="00BE10C6"/>
    <w:rsid w:val="00BE392F"/>
    <w:rsid w:val="00BE5F14"/>
    <w:rsid w:val="00BE619C"/>
    <w:rsid w:val="00BE61B2"/>
    <w:rsid w:val="00BF7E2B"/>
    <w:rsid w:val="00C01C3C"/>
    <w:rsid w:val="00C02613"/>
    <w:rsid w:val="00C0334F"/>
    <w:rsid w:val="00C04F61"/>
    <w:rsid w:val="00C12E19"/>
    <w:rsid w:val="00C14CFB"/>
    <w:rsid w:val="00C154B5"/>
    <w:rsid w:val="00C211B2"/>
    <w:rsid w:val="00C22423"/>
    <w:rsid w:val="00C2325A"/>
    <w:rsid w:val="00C24349"/>
    <w:rsid w:val="00C2452E"/>
    <w:rsid w:val="00C2705B"/>
    <w:rsid w:val="00C30557"/>
    <w:rsid w:val="00C319AC"/>
    <w:rsid w:val="00C35D15"/>
    <w:rsid w:val="00C36385"/>
    <w:rsid w:val="00C44BA7"/>
    <w:rsid w:val="00C44D11"/>
    <w:rsid w:val="00C46FF4"/>
    <w:rsid w:val="00C473C1"/>
    <w:rsid w:val="00C53EF3"/>
    <w:rsid w:val="00C54DBA"/>
    <w:rsid w:val="00C54DBC"/>
    <w:rsid w:val="00C5542E"/>
    <w:rsid w:val="00C56093"/>
    <w:rsid w:val="00C6262E"/>
    <w:rsid w:val="00C645DE"/>
    <w:rsid w:val="00C6599D"/>
    <w:rsid w:val="00C7024E"/>
    <w:rsid w:val="00C73198"/>
    <w:rsid w:val="00C74D3D"/>
    <w:rsid w:val="00C7617E"/>
    <w:rsid w:val="00C90BA0"/>
    <w:rsid w:val="00C92CFD"/>
    <w:rsid w:val="00C94B3E"/>
    <w:rsid w:val="00C965E2"/>
    <w:rsid w:val="00CA0C1D"/>
    <w:rsid w:val="00CA2263"/>
    <w:rsid w:val="00CA44DF"/>
    <w:rsid w:val="00CA4629"/>
    <w:rsid w:val="00CA5BCA"/>
    <w:rsid w:val="00CA72EB"/>
    <w:rsid w:val="00CB164C"/>
    <w:rsid w:val="00CB2CFA"/>
    <w:rsid w:val="00CB35EC"/>
    <w:rsid w:val="00CB39A0"/>
    <w:rsid w:val="00CB4398"/>
    <w:rsid w:val="00CB4E3E"/>
    <w:rsid w:val="00CB4EC9"/>
    <w:rsid w:val="00CB5305"/>
    <w:rsid w:val="00CB7983"/>
    <w:rsid w:val="00CC153A"/>
    <w:rsid w:val="00CD21E6"/>
    <w:rsid w:val="00CD5E14"/>
    <w:rsid w:val="00CE03F7"/>
    <w:rsid w:val="00CE0BD5"/>
    <w:rsid w:val="00CE4235"/>
    <w:rsid w:val="00CE5033"/>
    <w:rsid w:val="00CE5234"/>
    <w:rsid w:val="00CE589C"/>
    <w:rsid w:val="00CE6555"/>
    <w:rsid w:val="00CE74AA"/>
    <w:rsid w:val="00CF1CE9"/>
    <w:rsid w:val="00CF6E49"/>
    <w:rsid w:val="00CF7219"/>
    <w:rsid w:val="00D02376"/>
    <w:rsid w:val="00D024C5"/>
    <w:rsid w:val="00D05520"/>
    <w:rsid w:val="00D05AF5"/>
    <w:rsid w:val="00D071F8"/>
    <w:rsid w:val="00D07612"/>
    <w:rsid w:val="00D151C5"/>
    <w:rsid w:val="00D16A12"/>
    <w:rsid w:val="00D20679"/>
    <w:rsid w:val="00D22D1A"/>
    <w:rsid w:val="00D23E5D"/>
    <w:rsid w:val="00D249E0"/>
    <w:rsid w:val="00D30F3F"/>
    <w:rsid w:val="00D313E1"/>
    <w:rsid w:val="00D3330F"/>
    <w:rsid w:val="00D33B72"/>
    <w:rsid w:val="00D358FC"/>
    <w:rsid w:val="00D37B7B"/>
    <w:rsid w:val="00D41825"/>
    <w:rsid w:val="00D428F5"/>
    <w:rsid w:val="00D43035"/>
    <w:rsid w:val="00D446A1"/>
    <w:rsid w:val="00D452C8"/>
    <w:rsid w:val="00D45732"/>
    <w:rsid w:val="00D45D76"/>
    <w:rsid w:val="00D45E16"/>
    <w:rsid w:val="00D46CE6"/>
    <w:rsid w:val="00D51E18"/>
    <w:rsid w:val="00D52B3D"/>
    <w:rsid w:val="00D53C92"/>
    <w:rsid w:val="00D55DA3"/>
    <w:rsid w:val="00D56AF4"/>
    <w:rsid w:val="00D56E89"/>
    <w:rsid w:val="00D62379"/>
    <w:rsid w:val="00D62BC3"/>
    <w:rsid w:val="00D62D44"/>
    <w:rsid w:val="00D6437E"/>
    <w:rsid w:val="00D661FE"/>
    <w:rsid w:val="00D67FF8"/>
    <w:rsid w:val="00D71143"/>
    <w:rsid w:val="00D75232"/>
    <w:rsid w:val="00D7787E"/>
    <w:rsid w:val="00D8220A"/>
    <w:rsid w:val="00D84539"/>
    <w:rsid w:val="00D86DD5"/>
    <w:rsid w:val="00D925C7"/>
    <w:rsid w:val="00D93B8C"/>
    <w:rsid w:val="00D969C8"/>
    <w:rsid w:val="00DA0334"/>
    <w:rsid w:val="00DA1183"/>
    <w:rsid w:val="00DA6124"/>
    <w:rsid w:val="00DB143D"/>
    <w:rsid w:val="00DB1E36"/>
    <w:rsid w:val="00DB2FA6"/>
    <w:rsid w:val="00DB3955"/>
    <w:rsid w:val="00DB4399"/>
    <w:rsid w:val="00DC0975"/>
    <w:rsid w:val="00DC2BCF"/>
    <w:rsid w:val="00DC4103"/>
    <w:rsid w:val="00DC4392"/>
    <w:rsid w:val="00DC57F5"/>
    <w:rsid w:val="00DC67D4"/>
    <w:rsid w:val="00DC6B8D"/>
    <w:rsid w:val="00DD031B"/>
    <w:rsid w:val="00DD1131"/>
    <w:rsid w:val="00DD1645"/>
    <w:rsid w:val="00DD3F17"/>
    <w:rsid w:val="00DE5C3C"/>
    <w:rsid w:val="00DE6AE9"/>
    <w:rsid w:val="00DE7CBC"/>
    <w:rsid w:val="00DF0918"/>
    <w:rsid w:val="00DF21C5"/>
    <w:rsid w:val="00DF4A32"/>
    <w:rsid w:val="00DF5D23"/>
    <w:rsid w:val="00DF678E"/>
    <w:rsid w:val="00E02F9D"/>
    <w:rsid w:val="00E04607"/>
    <w:rsid w:val="00E05FFD"/>
    <w:rsid w:val="00E149BC"/>
    <w:rsid w:val="00E14C97"/>
    <w:rsid w:val="00E20F4F"/>
    <w:rsid w:val="00E27A79"/>
    <w:rsid w:val="00E27B03"/>
    <w:rsid w:val="00E32276"/>
    <w:rsid w:val="00E32519"/>
    <w:rsid w:val="00E32A37"/>
    <w:rsid w:val="00E357C1"/>
    <w:rsid w:val="00E36A4F"/>
    <w:rsid w:val="00E4455D"/>
    <w:rsid w:val="00E46A7C"/>
    <w:rsid w:val="00E5108E"/>
    <w:rsid w:val="00E5167C"/>
    <w:rsid w:val="00E52820"/>
    <w:rsid w:val="00E57377"/>
    <w:rsid w:val="00E638DB"/>
    <w:rsid w:val="00E63F7E"/>
    <w:rsid w:val="00E65626"/>
    <w:rsid w:val="00E65772"/>
    <w:rsid w:val="00E657EF"/>
    <w:rsid w:val="00E66B82"/>
    <w:rsid w:val="00E700E5"/>
    <w:rsid w:val="00E70BBD"/>
    <w:rsid w:val="00E719BF"/>
    <w:rsid w:val="00E71B0E"/>
    <w:rsid w:val="00E72D4F"/>
    <w:rsid w:val="00E75464"/>
    <w:rsid w:val="00E760D0"/>
    <w:rsid w:val="00E81E46"/>
    <w:rsid w:val="00E83EFE"/>
    <w:rsid w:val="00E842B8"/>
    <w:rsid w:val="00E84533"/>
    <w:rsid w:val="00E9553B"/>
    <w:rsid w:val="00EA0C53"/>
    <w:rsid w:val="00EA1374"/>
    <w:rsid w:val="00EA2014"/>
    <w:rsid w:val="00EA43AF"/>
    <w:rsid w:val="00EA5817"/>
    <w:rsid w:val="00EA6581"/>
    <w:rsid w:val="00EA72E2"/>
    <w:rsid w:val="00EB16A1"/>
    <w:rsid w:val="00EB36F2"/>
    <w:rsid w:val="00EB43C4"/>
    <w:rsid w:val="00EB6C26"/>
    <w:rsid w:val="00EB70BD"/>
    <w:rsid w:val="00EC0B17"/>
    <w:rsid w:val="00EC236E"/>
    <w:rsid w:val="00EC4B70"/>
    <w:rsid w:val="00EC63E8"/>
    <w:rsid w:val="00ED60C2"/>
    <w:rsid w:val="00ED60D9"/>
    <w:rsid w:val="00ED61FD"/>
    <w:rsid w:val="00ED6D33"/>
    <w:rsid w:val="00EE02D1"/>
    <w:rsid w:val="00EF16CE"/>
    <w:rsid w:val="00EF51EA"/>
    <w:rsid w:val="00F008F2"/>
    <w:rsid w:val="00F00A46"/>
    <w:rsid w:val="00F0186D"/>
    <w:rsid w:val="00F02A03"/>
    <w:rsid w:val="00F06B1C"/>
    <w:rsid w:val="00F074F2"/>
    <w:rsid w:val="00F175A9"/>
    <w:rsid w:val="00F21F41"/>
    <w:rsid w:val="00F2216F"/>
    <w:rsid w:val="00F248CB"/>
    <w:rsid w:val="00F2596C"/>
    <w:rsid w:val="00F27A64"/>
    <w:rsid w:val="00F305DC"/>
    <w:rsid w:val="00F33E0E"/>
    <w:rsid w:val="00F35705"/>
    <w:rsid w:val="00F3649F"/>
    <w:rsid w:val="00F4191A"/>
    <w:rsid w:val="00F42C2D"/>
    <w:rsid w:val="00F432B9"/>
    <w:rsid w:val="00F47EAE"/>
    <w:rsid w:val="00F506CA"/>
    <w:rsid w:val="00F5077A"/>
    <w:rsid w:val="00F50B2A"/>
    <w:rsid w:val="00F5137A"/>
    <w:rsid w:val="00F51E91"/>
    <w:rsid w:val="00F52737"/>
    <w:rsid w:val="00F5322D"/>
    <w:rsid w:val="00F601CB"/>
    <w:rsid w:val="00F60CF6"/>
    <w:rsid w:val="00F60DCD"/>
    <w:rsid w:val="00F60EC1"/>
    <w:rsid w:val="00F620C0"/>
    <w:rsid w:val="00F652C7"/>
    <w:rsid w:val="00F674CB"/>
    <w:rsid w:val="00F67CEC"/>
    <w:rsid w:val="00F704E3"/>
    <w:rsid w:val="00F72507"/>
    <w:rsid w:val="00F74156"/>
    <w:rsid w:val="00F749F9"/>
    <w:rsid w:val="00F7573C"/>
    <w:rsid w:val="00F77AD0"/>
    <w:rsid w:val="00F806F0"/>
    <w:rsid w:val="00F819AD"/>
    <w:rsid w:val="00F82D22"/>
    <w:rsid w:val="00F8390F"/>
    <w:rsid w:val="00F84145"/>
    <w:rsid w:val="00F85127"/>
    <w:rsid w:val="00F851A0"/>
    <w:rsid w:val="00F8657C"/>
    <w:rsid w:val="00F86BC6"/>
    <w:rsid w:val="00F8714E"/>
    <w:rsid w:val="00F87D02"/>
    <w:rsid w:val="00F91BD3"/>
    <w:rsid w:val="00F93B11"/>
    <w:rsid w:val="00F96117"/>
    <w:rsid w:val="00FA73D5"/>
    <w:rsid w:val="00FB4831"/>
    <w:rsid w:val="00FB69AD"/>
    <w:rsid w:val="00FC2E76"/>
    <w:rsid w:val="00FC3311"/>
    <w:rsid w:val="00FC52F7"/>
    <w:rsid w:val="00FC7DD1"/>
    <w:rsid w:val="00FE0FDC"/>
    <w:rsid w:val="00FE1FD9"/>
    <w:rsid w:val="00FE46DE"/>
    <w:rsid w:val="00FE6DA8"/>
    <w:rsid w:val="00FE7B1A"/>
    <w:rsid w:val="00FF1FB4"/>
    <w:rsid w:val="00FF2630"/>
    <w:rsid w:val="00FF3612"/>
    <w:rsid w:val="00FF4685"/>
    <w:rsid w:val="00FF65E3"/>
    <w:rsid w:val="00FF7482"/>
    <w:rsid w:val="011F018A"/>
    <w:rsid w:val="01255FDC"/>
    <w:rsid w:val="012D0479"/>
    <w:rsid w:val="01747E56"/>
    <w:rsid w:val="017C6D0A"/>
    <w:rsid w:val="01A22C15"/>
    <w:rsid w:val="01F904C2"/>
    <w:rsid w:val="02151639"/>
    <w:rsid w:val="02693733"/>
    <w:rsid w:val="03157416"/>
    <w:rsid w:val="03246D18"/>
    <w:rsid w:val="03980910"/>
    <w:rsid w:val="03EB5E00"/>
    <w:rsid w:val="03F07C44"/>
    <w:rsid w:val="03F248A9"/>
    <w:rsid w:val="03FD58BC"/>
    <w:rsid w:val="0410030A"/>
    <w:rsid w:val="04190F68"/>
    <w:rsid w:val="043F474B"/>
    <w:rsid w:val="0458580D"/>
    <w:rsid w:val="0463629C"/>
    <w:rsid w:val="04E33527"/>
    <w:rsid w:val="05217688"/>
    <w:rsid w:val="05D00B49"/>
    <w:rsid w:val="06346EF8"/>
    <w:rsid w:val="064474A7"/>
    <w:rsid w:val="06CF19BA"/>
    <w:rsid w:val="06F77BFB"/>
    <w:rsid w:val="07302401"/>
    <w:rsid w:val="073A2B42"/>
    <w:rsid w:val="074F739B"/>
    <w:rsid w:val="07851393"/>
    <w:rsid w:val="08014A22"/>
    <w:rsid w:val="08357137"/>
    <w:rsid w:val="08D334F3"/>
    <w:rsid w:val="09153CCC"/>
    <w:rsid w:val="09CB082F"/>
    <w:rsid w:val="09D45935"/>
    <w:rsid w:val="0A2C5168"/>
    <w:rsid w:val="0A3925DE"/>
    <w:rsid w:val="0A9926DB"/>
    <w:rsid w:val="0AC74067"/>
    <w:rsid w:val="0AE75B3C"/>
    <w:rsid w:val="0B81389B"/>
    <w:rsid w:val="0BC55E54"/>
    <w:rsid w:val="0BEF0267"/>
    <w:rsid w:val="0C2907E9"/>
    <w:rsid w:val="0C2F32F7"/>
    <w:rsid w:val="0C3628D7"/>
    <w:rsid w:val="0C4A6AA6"/>
    <w:rsid w:val="0C50326D"/>
    <w:rsid w:val="0C760F26"/>
    <w:rsid w:val="0C8E2713"/>
    <w:rsid w:val="0CCA0624"/>
    <w:rsid w:val="0CE75980"/>
    <w:rsid w:val="0D562B05"/>
    <w:rsid w:val="0DD04666"/>
    <w:rsid w:val="0DD26630"/>
    <w:rsid w:val="0DE545B5"/>
    <w:rsid w:val="0E674BEA"/>
    <w:rsid w:val="0F20786F"/>
    <w:rsid w:val="0FB471A8"/>
    <w:rsid w:val="0FCC70AF"/>
    <w:rsid w:val="1043306C"/>
    <w:rsid w:val="105F7F23"/>
    <w:rsid w:val="107B4D5D"/>
    <w:rsid w:val="10A34162"/>
    <w:rsid w:val="10EE1DD4"/>
    <w:rsid w:val="10F37968"/>
    <w:rsid w:val="116577BB"/>
    <w:rsid w:val="11AE2F10"/>
    <w:rsid w:val="12167644"/>
    <w:rsid w:val="12213564"/>
    <w:rsid w:val="12244F80"/>
    <w:rsid w:val="125F5E1D"/>
    <w:rsid w:val="12751C80"/>
    <w:rsid w:val="127D7927"/>
    <w:rsid w:val="129C545E"/>
    <w:rsid w:val="12B75DF4"/>
    <w:rsid w:val="1305402E"/>
    <w:rsid w:val="134206A5"/>
    <w:rsid w:val="1372264D"/>
    <w:rsid w:val="13B46C7E"/>
    <w:rsid w:val="1408217C"/>
    <w:rsid w:val="15150AFB"/>
    <w:rsid w:val="154D1750"/>
    <w:rsid w:val="15657D89"/>
    <w:rsid w:val="158E3118"/>
    <w:rsid w:val="15FA05F5"/>
    <w:rsid w:val="15FD5E19"/>
    <w:rsid w:val="16223EC1"/>
    <w:rsid w:val="16AD7C3A"/>
    <w:rsid w:val="16FF7D6A"/>
    <w:rsid w:val="170B4615"/>
    <w:rsid w:val="1740460A"/>
    <w:rsid w:val="174E1A2E"/>
    <w:rsid w:val="178A2C45"/>
    <w:rsid w:val="179A3170"/>
    <w:rsid w:val="17BE19D3"/>
    <w:rsid w:val="17EE4066"/>
    <w:rsid w:val="18126243"/>
    <w:rsid w:val="18725B9F"/>
    <w:rsid w:val="188C6941"/>
    <w:rsid w:val="18D70F9E"/>
    <w:rsid w:val="18E17C00"/>
    <w:rsid w:val="18F7519C"/>
    <w:rsid w:val="19595E57"/>
    <w:rsid w:val="19A55097"/>
    <w:rsid w:val="1A0C4C78"/>
    <w:rsid w:val="1A3F63D0"/>
    <w:rsid w:val="1A78230D"/>
    <w:rsid w:val="1A8B5AAC"/>
    <w:rsid w:val="1A9350D7"/>
    <w:rsid w:val="1ABA0B77"/>
    <w:rsid w:val="1AD17744"/>
    <w:rsid w:val="1AEB2ADF"/>
    <w:rsid w:val="1B1A7868"/>
    <w:rsid w:val="1B22670C"/>
    <w:rsid w:val="1B8942FC"/>
    <w:rsid w:val="1BC53330"/>
    <w:rsid w:val="1DC43EA3"/>
    <w:rsid w:val="1DFF6B1C"/>
    <w:rsid w:val="1E252E3F"/>
    <w:rsid w:val="1E29123D"/>
    <w:rsid w:val="1E3665E0"/>
    <w:rsid w:val="1E4F5A7B"/>
    <w:rsid w:val="1EDB23FB"/>
    <w:rsid w:val="1EE066D3"/>
    <w:rsid w:val="1F2667DB"/>
    <w:rsid w:val="1F29007A"/>
    <w:rsid w:val="1F3832F9"/>
    <w:rsid w:val="1F797980"/>
    <w:rsid w:val="2020322B"/>
    <w:rsid w:val="20A07B4C"/>
    <w:rsid w:val="20F91BA5"/>
    <w:rsid w:val="21025237"/>
    <w:rsid w:val="21294361"/>
    <w:rsid w:val="21570ECE"/>
    <w:rsid w:val="21B005DE"/>
    <w:rsid w:val="21B22308"/>
    <w:rsid w:val="22456E99"/>
    <w:rsid w:val="2374239E"/>
    <w:rsid w:val="24073B13"/>
    <w:rsid w:val="240A66CC"/>
    <w:rsid w:val="24290FC9"/>
    <w:rsid w:val="242B039E"/>
    <w:rsid w:val="242E06CB"/>
    <w:rsid w:val="244F2331"/>
    <w:rsid w:val="24976373"/>
    <w:rsid w:val="24E77A86"/>
    <w:rsid w:val="25276E09"/>
    <w:rsid w:val="255F2A47"/>
    <w:rsid w:val="25A05047"/>
    <w:rsid w:val="25BB69BF"/>
    <w:rsid w:val="25BD32CA"/>
    <w:rsid w:val="25C013DA"/>
    <w:rsid w:val="261B4FAB"/>
    <w:rsid w:val="2685028B"/>
    <w:rsid w:val="268D0EEE"/>
    <w:rsid w:val="2714107F"/>
    <w:rsid w:val="27B01338"/>
    <w:rsid w:val="282F5357"/>
    <w:rsid w:val="28864B42"/>
    <w:rsid w:val="28A1418D"/>
    <w:rsid w:val="28E51E72"/>
    <w:rsid w:val="29685F19"/>
    <w:rsid w:val="2A310EA7"/>
    <w:rsid w:val="2A5C57A7"/>
    <w:rsid w:val="2ACB0237"/>
    <w:rsid w:val="2AD52E64"/>
    <w:rsid w:val="2ADC4DF4"/>
    <w:rsid w:val="2ADE20E1"/>
    <w:rsid w:val="2ADF3CE2"/>
    <w:rsid w:val="2B272887"/>
    <w:rsid w:val="2B876854"/>
    <w:rsid w:val="2BAC1E16"/>
    <w:rsid w:val="2BB85FF5"/>
    <w:rsid w:val="2BC929C8"/>
    <w:rsid w:val="2BCC4267"/>
    <w:rsid w:val="2BDC162B"/>
    <w:rsid w:val="2C211791"/>
    <w:rsid w:val="2C336E4B"/>
    <w:rsid w:val="2C9C77B6"/>
    <w:rsid w:val="2D3F7BCD"/>
    <w:rsid w:val="2D6C5D01"/>
    <w:rsid w:val="2D83304B"/>
    <w:rsid w:val="2D8A262B"/>
    <w:rsid w:val="2E110657"/>
    <w:rsid w:val="2E2C6188"/>
    <w:rsid w:val="2E426A62"/>
    <w:rsid w:val="2E59418C"/>
    <w:rsid w:val="2E616171"/>
    <w:rsid w:val="2E652751"/>
    <w:rsid w:val="2E6C34F7"/>
    <w:rsid w:val="2E8F0D4A"/>
    <w:rsid w:val="2E913546"/>
    <w:rsid w:val="2EC92CDF"/>
    <w:rsid w:val="2EDC2A13"/>
    <w:rsid w:val="2EF92B4E"/>
    <w:rsid w:val="2F370591"/>
    <w:rsid w:val="2FE20833"/>
    <w:rsid w:val="302169BE"/>
    <w:rsid w:val="302A4139"/>
    <w:rsid w:val="307308B6"/>
    <w:rsid w:val="308E4678"/>
    <w:rsid w:val="30F878AC"/>
    <w:rsid w:val="31175F84"/>
    <w:rsid w:val="312D39F9"/>
    <w:rsid w:val="31570A76"/>
    <w:rsid w:val="31E7004C"/>
    <w:rsid w:val="3279235E"/>
    <w:rsid w:val="328165D7"/>
    <w:rsid w:val="32873093"/>
    <w:rsid w:val="32C21E98"/>
    <w:rsid w:val="32DC54FA"/>
    <w:rsid w:val="32E44CE8"/>
    <w:rsid w:val="33C14AFB"/>
    <w:rsid w:val="33E4778C"/>
    <w:rsid w:val="3445105A"/>
    <w:rsid w:val="34D04DC8"/>
    <w:rsid w:val="358331BB"/>
    <w:rsid w:val="3599165E"/>
    <w:rsid w:val="359C2335"/>
    <w:rsid w:val="35AE2C2F"/>
    <w:rsid w:val="35D001EC"/>
    <w:rsid w:val="35EB6B00"/>
    <w:rsid w:val="35F3627A"/>
    <w:rsid w:val="35FE5964"/>
    <w:rsid w:val="36616F80"/>
    <w:rsid w:val="36BA5D97"/>
    <w:rsid w:val="37117F2E"/>
    <w:rsid w:val="372B44BA"/>
    <w:rsid w:val="37D3225D"/>
    <w:rsid w:val="37E312B6"/>
    <w:rsid w:val="385B7AE1"/>
    <w:rsid w:val="38926838"/>
    <w:rsid w:val="38A8464C"/>
    <w:rsid w:val="394B2DDE"/>
    <w:rsid w:val="39987E7E"/>
    <w:rsid w:val="39B12CEE"/>
    <w:rsid w:val="39B952BA"/>
    <w:rsid w:val="3A0472C2"/>
    <w:rsid w:val="3A1031C2"/>
    <w:rsid w:val="3A32211E"/>
    <w:rsid w:val="3A3B7187"/>
    <w:rsid w:val="3A54454A"/>
    <w:rsid w:val="3A765BDB"/>
    <w:rsid w:val="3A865741"/>
    <w:rsid w:val="3A8D5509"/>
    <w:rsid w:val="3AAA1C17"/>
    <w:rsid w:val="3B4305E8"/>
    <w:rsid w:val="3B5F6E45"/>
    <w:rsid w:val="3B985F13"/>
    <w:rsid w:val="3BF943C2"/>
    <w:rsid w:val="3C3B37D6"/>
    <w:rsid w:val="3C6F5846"/>
    <w:rsid w:val="3C8A7F52"/>
    <w:rsid w:val="3C920BB5"/>
    <w:rsid w:val="3CA174DE"/>
    <w:rsid w:val="3CB44FCF"/>
    <w:rsid w:val="3D2F5FD0"/>
    <w:rsid w:val="3D662ED4"/>
    <w:rsid w:val="3D68060B"/>
    <w:rsid w:val="3DEB6C64"/>
    <w:rsid w:val="3DF21912"/>
    <w:rsid w:val="3E1A3399"/>
    <w:rsid w:val="3E1B038F"/>
    <w:rsid w:val="3E313307"/>
    <w:rsid w:val="3E3F3E78"/>
    <w:rsid w:val="3E5E1696"/>
    <w:rsid w:val="3E5F5EE8"/>
    <w:rsid w:val="3E6F38A3"/>
    <w:rsid w:val="3EB12A8A"/>
    <w:rsid w:val="3EBE3EE3"/>
    <w:rsid w:val="3EDD0861"/>
    <w:rsid w:val="3EF45B57"/>
    <w:rsid w:val="3F0062A9"/>
    <w:rsid w:val="3F4D7CD4"/>
    <w:rsid w:val="3F823985"/>
    <w:rsid w:val="3FA44244"/>
    <w:rsid w:val="3FE30F93"/>
    <w:rsid w:val="40041DC9"/>
    <w:rsid w:val="40081587"/>
    <w:rsid w:val="407221BA"/>
    <w:rsid w:val="409B4D9C"/>
    <w:rsid w:val="40A4535A"/>
    <w:rsid w:val="415B010F"/>
    <w:rsid w:val="41A34270"/>
    <w:rsid w:val="41DC7380"/>
    <w:rsid w:val="41F62F1B"/>
    <w:rsid w:val="42221A75"/>
    <w:rsid w:val="422549D8"/>
    <w:rsid w:val="424566C9"/>
    <w:rsid w:val="42757BC5"/>
    <w:rsid w:val="42E650B4"/>
    <w:rsid w:val="4377725F"/>
    <w:rsid w:val="438054D7"/>
    <w:rsid w:val="439711A6"/>
    <w:rsid w:val="43CC52F4"/>
    <w:rsid w:val="44004F9E"/>
    <w:rsid w:val="442F13DF"/>
    <w:rsid w:val="44B518E4"/>
    <w:rsid w:val="45462E84"/>
    <w:rsid w:val="459B6D2C"/>
    <w:rsid w:val="469551E9"/>
    <w:rsid w:val="46963997"/>
    <w:rsid w:val="46A5470E"/>
    <w:rsid w:val="473800AE"/>
    <w:rsid w:val="477E1A6D"/>
    <w:rsid w:val="47B25F81"/>
    <w:rsid w:val="48541414"/>
    <w:rsid w:val="487814BD"/>
    <w:rsid w:val="48997B05"/>
    <w:rsid w:val="489B34E7"/>
    <w:rsid w:val="489C5A84"/>
    <w:rsid w:val="48F50E49"/>
    <w:rsid w:val="49562571"/>
    <w:rsid w:val="4968790B"/>
    <w:rsid w:val="4BD172B5"/>
    <w:rsid w:val="4C2C1B85"/>
    <w:rsid w:val="4C60482B"/>
    <w:rsid w:val="4C6205A3"/>
    <w:rsid w:val="4C8762F9"/>
    <w:rsid w:val="4CE76DDB"/>
    <w:rsid w:val="4D0722B3"/>
    <w:rsid w:val="4D142160"/>
    <w:rsid w:val="4D741F0F"/>
    <w:rsid w:val="4DB0730C"/>
    <w:rsid w:val="4DB473A2"/>
    <w:rsid w:val="4DCC40A8"/>
    <w:rsid w:val="4E147F73"/>
    <w:rsid w:val="4E496100"/>
    <w:rsid w:val="4E511008"/>
    <w:rsid w:val="4E5B5992"/>
    <w:rsid w:val="4E9E788D"/>
    <w:rsid w:val="4EB8094F"/>
    <w:rsid w:val="4F347D82"/>
    <w:rsid w:val="4FC47104"/>
    <w:rsid w:val="4FF123BA"/>
    <w:rsid w:val="4FF45606"/>
    <w:rsid w:val="50135B0F"/>
    <w:rsid w:val="504B4908"/>
    <w:rsid w:val="50530FFE"/>
    <w:rsid w:val="508126D0"/>
    <w:rsid w:val="50CD4459"/>
    <w:rsid w:val="50D56373"/>
    <w:rsid w:val="50E21CB3"/>
    <w:rsid w:val="5116195C"/>
    <w:rsid w:val="51786D09"/>
    <w:rsid w:val="51864D34"/>
    <w:rsid w:val="51CF7D67"/>
    <w:rsid w:val="51E15B4E"/>
    <w:rsid w:val="527032EE"/>
    <w:rsid w:val="529E7E5B"/>
    <w:rsid w:val="530435C4"/>
    <w:rsid w:val="538F59F6"/>
    <w:rsid w:val="539E0866"/>
    <w:rsid w:val="53C37735"/>
    <w:rsid w:val="53E47AF0"/>
    <w:rsid w:val="546A5834"/>
    <w:rsid w:val="54B73456"/>
    <w:rsid w:val="54D933CD"/>
    <w:rsid w:val="55200FFC"/>
    <w:rsid w:val="552D6F21"/>
    <w:rsid w:val="558F36ED"/>
    <w:rsid w:val="55E55DA1"/>
    <w:rsid w:val="562557BF"/>
    <w:rsid w:val="56A36AFD"/>
    <w:rsid w:val="5710087D"/>
    <w:rsid w:val="577E4961"/>
    <w:rsid w:val="57AA72A2"/>
    <w:rsid w:val="583848AE"/>
    <w:rsid w:val="588E0972"/>
    <w:rsid w:val="58F277CC"/>
    <w:rsid w:val="592945D2"/>
    <w:rsid w:val="592E16B1"/>
    <w:rsid w:val="5963088F"/>
    <w:rsid w:val="5A1A0E56"/>
    <w:rsid w:val="5A6976FE"/>
    <w:rsid w:val="5A7616BE"/>
    <w:rsid w:val="5A90043D"/>
    <w:rsid w:val="5A9C3E81"/>
    <w:rsid w:val="5AE10C41"/>
    <w:rsid w:val="5AF06929"/>
    <w:rsid w:val="5B296730"/>
    <w:rsid w:val="5B38539A"/>
    <w:rsid w:val="5B525C87"/>
    <w:rsid w:val="5B9A18AC"/>
    <w:rsid w:val="5B9B3773"/>
    <w:rsid w:val="5BCA3A6F"/>
    <w:rsid w:val="5C3A263A"/>
    <w:rsid w:val="5C484D92"/>
    <w:rsid w:val="5C53197E"/>
    <w:rsid w:val="5C7E485A"/>
    <w:rsid w:val="5DD55312"/>
    <w:rsid w:val="5DDB05FF"/>
    <w:rsid w:val="5E1E0118"/>
    <w:rsid w:val="5E6C7060"/>
    <w:rsid w:val="5EA22A81"/>
    <w:rsid w:val="5ECA085E"/>
    <w:rsid w:val="5ECA3D86"/>
    <w:rsid w:val="5F2142FA"/>
    <w:rsid w:val="5F546472"/>
    <w:rsid w:val="5F6A2D82"/>
    <w:rsid w:val="5F825EB2"/>
    <w:rsid w:val="5FBA587D"/>
    <w:rsid w:val="5FDA62A2"/>
    <w:rsid w:val="60E522D3"/>
    <w:rsid w:val="61690053"/>
    <w:rsid w:val="61E34544"/>
    <w:rsid w:val="621B558A"/>
    <w:rsid w:val="62941D02"/>
    <w:rsid w:val="629C4C96"/>
    <w:rsid w:val="639E415F"/>
    <w:rsid w:val="640359B6"/>
    <w:rsid w:val="64994927"/>
    <w:rsid w:val="64DF4A2F"/>
    <w:rsid w:val="65107A63"/>
    <w:rsid w:val="65897708"/>
    <w:rsid w:val="65F9272E"/>
    <w:rsid w:val="65FD2C93"/>
    <w:rsid w:val="66042274"/>
    <w:rsid w:val="663C6FB7"/>
    <w:rsid w:val="66C86171"/>
    <w:rsid w:val="67C27CF0"/>
    <w:rsid w:val="67F85E08"/>
    <w:rsid w:val="684D7FA8"/>
    <w:rsid w:val="68E32614"/>
    <w:rsid w:val="69A36B37"/>
    <w:rsid w:val="6A090AC6"/>
    <w:rsid w:val="6A6E6107"/>
    <w:rsid w:val="6A915E1B"/>
    <w:rsid w:val="6AA61B4B"/>
    <w:rsid w:val="6AE75B67"/>
    <w:rsid w:val="6B2B10FF"/>
    <w:rsid w:val="6B3C5A9D"/>
    <w:rsid w:val="6B6A2B79"/>
    <w:rsid w:val="6B6F431B"/>
    <w:rsid w:val="6BB77E27"/>
    <w:rsid w:val="6C6B6BAF"/>
    <w:rsid w:val="6C871509"/>
    <w:rsid w:val="6D543AE1"/>
    <w:rsid w:val="6D95723D"/>
    <w:rsid w:val="6DA43715"/>
    <w:rsid w:val="6DB54928"/>
    <w:rsid w:val="6E2C2368"/>
    <w:rsid w:val="6E4771C6"/>
    <w:rsid w:val="6F376151"/>
    <w:rsid w:val="6F6A5BEA"/>
    <w:rsid w:val="6F8F2BAE"/>
    <w:rsid w:val="6F901299"/>
    <w:rsid w:val="6FA128E1"/>
    <w:rsid w:val="6FBB39A3"/>
    <w:rsid w:val="6FFC57BD"/>
    <w:rsid w:val="70595D19"/>
    <w:rsid w:val="70BE45BB"/>
    <w:rsid w:val="712F5E96"/>
    <w:rsid w:val="71432B84"/>
    <w:rsid w:val="714C3622"/>
    <w:rsid w:val="71763EDA"/>
    <w:rsid w:val="71A877DA"/>
    <w:rsid w:val="71E60A7F"/>
    <w:rsid w:val="71E8683F"/>
    <w:rsid w:val="71FA3841"/>
    <w:rsid w:val="724777A8"/>
    <w:rsid w:val="72681932"/>
    <w:rsid w:val="72835DCF"/>
    <w:rsid w:val="72AD329E"/>
    <w:rsid w:val="73075151"/>
    <w:rsid w:val="737733D7"/>
    <w:rsid w:val="739E1612"/>
    <w:rsid w:val="73BE7F06"/>
    <w:rsid w:val="73F86BA7"/>
    <w:rsid w:val="74264A34"/>
    <w:rsid w:val="742F1838"/>
    <w:rsid w:val="750E27C7"/>
    <w:rsid w:val="75103F83"/>
    <w:rsid w:val="753F6E24"/>
    <w:rsid w:val="75D94B83"/>
    <w:rsid w:val="75EA3F71"/>
    <w:rsid w:val="76581E16"/>
    <w:rsid w:val="76676633"/>
    <w:rsid w:val="76E35B42"/>
    <w:rsid w:val="76EB11BD"/>
    <w:rsid w:val="76EE28B0"/>
    <w:rsid w:val="776464DF"/>
    <w:rsid w:val="777F4BCA"/>
    <w:rsid w:val="7785342E"/>
    <w:rsid w:val="779C230C"/>
    <w:rsid w:val="77B37B6E"/>
    <w:rsid w:val="78340710"/>
    <w:rsid w:val="784F3C11"/>
    <w:rsid w:val="78782D79"/>
    <w:rsid w:val="788B19E8"/>
    <w:rsid w:val="78CD06FB"/>
    <w:rsid w:val="78DB3308"/>
    <w:rsid w:val="7927654D"/>
    <w:rsid w:val="792B03DA"/>
    <w:rsid w:val="796F385F"/>
    <w:rsid w:val="79817A0B"/>
    <w:rsid w:val="79F75B62"/>
    <w:rsid w:val="7A21379B"/>
    <w:rsid w:val="7A2830F6"/>
    <w:rsid w:val="7A842BF4"/>
    <w:rsid w:val="7AB25836"/>
    <w:rsid w:val="7AB61937"/>
    <w:rsid w:val="7ADD409B"/>
    <w:rsid w:val="7AE37ECA"/>
    <w:rsid w:val="7B2A7C2F"/>
    <w:rsid w:val="7B407452"/>
    <w:rsid w:val="7B580C40"/>
    <w:rsid w:val="7B6D11BF"/>
    <w:rsid w:val="7B854448"/>
    <w:rsid w:val="7C286864"/>
    <w:rsid w:val="7C6872C8"/>
    <w:rsid w:val="7CA35EEB"/>
    <w:rsid w:val="7D1239C7"/>
    <w:rsid w:val="7D6D41F8"/>
    <w:rsid w:val="7D8A0E59"/>
    <w:rsid w:val="7DF52776"/>
    <w:rsid w:val="7DF9528A"/>
    <w:rsid w:val="7E00597D"/>
    <w:rsid w:val="7E3111DC"/>
    <w:rsid w:val="7E8D3344"/>
    <w:rsid w:val="7E941F8F"/>
    <w:rsid w:val="7F2A4E44"/>
    <w:rsid w:val="7FA2692E"/>
    <w:rsid w:val="7FB16A54"/>
    <w:rsid w:val="7FE94A21"/>
    <w:rsid w:val="7FEC6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paragraph" w:styleId="2">
    <w:name w:val="heading 1"/>
    <w:basedOn w:val="1"/>
    <w:next w:val="1"/>
    <w:link w:val="67"/>
    <w:qFormat/>
    <w:uiPriority w:val="0"/>
    <w:pPr>
      <w:keepNext/>
      <w:keepLines/>
      <w:spacing w:before="340" w:after="330" w:line="576" w:lineRule="auto"/>
      <w:outlineLvl w:val="0"/>
    </w:pPr>
    <w:rPr>
      <w:b/>
      <w:kern w:val="44"/>
      <w:sz w:val="44"/>
    </w:rPr>
  </w:style>
  <w:style w:type="paragraph" w:styleId="3">
    <w:name w:val="heading 2"/>
    <w:basedOn w:val="1"/>
    <w:next w:val="1"/>
    <w:link w:val="68"/>
    <w:qFormat/>
    <w:uiPriority w:val="0"/>
    <w:pPr>
      <w:keepNext/>
      <w:keepLines/>
      <w:autoSpaceDE/>
      <w:autoSpaceDN/>
      <w:adjustRightInd/>
      <w:spacing w:before="260" w:after="260" w:line="413" w:lineRule="auto"/>
      <w:outlineLvl w:val="1"/>
    </w:pPr>
    <w:rPr>
      <w:rFonts w:ascii="Arial" w:hAnsi="Arial" w:eastAsia="黑体"/>
      <w:b/>
      <w:bCs/>
      <w:kern w:val="2"/>
      <w:sz w:val="32"/>
      <w:szCs w:val="32"/>
    </w:rPr>
  </w:style>
  <w:style w:type="paragraph" w:styleId="4">
    <w:name w:val="heading 3"/>
    <w:basedOn w:val="1"/>
    <w:next w:val="1"/>
    <w:link w:val="69"/>
    <w:qFormat/>
    <w:uiPriority w:val="0"/>
    <w:pPr>
      <w:keepNext/>
      <w:keepLines/>
      <w:spacing w:before="260" w:after="260" w:line="413" w:lineRule="auto"/>
      <w:outlineLvl w:val="2"/>
    </w:pPr>
    <w:rPr>
      <w:b/>
      <w:bCs/>
      <w:sz w:val="32"/>
      <w:szCs w:val="32"/>
    </w:rPr>
  </w:style>
  <w:style w:type="paragraph" w:styleId="5">
    <w:name w:val="heading 4"/>
    <w:basedOn w:val="1"/>
    <w:next w:val="1"/>
    <w:link w:val="70"/>
    <w:qFormat/>
    <w:uiPriority w:val="0"/>
    <w:pPr>
      <w:keepNext/>
      <w:keepLines/>
      <w:spacing w:before="280" w:after="290" w:line="377" w:lineRule="auto"/>
      <w:outlineLvl w:val="3"/>
    </w:pPr>
    <w:rPr>
      <w:rFonts w:ascii="Cambria" w:hAnsi="Cambria" w:eastAsia="黑体" w:cs="Times New Roman"/>
      <w:b/>
      <w:bCs/>
      <w:kern w:val="2"/>
      <w:sz w:val="24"/>
      <w:szCs w:val="28"/>
      <w:lang w:val="en-US" w:eastAsia="zh-CN" w:bidi="ar-SA"/>
    </w:rPr>
  </w:style>
  <w:style w:type="paragraph" w:styleId="6">
    <w:name w:val="heading 5"/>
    <w:basedOn w:val="1"/>
    <w:next w:val="1"/>
    <w:link w:val="159"/>
    <w:qFormat/>
    <w:uiPriority w:val="0"/>
    <w:pPr>
      <w:keepNext/>
      <w:keepLines/>
      <w:autoSpaceDE/>
      <w:autoSpaceDN/>
      <w:adjustRightInd/>
      <w:spacing w:before="280" w:after="290" w:line="372" w:lineRule="auto"/>
      <w:outlineLvl w:val="4"/>
    </w:pPr>
    <w:rPr>
      <w:b/>
      <w:bCs/>
      <w:kern w:val="2"/>
      <w:sz w:val="28"/>
      <w:szCs w:val="28"/>
    </w:rPr>
  </w:style>
  <w:style w:type="paragraph" w:styleId="7">
    <w:name w:val="heading 6"/>
    <w:basedOn w:val="1"/>
    <w:next w:val="8"/>
    <w:link w:val="160"/>
    <w:qFormat/>
    <w:uiPriority w:val="0"/>
    <w:pPr>
      <w:keepNext/>
      <w:keepLines/>
      <w:widowControl/>
      <w:tabs>
        <w:tab w:val="left" w:pos="1152"/>
      </w:tabs>
      <w:overflowPunct w:val="0"/>
      <w:autoSpaceDE/>
      <w:autoSpaceDN/>
      <w:snapToGrid w:val="0"/>
      <w:spacing w:before="120" w:after="120" w:line="360" w:lineRule="auto"/>
      <w:ind w:left="1152" w:hanging="1152"/>
      <w:textAlignment w:val="baseline"/>
      <w:outlineLvl w:val="5"/>
    </w:pPr>
    <w:rPr>
      <w:kern w:val="24"/>
      <w:sz w:val="24"/>
      <w:szCs w:val="24"/>
    </w:rPr>
  </w:style>
  <w:style w:type="paragraph" w:styleId="9">
    <w:name w:val="heading 7"/>
    <w:basedOn w:val="1"/>
    <w:next w:val="1"/>
    <w:link w:val="161"/>
    <w:qFormat/>
    <w:uiPriority w:val="0"/>
    <w:pPr>
      <w:keepNext/>
      <w:keepLines/>
      <w:widowControl/>
      <w:tabs>
        <w:tab w:val="left" w:pos="1296"/>
      </w:tabs>
      <w:overflowPunct w:val="0"/>
      <w:autoSpaceDE/>
      <w:autoSpaceDN/>
      <w:snapToGrid w:val="0"/>
      <w:spacing w:before="120" w:after="120" w:line="360" w:lineRule="auto"/>
      <w:ind w:left="1296" w:hanging="1296"/>
      <w:jc w:val="left"/>
      <w:textAlignment w:val="baseline"/>
      <w:outlineLvl w:val="6"/>
    </w:pPr>
    <w:rPr>
      <w:spacing w:val="2"/>
      <w:kern w:val="24"/>
      <w:sz w:val="24"/>
      <w:szCs w:val="24"/>
    </w:rPr>
  </w:style>
  <w:style w:type="paragraph" w:styleId="10">
    <w:name w:val="heading 8"/>
    <w:basedOn w:val="1"/>
    <w:next w:val="1"/>
    <w:link w:val="162"/>
    <w:qFormat/>
    <w:uiPriority w:val="0"/>
    <w:pPr>
      <w:keepNext/>
      <w:keepLines/>
      <w:widowControl/>
      <w:tabs>
        <w:tab w:val="left" w:pos="1440"/>
      </w:tabs>
      <w:overflowPunct w:val="0"/>
      <w:autoSpaceDE/>
      <w:autoSpaceDN/>
      <w:snapToGrid w:val="0"/>
      <w:spacing w:before="120" w:after="120" w:line="360" w:lineRule="auto"/>
      <w:ind w:left="1440" w:hanging="1440"/>
      <w:jc w:val="left"/>
      <w:textAlignment w:val="baseline"/>
      <w:outlineLvl w:val="7"/>
    </w:pPr>
    <w:rPr>
      <w:kern w:val="24"/>
      <w:sz w:val="24"/>
      <w:szCs w:val="24"/>
    </w:rPr>
  </w:style>
  <w:style w:type="paragraph" w:styleId="11">
    <w:name w:val="heading 9"/>
    <w:basedOn w:val="1"/>
    <w:next w:val="1"/>
    <w:link w:val="163"/>
    <w:qFormat/>
    <w:uiPriority w:val="0"/>
    <w:pPr>
      <w:keepNext/>
      <w:keepLines/>
      <w:autoSpaceDE/>
      <w:autoSpaceDN/>
      <w:adjustRightInd/>
      <w:spacing w:before="240" w:after="64" w:line="317" w:lineRule="auto"/>
      <w:outlineLvl w:val="8"/>
    </w:pPr>
    <w:rPr>
      <w:rFonts w:ascii="Arial" w:hAnsi="Arial" w:eastAsia="黑体"/>
      <w:color w:val="auto"/>
      <w:kern w:val="2"/>
      <w:szCs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79"/>
    <w:qFormat/>
    <w:uiPriority w:val="0"/>
    <w:pPr>
      <w:autoSpaceDE/>
      <w:autoSpaceDN/>
      <w:adjustRightInd/>
      <w:ind w:firstLine="420"/>
    </w:pPr>
    <w:rPr>
      <w:rFonts w:asciiTheme="minorHAnsi" w:hAnsiTheme="minorHAnsi" w:eastAsiaTheme="minorEastAsia" w:cstheme="minorBidi"/>
      <w:color w:val="auto"/>
      <w:kern w:val="2"/>
      <w:szCs w:val="22"/>
    </w:rPr>
  </w:style>
  <w:style w:type="paragraph" w:styleId="12">
    <w:name w:val="toc 7"/>
    <w:basedOn w:val="1"/>
    <w:next w:val="1"/>
    <w:qFormat/>
    <w:uiPriority w:val="0"/>
    <w:pPr>
      <w:autoSpaceDE/>
      <w:autoSpaceDN/>
      <w:adjustRightInd/>
      <w:spacing w:line="360" w:lineRule="auto"/>
      <w:ind w:left="1440" w:firstLine="200" w:firstLineChars="200"/>
      <w:jc w:val="left"/>
    </w:pPr>
    <w:rPr>
      <w:rFonts w:ascii="Calibri" w:hAnsi="Calibri"/>
      <w:color w:val="auto"/>
      <w:kern w:val="2"/>
      <w:sz w:val="18"/>
      <w:szCs w:val="18"/>
    </w:rPr>
  </w:style>
  <w:style w:type="paragraph" w:styleId="13">
    <w:name w:val="List Number 2"/>
    <w:basedOn w:val="1"/>
    <w:qFormat/>
    <w:uiPriority w:val="0"/>
    <w:pPr>
      <w:widowControl/>
      <w:tabs>
        <w:tab w:val="left" w:pos="820"/>
      </w:tabs>
      <w:autoSpaceDE/>
      <w:autoSpaceDN/>
      <w:adjustRightInd/>
      <w:spacing w:afterLines="50"/>
      <w:ind w:left="988" w:hanging="420"/>
      <w:jc w:val="left"/>
    </w:pPr>
    <w:rPr>
      <w:color w:val="auto"/>
      <w:sz w:val="24"/>
      <w:szCs w:val="20"/>
    </w:rPr>
  </w:style>
  <w:style w:type="paragraph" w:styleId="14">
    <w:name w:val="List Number"/>
    <w:basedOn w:val="1"/>
    <w:qFormat/>
    <w:uiPriority w:val="0"/>
    <w:pPr>
      <w:widowControl/>
      <w:numPr>
        <w:ilvl w:val="0"/>
        <w:numId w:val="1"/>
      </w:numPr>
      <w:tabs>
        <w:tab w:val="left" w:pos="720"/>
        <w:tab w:val="clear" w:pos="360"/>
      </w:tabs>
      <w:autoSpaceDE/>
      <w:autoSpaceDN/>
      <w:adjustRightInd/>
      <w:spacing w:afterLines="50"/>
      <w:jc w:val="left"/>
    </w:pPr>
    <w:rPr>
      <w:color w:val="auto"/>
      <w:sz w:val="24"/>
      <w:szCs w:val="20"/>
    </w:rPr>
  </w:style>
  <w:style w:type="paragraph" w:styleId="15">
    <w:name w:val="caption"/>
    <w:basedOn w:val="1"/>
    <w:next w:val="1"/>
    <w:qFormat/>
    <w:uiPriority w:val="0"/>
    <w:pPr>
      <w:autoSpaceDE/>
      <w:autoSpaceDN/>
      <w:adjustRightInd/>
      <w:spacing w:line="360" w:lineRule="auto"/>
      <w:ind w:firstLine="200" w:firstLineChars="200"/>
    </w:pPr>
    <w:rPr>
      <w:rFonts w:ascii="Cambria" w:hAnsi="Cambria" w:eastAsia="黑体"/>
      <w:color w:val="auto"/>
      <w:kern w:val="2"/>
      <w:sz w:val="20"/>
      <w:szCs w:val="20"/>
    </w:rPr>
  </w:style>
  <w:style w:type="paragraph" w:styleId="16">
    <w:name w:val="index 5"/>
    <w:basedOn w:val="1"/>
    <w:next w:val="1"/>
    <w:qFormat/>
    <w:uiPriority w:val="0"/>
    <w:pPr>
      <w:ind w:left="800" w:leftChars="800"/>
    </w:pPr>
  </w:style>
  <w:style w:type="paragraph" w:styleId="17">
    <w:name w:val="Document Map"/>
    <w:basedOn w:val="1"/>
    <w:link w:val="113"/>
    <w:qFormat/>
    <w:uiPriority w:val="0"/>
    <w:pPr>
      <w:shd w:val="clear" w:color="auto" w:fill="000080"/>
      <w:autoSpaceDE/>
      <w:autoSpaceDN/>
      <w:adjustRightInd/>
    </w:pPr>
    <w:rPr>
      <w:color w:val="auto"/>
      <w:kern w:val="2"/>
      <w:szCs w:val="24"/>
    </w:rPr>
  </w:style>
  <w:style w:type="paragraph" w:styleId="18">
    <w:name w:val="annotation text"/>
    <w:basedOn w:val="1"/>
    <w:link w:val="108"/>
    <w:unhideWhenUsed/>
    <w:qFormat/>
    <w:uiPriority w:val="0"/>
    <w:pPr>
      <w:jc w:val="left"/>
    </w:pPr>
  </w:style>
  <w:style w:type="paragraph" w:styleId="19">
    <w:name w:val="Body Text 3"/>
    <w:basedOn w:val="1"/>
    <w:link w:val="154"/>
    <w:unhideWhenUsed/>
    <w:qFormat/>
    <w:uiPriority w:val="0"/>
    <w:pPr>
      <w:spacing w:after="120"/>
    </w:pPr>
    <w:rPr>
      <w:sz w:val="16"/>
      <w:szCs w:val="16"/>
    </w:rPr>
  </w:style>
  <w:style w:type="paragraph" w:styleId="20">
    <w:name w:val="Body Text"/>
    <w:basedOn w:val="1"/>
    <w:next w:val="1"/>
    <w:link w:val="121"/>
    <w:qFormat/>
    <w:uiPriority w:val="0"/>
    <w:pPr>
      <w:spacing w:after="120"/>
    </w:pPr>
  </w:style>
  <w:style w:type="paragraph" w:styleId="21">
    <w:name w:val="Body Text Indent"/>
    <w:basedOn w:val="1"/>
    <w:next w:val="1"/>
    <w:link w:val="114"/>
    <w:unhideWhenUsed/>
    <w:qFormat/>
    <w:uiPriority w:val="0"/>
    <w:pPr>
      <w:spacing w:after="120"/>
      <w:ind w:left="420" w:leftChars="200"/>
    </w:pPr>
  </w:style>
  <w:style w:type="paragraph" w:styleId="22">
    <w:name w:val="List Number 3"/>
    <w:basedOn w:val="1"/>
    <w:qFormat/>
    <w:uiPriority w:val="0"/>
    <w:pPr>
      <w:numPr>
        <w:ilvl w:val="0"/>
        <w:numId w:val="2"/>
      </w:numPr>
    </w:pPr>
  </w:style>
  <w:style w:type="paragraph" w:styleId="23">
    <w:name w:val="toc 5"/>
    <w:basedOn w:val="1"/>
    <w:next w:val="1"/>
    <w:qFormat/>
    <w:uiPriority w:val="0"/>
    <w:pPr>
      <w:autoSpaceDE/>
      <w:autoSpaceDN/>
      <w:adjustRightInd/>
      <w:spacing w:line="360" w:lineRule="auto"/>
      <w:ind w:left="960" w:firstLine="200" w:firstLineChars="200"/>
      <w:jc w:val="left"/>
    </w:pPr>
    <w:rPr>
      <w:rFonts w:ascii="Calibri" w:hAnsi="Calibri"/>
      <w:color w:val="auto"/>
      <w:kern w:val="2"/>
      <w:sz w:val="18"/>
      <w:szCs w:val="18"/>
    </w:rPr>
  </w:style>
  <w:style w:type="paragraph" w:styleId="24">
    <w:name w:val="toc 3"/>
    <w:basedOn w:val="1"/>
    <w:next w:val="1"/>
    <w:qFormat/>
    <w:uiPriority w:val="0"/>
    <w:pPr>
      <w:autoSpaceDE/>
      <w:autoSpaceDN/>
      <w:adjustRightInd/>
      <w:spacing w:line="360" w:lineRule="auto"/>
      <w:ind w:left="480" w:firstLine="200" w:firstLineChars="200"/>
      <w:jc w:val="left"/>
    </w:pPr>
    <w:rPr>
      <w:rFonts w:ascii="Calibri" w:hAnsi="Calibri"/>
      <w:i/>
      <w:iCs/>
      <w:color w:val="auto"/>
      <w:kern w:val="2"/>
      <w:sz w:val="20"/>
      <w:szCs w:val="20"/>
    </w:rPr>
  </w:style>
  <w:style w:type="paragraph" w:styleId="25">
    <w:name w:val="Plain Text"/>
    <w:basedOn w:val="1"/>
    <w:next w:val="26"/>
    <w:link w:val="97"/>
    <w:qFormat/>
    <w:uiPriority w:val="0"/>
    <w:pPr>
      <w:autoSpaceDE/>
      <w:autoSpaceDN/>
      <w:adjustRightInd/>
    </w:pPr>
    <w:rPr>
      <w:rFonts w:asciiTheme="minorHAnsi" w:hAnsiTheme="minorHAnsi" w:eastAsiaTheme="minorEastAsia" w:cstheme="minorBidi"/>
      <w:color w:val="auto"/>
      <w:kern w:val="2"/>
      <w:sz w:val="24"/>
      <w:szCs w:val="22"/>
    </w:rPr>
  </w:style>
  <w:style w:type="paragraph" w:styleId="26">
    <w:name w:val="index 7"/>
    <w:basedOn w:val="1"/>
    <w:next w:val="1"/>
    <w:qFormat/>
    <w:uiPriority w:val="0"/>
    <w:pPr>
      <w:autoSpaceDE/>
      <w:autoSpaceDN/>
      <w:adjustRightInd/>
      <w:ind w:left="1200" w:leftChars="1200"/>
    </w:pPr>
    <w:rPr>
      <w:color w:val="auto"/>
      <w:kern w:val="2"/>
      <w:szCs w:val="24"/>
    </w:rPr>
  </w:style>
  <w:style w:type="paragraph" w:styleId="27">
    <w:name w:val="toc 8"/>
    <w:basedOn w:val="1"/>
    <w:next w:val="1"/>
    <w:qFormat/>
    <w:uiPriority w:val="0"/>
    <w:pPr>
      <w:autoSpaceDE/>
      <w:autoSpaceDN/>
      <w:adjustRightInd/>
      <w:spacing w:line="360" w:lineRule="auto"/>
      <w:ind w:left="1680" w:firstLine="200" w:firstLineChars="200"/>
      <w:jc w:val="left"/>
    </w:pPr>
    <w:rPr>
      <w:rFonts w:ascii="Calibri" w:hAnsi="Calibri"/>
      <w:color w:val="auto"/>
      <w:kern w:val="2"/>
      <w:sz w:val="18"/>
      <w:szCs w:val="18"/>
    </w:rPr>
  </w:style>
  <w:style w:type="paragraph" w:styleId="28">
    <w:name w:val="Date"/>
    <w:basedOn w:val="1"/>
    <w:next w:val="1"/>
    <w:link w:val="100"/>
    <w:qFormat/>
    <w:uiPriority w:val="0"/>
    <w:pPr>
      <w:ind w:left="100" w:leftChars="2500"/>
    </w:pPr>
    <w:rPr>
      <w:rFonts w:asciiTheme="minorHAnsi" w:hAnsiTheme="minorHAnsi" w:eastAsiaTheme="minorEastAsia" w:cstheme="minorBidi"/>
      <w:kern w:val="2"/>
    </w:rPr>
  </w:style>
  <w:style w:type="paragraph" w:styleId="29">
    <w:name w:val="Body Text Indent 2"/>
    <w:basedOn w:val="1"/>
    <w:link w:val="118"/>
    <w:qFormat/>
    <w:uiPriority w:val="0"/>
    <w:pPr>
      <w:autoSpaceDE/>
      <w:autoSpaceDN/>
      <w:adjustRightInd/>
      <w:spacing w:after="120" w:line="480" w:lineRule="auto"/>
      <w:ind w:left="420" w:leftChars="200" w:firstLine="200" w:firstLineChars="200"/>
    </w:pPr>
    <w:rPr>
      <w:rFonts w:ascii="仿宋_GB2312" w:eastAsia="仿宋_GB2312"/>
      <w:color w:val="auto"/>
      <w:kern w:val="2"/>
      <w:sz w:val="28"/>
      <w:szCs w:val="28"/>
    </w:rPr>
  </w:style>
  <w:style w:type="paragraph" w:styleId="30">
    <w:name w:val="Balloon Text"/>
    <w:basedOn w:val="1"/>
    <w:link w:val="112"/>
    <w:qFormat/>
    <w:uiPriority w:val="0"/>
    <w:pPr>
      <w:autoSpaceDE/>
      <w:autoSpaceDN/>
      <w:adjustRightInd/>
    </w:pPr>
    <w:rPr>
      <w:color w:val="auto"/>
      <w:kern w:val="2"/>
      <w:sz w:val="18"/>
      <w:szCs w:val="18"/>
    </w:rPr>
  </w:style>
  <w:style w:type="paragraph" w:styleId="31">
    <w:name w:val="footer"/>
    <w:basedOn w:val="1"/>
    <w:link w:val="83"/>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2">
    <w:name w:val="envelope return"/>
    <w:basedOn w:val="1"/>
    <w:qFormat/>
    <w:uiPriority w:val="0"/>
    <w:pPr>
      <w:snapToGrid w:val="0"/>
    </w:pPr>
    <w:rPr>
      <w:rFonts w:ascii="Arial" w:hAnsi="Arial"/>
      <w:szCs w:val="21"/>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34">
    <w:name w:val="Signature"/>
    <w:basedOn w:val="1"/>
    <w:next w:val="1"/>
    <w:link w:val="94"/>
    <w:qFormat/>
    <w:uiPriority w:val="0"/>
    <w:pPr>
      <w:keepNext/>
      <w:widowControl/>
      <w:numPr>
        <w:ilvl w:val="1"/>
        <w:numId w:val="3"/>
      </w:numPr>
      <w:autoSpaceDE/>
      <w:autoSpaceDN/>
      <w:spacing w:line="220" w:lineRule="atLeast"/>
      <w:jc w:val="right"/>
      <w:textAlignment w:val="baseline"/>
    </w:pPr>
    <w:rPr>
      <w:rFonts w:ascii="Arial" w:hAnsi="Arial" w:eastAsiaTheme="minorEastAsia" w:cstheme="minorBidi"/>
      <w:color w:val="auto"/>
      <w:spacing w:val="-5"/>
      <w:kern w:val="2"/>
      <w:sz w:val="24"/>
      <w:szCs w:val="22"/>
    </w:rPr>
  </w:style>
  <w:style w:type="paragraph" w:styleId="35">
    <w:name w:val="toc 1"/>
    <w:basedOn w:val="1"/>
    <w:next w:val="1"/>
    <w:qFormat/>
    <w:uiPriority w:val="0"/>
    <w:pPr>
      <w:spacing w:line="360" w:lineRule="auto"/>
    </w:pPr>
    <w:rPr>
      <w:rFonts w:eastAsia="黑体"/>
      <w:sz w:val="24"/>
    </w:rPr>
  </w:style>
  <w:style w:type="paragraph" w:styleId="36">
    <w:name w:val="toc 4"/>
    <w:basedOn w:val="1"/>
    <w:next w:val="1"/>
    <w:qFormat/>
    <w:uiPriority w:val="0"/>
    <w:pPr>
      <w:autoSpaceDE/>
      <w:autoSpaceDN/>
      <w:adjustRightInd/>
      <w:spacing w:line="360" w:lineRule="auto"/>
      <w:ind w:left="720" w:firstLine="200" w:firstLineChars="200"/>
      <w:jc w:val="left"/>
    </w:pPr>
    <w:rPr>
      <w:rFonts w:ascii="Calibri" w:hAnsi="Calibri"/>
      <w:color w:val="auto"/>
      <w:kern w:val="2"/>
      <w:sz w:val="18"/>
      <w:szCs w:val="18"/>
    </w:rPr>
  </w:style>
  <w:style w:type="paragraph" w:styleId="37">
    <w:name w:val="List"/>
    <w:basedOn w:val="1"/>
    <w:qFormat/>
    <w:uiPriority w:val="0"/>
    <w:pPr>
      <w:ind w:left="200" w:hanging="200" w:hangingChars="200"/>
      <w:contextualSpacing/>
    </w:pPr>
  </w:style>
  <w:style w:type="paragraph" w:styleId="38">
    <w:name w:val="footnote text"/>
    <w:basedOn w:val="1"/>
    <w:qFormat/>
    <w:uiPriority w:val="99"/>
    <w:pPr>
      <w:jc w:val="left"/>
    </w:pPr>
    <w:rPr>
      <w:kern w:val="1"/>
      <w:sz w:val="18"/>
    </w:rPr>
  </w:style>
  <w:style w:type="paragraph" w:styleId="39">
    <w:name w:val="toc 6"/>
    <w:basedOn w:val="1"/>
    <w:next w:val="1"/>
    <w:qFormat/>
    <w:uiPriority w:val="0"/>
    <w:pPr>
      <w:autoSpaceDE/>
      <w:autoSpaceDN/>
      <w:adjustRightInd/>
      <w:spacing w:line="360" w:lineRule="auto"/>
      <w:ind w:left="1200" w:firstLine="200" w:firstLineChars="200"/>
      <w:jc w:val="left"/>
    </w:pPr>
    <w:rPr>
      <w:rFonts w:ascii="Calibri" w:hAnsi="Calibri"/>
      <w:color w:val="auto"/>
      <w:kern w:val="2"/>
      <w:sz w:val="18"/>
      <w:szCs w:val="18"/>
    </w:rPr>
  </w:style>
  <w:style w:type="paragraph" w:styleId="40">
    <w:name w:val="Body Text Indent 3"/>
    <w:basedOn w:val="1"/>
    <w:link w:val="96"/>
    <w:qFormat/>
    <w:uiPriority w:val="0"/>
    <w:pPr>
      <w:autoSpaceDE/>
      <w:autoSpaceDN/>
      <w:adjustRightInd/>
      <w:ind w:firstLine="435"/>
    </w:pPr>
    <w:rPr>
      <w:rFonts w:asciiTheme="minorHAnsi" w:hAnsiTheme="minorHAnsi" w:eastAsiaTheme="minorEastAsia" w:cstheme="minorBidi"/>
      <w:color w:val="auto"/>
      <w:kern w:val="2"/>
      <w:szCs w:val="24"/>
    </w:rPr>
  </w:style>
  <w:style w:type="paragraph" w:styleId="41">
    <w:name w:val="toc 2"/>
    <w:basedOn w:val="1"/>
    <w:next w:val="1"/>
    <w:qFormat/>
    <w:uiPriority w:val="0"/>
    <w:pPr>
      <w:tabs>
        <w:tab w:val="right" w:leader="dot" w:pos="8296"/>
      </w:tabs>
      <w:autoSpaceDE/>
      <w:autoSpaceDN/>
      <w:adjustRightInd/>
      <w:spacing w:line="360" w:lineRule="auto"/>
      <w:ind w:left="240" w:firstLine="44" w:firstLineChars="22"/>
      <w:jc w:val="left"/>
    </w:pPr>
    <w:rPr>
      <w:rFonts w:ascii="Calibri" w:hAnsi="Calibri"/>
      <w:smallCaps/>
      <w:color w:val="auto"/>
      <w:kern w:val="2"/>
      <w:sz w:val="20"/>
      <w:szCs w:val="20"/>
    </w:rPr>
  </w:style>
  <w:style w:type="paragraph" w:styleId="42">
    <w:name w:val="toc 9"/>
    <w:basedOn w:val="1"/>
    <w:next w:val="1"/>
    <w:qFormat/>
    <w:uiPriority w:val="0"/>
    <w:pPr>
      <w:autoSpaceDE/>
      <w:autoSpaceDN/>
      <w:adjustRightInd/>
      <w:spacing w:line="360" w:lineRule="auto"/>
      <w:ind w:left="1920" w:firstLine="200" w:firstLineChars="200"/>
      <w:jc w:val="left"/>
    </w:pPr>
    <w:rPr>
      <w:rFonts w:ascii="Calibri" w:hAnsi="Calibri"/>
      <w:color w:val="auto"/>
      <w:kern w:val="2"/>
      <w:sz w:val="18"/>
      <w:szCs w:val="18"/>
    </w:rPr>
  </w:style>
  <w:style w:type="paragraph" w:styleId="43">
    <w:name w:val="Body Text 2"/>
    <w:basedOn w:val="1"/>
    <w:link w:val="207"/>
    <w:qFormat/>
    <w:uiPriority w:val="0"/>
    <w:pPr>
      <w:autoSpaceDE/>
      <w:autoSpaceDN/>
      <w:adjustRightInd/>
      <w:spacing w:after="120" w:line="480" w:lineRule="auto"/>
      <w:ind w:left="425" w:hanging="425"/>
    </w:pPr>
    <w:rPr>
      <w:kern w:val="2"/>
      <w:szCs w:val="22"/>
    </w:rPr>
  </w:style>
  <w:style w:type="paragraph" w:styleId="44">
    <w:name w:val="HTML Preformatted"/>
    <w:basedOn w:val="1"/>
    <w:link w:val="93"/>
    <w:qFormat/>
    <w:uiPriority w:val="0"/>
    <w:pPr>
      <w:autoSpaceDE/>
      <w:autoSpaceDN/>
      <w:adjustRightInd/>
    </w:pPr>
    <w:rPr>
      <w:rFonts w:ascii="Arial Unicode MS" w:hAnsi="Arial Unicode MS" w:eastAsia="Arial Unicode MS" w:cstheme="minorBidi"/>
      <w:color w:val="auto"/>
      <w:kern w:val="2"/>
      <w:szCs w:val="22"/>
    </w:rPr>
  </w:style>
  <w:style w:type="paragraph" w:styleId="45">
    <w:name w:val="Normal (Web)"/>
    <w:basedOn w:val="1"/>
    <w:link w:val="86"/>
    <w:qFormat/>
    <w:uiPriority w:val="0"/>
    <w:pPr>
      <w:widowControl/>
      <w:autoSpaceDE/>
      <w:autoSpaceDN/>
      <w:adjustRightInd/>
      <w:spacing w:before="100" w:beforeAutospacing="1" w:after="100" w:afterAutospacing="1"/>
      <w:jc w:val="left"/>
    </w:pPr>
    <w:rPr>
      <w:rFonts w:ascii="宋体" w:hAnsi="宋体" w:eastAsiaTheme="minorEastAsia" w:cstheme="minorBidi"/>
      <w:kern w:val="2"/>
      <w:sz w:val="24"/>
      <w:szCs w:val="24"/>
    </w:rPr>
  </w:style>
  <w:style w:type="paragraph" w:styleId="46">
    <w:name w:val="index 1"/>
    <w:basedOn w:val="1"/>
    <w:next w:val="1"/>
    <w:qFormat/>
    <w:uiPriority w:val="0"/>
    <w:pPr>
      <w:autoSpaceDE/>
      <w:autoSpaceDN/>
      <w:spacing w:line="360" w:lineRule="atLeast"/>
      <w:jc w:val="center"/>
      <w:textAlignment w:val="baseline"/>
    </w:pPr>
    <w:rPr>
      <w:rFonts w:ascii="Arial" w:hAnsi="Arial"/>
      <w:color w:val="auto"/>
      <w:kern w:val="2"/>
    </w:rPr>
  </w:style>
  <w:style w:type="paragraph" w:styleId="47">
    <w:name w:val="Title"/>
    <w:basedOn w:val="1"/>
    <w:next w:val="1"/>
    <w:link w:val="206"/>
    <w:qFormat/>
    <w:uiPriority w:val="0"/>
    <w:pPr>
      <w:autoSpaceDE/>
      <w:autoSpaceDN/>
      <w:adjustRightInd/>
      <w:spacing w:before="240" w:after="60"/>
      <w:jc w:val="center"/>
      <w:outlineLvl w:val="0"/>
    </w:pPr>
    <w:rPr>
      <w:rFonts w:ascii="Arial" w:hAnsi="Arial"/>
      <w:b/>
      <w:bCs/>
      <w:kern w:val="2"/>
      <w:sz w:val="32"/>
      <w:szCs w:val="32"/>
    </w:rPr>
  </w:style>
  <w:style w:type="paragraph" w:styleId="48">
    <w:name w:val="annotation subject"/>
    <w:basedOn w:val="18"/>
    <w:next w:val="18"/>
    <w:link w:val="109"/>
    <w:qFormat/>
    <w:uiPriority w:val="0"/>
    <w:pPr>
      <w:autoSpaceDE/>
      <w:autoSpaceDN/>
      <w:adjustRightInd/>
    </w:pPr>
    <w:rPr>
      <w:b/>
      <w:bCs/>
      <w:color w:val="auto"/>
      <w:kern w:val="2"/>
      <w:szCs w:val="24"/>
    </w:rPr>
  </w:style>
  <w:style w:type="paragraph" w:styleId="49">
    <w:name w:val="Body Text First Indent"/>
    <w:basedOn w:val="20"/>
    <w:next w:val="39"/>
    <w:link w:val="158"/>
    <w:unhideWhenUsed/>
    <w:qFormat/>
    <w:uiPriority w:val="0"/>
    <w:pPr>
      <w:ind w:firstLine="420" w:firstLineChars="100"/>
    </w:pPr>
  </w:style>
  <w:style w:type="paragraph" w:styleId="50">
    <w:name w:val="Body Text First Indent 2"/>
    <w:basedOn w:val="21"/>
    <w:next w:val="51"/>
    <w:link w:val="115"/>
    <w:qFormat/>
    <w:uiPriority w:val="0"/>
    <w:pPr>
      <w:autoSpaceDE/>
      <w:autoSpaceDN/>
      <w:adjustRightInd/>
      <w:spacing w:line="360" w:lineRule="auto"/>
      <w:ind w:firstLine="420" w:firstLineChars="200"/>
    </w:pPr>
    <w:rPr>
      <w:rFonts w:ascii="Calibri" w:hAnsi="Calibri"/>
      <w:color w:val="auto"/>
      <w:kern w:val="2"/>
      <w:sz w:val="24"/>
      <w:szCs w:val="22"/>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basedOn w:val="54"/>
    <w:semiHidden/>
    <w:unhideWhenUsed/>
    <w:qFormat/>
    <w:uiPriority w:val="99"/>
    <w:rPr>
      <w:color w:val="800080"/>
      <w:u w:val="none"/>
    </w:rPr>
  </w:style>
  <w:style w:type="character" w:styleId="58">
    <w:name w:val="Emphasis"/>
    <w:qFormat/>
    <w:uiPriority w:val="0"/>
    <w:rPr>
      <w:color w:val="CC0000"/>
    </w:rPr>
  </w:style>
  <w:style w:type="character" w:styleId="59">
    <w:name w:val="Hyperlink"/>
    <w:basedOn w:val="54"/>
    <w:qFormat/>
    <w:uiPriority w:val="0"/>
    <w:rPr>
      <w:color w:val="0000FF"/>
      <w:u w:val="none"/>
    </w:rPr>
  </w:style>
  <w:style w:type="character" w:styleId="60">
    <w:name w:val="annotation reference"/>
    <w:qFormat/>
    <w:uiPriority w:val="0"/>
    <w:rPr>
      <w:sz w:val="21"/>
      <w:szCs w:val="21"/>
    </w:rPr>
  </w:style>
  <w:style w:type="paragraph" w:customStyle="1" w:styleId="61">
    <w:name w:val="正文1"/>
    <w:basedOn w:val="62"/>
    <w:qFormat/>
    <w:uiPriority w:val="0"/>
    <w:pPr>
      <w:widowControl w:val="0"/>
      <w:jc w:val="both"/>
    </w:pPr>
    <w:rPr>
      <w:kern w:val="2"/>
      <w:sz w:val="21"/>
      <w:lang w:val="en-US" w:eastAsia="zh-CN" w:bidi="ar-SA"/>
    </w:rPr>
  </w:style>
  <w:style w:type="paragraph" w:customStyle="1" w:styleId="62">
    <w:name w:val="[Normal]"/>
    <w:qFormat/>
    <w:uiPriority w:val="0"/>
    <w:rPr>
      <w:rFonts w:ascii="宋体" w:hAnsi="宋体" w:eastAsia="宋体" w:cs="Times New Roman"/>
      <w:sz w:val="24"/>
      <w:szCs w:val="22"/>
      <w:lang w:val="zh-CN" w:eastAsia="zh-CN" w:bidi="ar-SA"/>
    </w:rPr>
  </w:style>
  <w:style w:type="paragraph" w:customStyle="1" w:styleId="63">
    <w:name w:val="表格文字"/>
    <w:basedOn w:val="64"/>
    <w:next w:val="20"/>
    <w:qFormat/>
    <w:uiPriority w:val="0"/>
    <w:pPr>
      <w:ind w:firstLine="200" w:firstLineChars="200"/>
    </w:pPr>
    <w:rPr>
      <w:rFonts w:ascii="Arial" w:hAnsi="Arial"/>
      <w:spacing w:val="-5"/>
      <w:sz w:val="24"/>
      <w:szCs w:val="20"/>
    </w:rPr>
  </w:style>
  <w:style w:type="paragraph" w:customStyle="1" w:styleId="64">
    <w:name w:val="表格文字（两侧对齐）"/>
    <w:basedOn w:val="1"/>
    <w:qFormat/>
    <w:uiPriority w:val="0"/>
    <w:pPr>
      <w:snapToGrid w:val="0"/>
    </w:pPr>
    <w:rPr>
      <w:sz w:val="20"/>
      <w:szCs w:val="24"/>
    </w:rPr>
  </w:style>
  <w:style w:type="paragraph" w:customStyle="1" w:styleId="65">
    <w:name w:val="正文首行缩进 21"/>
    <w:basedOn w:val="66"/>
    <w:qFormat/>
    <w:uiPriority w:val="0"/>
    <w:pPr>
      <w:autoSpaceDE/>
      <w:autoSpaceDN/>
      <w:adjustRightInd/>
      <w:ind w:firstLine="420"/>
    </w:pPr>
    <w:rPr>
      <w:rFonts w:cs="宋体"/>
      <w:kern w:val="2"/>
    </w:rPr>
  </w:style>
  <w:style w:type="paragraph" w:customStyle="1" w:styleId="66">
    <w:name w:val="正文文本缩进1"/>
    <w:basedOn w:val="1"/>
    <w:next w:val="1"/>
    <w:qFormat/>
    <w:uiPriority w:val="0"/>
    <w:pPr>
      <w:spacing w:after="120"/>
      <w:ind w:left="420" w:leftChars="200"/>
    </w:pPr>
  </w:style>
  <w:style w:type="character" w:customStyle="1" w:styleId="67">
    <w:name w:val="标题 1 Char"/>
    <w:basedOn w:val="54"/>
    <w:link w:val="2"/>
    <w:qFormat/>
    <w:uiPriority w:val="0"/>
    <w:rPr>
      <w:rFonts w:ascii="Times New Roman" w:hAnsi="Times New Roman" w:eastAsia="宋体" w:cs="Times New Roman"/>
      <w:b/>
      <w:color w:val="000000"/>
      <w:kern w:val="44"/>
      <w:sz w:val="44"/>
      <w:szCs w:val="21"/>
    </w:rPr>
  </w:style>
  <w:style w:type="character" w:customStyle="1" w:styleId="68">
    <w:name w:val="标题 2 Char"/>
    <w:basedOn w:val="54"/>
    <w:link w:val="3"/>
    <w:qFormat/>
    <w:uiPriority w:val="0"/>
    <w:rPr>
      <w:rFonts w:ascii="Arial" w:hAnsi="Arial" w:eastAsia="黑体" w:cs="Times New Roman"/>
      <w:b/>
      <w:bCs/>
      <w:color w:val="000000"/>
      <w:sz w:val="32"/>
      <w:szCs w:val="32"/>
    </w:rPr>
  </w:style>
  <w:style w:type="character" w:customStyle="1" w:styleId="69">
    <w:name w:val="标题 3 Char"/>
    <w:basedOn w:val="54"/>
    <w:link w:val="4"/>
    <w:qFormat/>
    <w:uiPriority w:val="0"/>
    <w:rPr>
      <w:rFonts w:ascii="Times New Roman" w:hAnsi="Times New Roman" w:eastAsia="宋体" w:cs="Times New Roman"/>
      <w:b/>
      <w:bCs/>
      <w:color w:val="000000"/>
      <w:kern w:val="0"/>
      <w:sz w:val="32"/>
      <w:szCs w:val="32"/>
    </w:rPr>
  </w:style>
  <w:style w:type="character" w:customStyle="1" w:styleId="70">
    <w:name w:val="标题 4 Char"/>
    <w:basedOn w:val="54"/>
    <w:link w:val="5"/>
    <w:qFormat/>
    <w:uiPriority w:val="0"/>
    <w:rPr>
      <w:rFonts w:ascii="Cambria" w:hAnsi="Cambria" w:eastAsia="黑体" w:cs="Times New Roman"/>
      <w:b/>
      <w:bCs/>
      <w:sz w:val="24"/>
      <w:szCs w:val="28"/>
    </w:rPr>
  </w:style>
  <w:style w:type="character" w:customStyle="1" w:styleId="71">
    <w:name w:val="正文文字2 Char"/>
    <w:link w:val="72"/>
    <w:qFormat/>
    <w:uiPriority w:val="0"/>
    <w:rPr>
      <w:rFonts w:ascii="Arial" w:eastAsia="黑体"/>
    </w:rPr>
  </w:style>
  <w:style w:type="paragraph" w:customStyle="1" w:styleId="72">
    <w:name w:val="正文文字2"/>
    <w:basedOn w:val="20"/>
    <w:link w:val="71"/>
    <w:qFormat/>
    <w:uiPriority w:val="0"/>
    <w:pPr>
      <w:autoSpaceDE/>
      <w:autoSpaceDN/>
      <w:spacing w:after="60" w:line="360" w:lineRule="atLeast"/>
      <w:ind w:left="72" w:right="72"/>
      <w:jc w:val="center"/>
      <w:textAlignment w:val="baseline"/>
    </w:pPr>
    <w:rPr>
      <w:rFonts w:ascii="Arial" w:eastAsia="黑体" w:hAnsiTheme="minorHAnsi" w:cstheme="minorBidi"/>
      <w:color w:val="auto"/>
      <w:kern w:val="2"/>
      <w:szCs w:val="22"/>
    </w:rPr>
  </w:style>
  <w:style w:type="character" w:customStyle="1" w:styleId="73">
    <w:name w:val="列出段落 Char Char"/>
    <w:link w:val="74"/>
    <w:qFormat/>
    <w:uiPriority w:val="0"/>
    <w:rPr>
      <w:rFonts w:ascii="Calibri" w:hAnsi="Calibri"/>
    </w:rPr>
  </w:style>
  <w:style w:type="paragraph" w:customStyle="1" w:styleId="74">
    <w:name w:val="列表段落1"/>
    <w:basedOn w:val="1"/>
    <w:link w:val="73"/>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5">
    <w:name w:val="列出段落 Char"/>
    <w:link w:val="76"/>
    <w:qFormat/>
    <w:uiPriority w:val="0"/>
    <w:rPr>
      <w:rFonts w:ascii="Calibri" w:hAnsi="Calibri"/>
    </w:rPr>
  </w:style>
  <w:style w:type="paragraph" w:styleId="76">
    <w:name w:val="List Paragraph"/>
    <w:basedOn w:val="1"/>
    <w:link w:val="75"/>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7">
    <w:name w:val="日期 Char1"/>
    <w:qFormat/>
    <w:uiPriority w:val="0"/>
    <w:rPr>
      <w:kern w:val="2"/>
      <w:sz w:val="21"/>
      <w:szCs w:val="24"/>
    </w:rPr>
  </w:style>
  <w:style w:type="character" w:customStyle="1" w:styleId="78">
    <w:name w:val="Char Char3"/>
    <w:basedOn w:val="54"/>
    <w:qFormat/>
    <w:uiPriority w:val="0"/>
    <w:rPr>
      <w:rFonts w:ascii="宋体" w:hAnsi="Courier New" w:eastAsia="宋体"/>
      <w:sz w:val="24"/>
      <w:szCs w:val="24"/>
      <w:lang w:bidi="ar-SA"/>
    </w:rPr>
  </w:style>
  <w:style w:type="character" w:customStyle="1" w:styleId="79">
    <w:name w:val="正文缩进 Char1"/>
    <w:basedOn w:val="54"/>
    <w:link w:val="8"/>
    <w:qFormat/>
    <w:uiPriority w:val="0"/>
  </w:style>
  <w:style w:type="character" w:customStyle="1" w:styleId="80">
    <w:name w:val="正文文本缩进 字符"/>
    <w:basedOn w:val="54"/>
    <w:qFormat/>
    <w:uiPriority w:val="0"/>
    <w:rPr>
      <w:rFonts w:eastAsia="宋体"/>
      <w:color w:val="000000"/>
      <w:sz w:val="21"/>
      <w:szCs w:val="21"/>
      <w:lang w:val="en-US" w:eastAsia="zh-CN" w:bidi="ar-SA"/>
    </w:rPr>
  </w:style>
  <w:style w:type="character" w:customStyle="1" w:styleId="81">
    <w:name w:val="15"/>
    <w:basedOn w:val="54"/>
    <w:qFormat/>
    <w:uiPriority w:val="0"/>
    <w:rPr>
      <w:rFonts w:hint="default" w:ascii="Lucida Sans" w:hAnsi="Lucida Sans"/>
    </w:rPr>
  </w:style>
  <w:style w:type="character" w:customStyle="1" w:styleId="82">
    <w:name w:val="jtz3 Char"/>
    <w:qFormat/>
    <w:uiPriority w:val="0"/>
    <w:rPr>
      <w:rFonts w:eastAsia="宋体"/>
      <w:b/>
      <w:bCs/>
      <w:kern w:val="2"/>
      <w:sz w:val="28"/>
      <w:szCs w:val="32"/>
      <w:lang w:val="en-US" w:eastAsia="zh-CN" w:bidi="ar-SA"/>
    </w:rPr>
  </w:style>
  <w:style w:type="character" w:customStyle="1" w:styleId="83">
    <w:name w:val="页脚 Char1"/>
    <w:basedOn w:val="54"/>
    <w:link w:val="31"/>
    <w:qFormat/>
    <w:uiPriority w:val="99"/>
    <w:rPr>
      <w:color w:val="000000"/>
      <w:sz w:val="18"/>
      <w:szCs w:val="18"/>
    </w:rPr>
  </w:style>
  <w:style w:type="character" w:customStyle="1" w:styleId="84">
    <w:name w:val="页眉 Char1"/>
    <w:basedOn w:val="54"/>
    <w:link w:val="33"/>
    <w:qFormat/>
    <w:uiPriority w:val="99"/>
    <w:rPr>
      <w:color w:val="000000"/>
      <w:sz w:val="18"/>
      <w:szCs w:val="18"/>
    </w:rPr>
  </w:style>
  <w:style w:type="character" w:customStyle="1" w:styleId="85">
    <w:name w:val="jtz2 Char1"/>
    <w:qFormat/>
    <w:uiPriority w:val="0"/>
    <w:rPr>
      <w:rFonts w:ascii="Cambria" w:hAnsi="Cambria" w:eastAsia="宋体"/>
      <w:b/>
      <w:bCs/>
      <w:kern w:val="2"/>
      <w:sz w:val="30"/>
      <w:szCs w:val="32"/>
      <w:lang w:val="en-US" w:eastAsia="zh-CN" w:bidi="ar-SA"/>
    </w:rPr>
  </w:style>
  <w:style w:type="character" w:customStyle="1" w:styleId="86">
    <w:name w:val="普通(网站) Char"/>
    <w:basedOn w:val="54"/>
    <w:link w:val="45"/>
    <w:qFormat/>
    <w:uiPriority w:val="0"/>
    <w:rPr>
      <w:rFonts w:ascii="宋体" w:hAnsi="宋体"/>
      <w:color w:val="000000"/>
      <w:sz w:val="24"/>
      <w:szCs w:val="24"/>
    </w:rPr>
  </w:style>
  <w:style w:type="character" w:customStyle="1" w:styleId="87">
    <w:name w:val="Char Char13"/>
    <w:qFormat/>
    <w:uiPriority w:val="0"/>
    <w:rPr>
      <w:rFonts w:eastAsia="宋体"/>
      <w:b/>
      <w:bCs/>
      <w:kern w:val="44"/>
      <w:sz w:val="44"/>
      <w:szCs w:val="44"/>
      <w:lang w:val="en-US" w:eastAsia="zh-CN" w:bidi="ar-SA"/>
    </w:rPr>
  </w:style>
  <w:style w:type="character" w:customStyle="1" w:styleId="88">
    <w:name w:val="Char Char17"/>
    <w:qFormat/>
    <w:uiPriority w:val="0"/>
    <w:rPr>
      <w:rFonts w:ascii="Calibri" w:hAnsi="Calibri" w:eastAsia="宋体" w:cs="Times New Roman"/>
    </w:rPr>
  </w:style>
  <w:style w:type="character" w:customStyle="1" w:styleId="89">
    <w:name w:val="正文文本缩进 2 Char1"/>
    <w:qFormat/>
    <w:uiPriority w:val="0"/>
    <w:rPr>
      <w:kern w:val="2"/>
      <w:sz w:val="21"/>
      <w:szCs w:val="24"/>
    </w:rPr>
  </w:style>
  <w:style w:type="character" w:customStyle="1" w:styleId="90">
    <w:name w:val="param-name"/>
    <w:qFormat/>
    <w:uiPriority w:val="0"/>
  </w:style>
  <w:style w:type="character" w:customStyle="1" w:styleId="91">
    <w:name w:val="01 正文样式 Char"/>
    <w:link w:val="92"/>
    <w:qFormat/>
    <w:uiPriority w:val="0"/>
    <w:rPr>
      <w:sz w:val="24"/>
    </w:rPr>
  </w:style>
  <w:style w:type="paragraph" w:customStyle="1" w:styleId="92">
    <w:name w:val="01 正文样式"/>
    <w:basedOn w:val="1"/>
    <w:link w:val="91"/>
    <w:qFormat/>
    <w:uiPriority w:val="0"/>
    <w:pPr>
      <w:autoSpaceDE/>
      <w:autoSpaceDN/>
      <w:adjustRightInd/>
      <w:spacing w:line="560" w:lineRule="exact"/>
      <w:ind w:firstLine="480" w:firstLineChars="200"/>
    </w:pPr>
    <w:rPr>
      <w:rFonts w:asciiTheme="minorHAnsi" w:hAnsiTheme="minorHAnsi" w:eastAsiaTheme="minorEastAsia" w:cstheme="minorBidi"/>
      <w:color w:val="auto"/>
      <w:kern w:val="2"/>
      <w:sz w:val="24"/>
      <w:szCs w:val="22"/>
    </w:rPr>
  </w:style>
  <w:style w:type="character" w:customStyle="1" w:styleId="93">
    <w:name w:val="HTML 预设格式 Char"/>
    <w:basedOn w:val="54"/>
    <w:link w:val="44"/>
    <w:qFormat/>
    <w:uiPriority w:val="0"/>
    <w:rPr>
      <w:rFonts w:ascii="Arial Unicode MS" w:hAnsi="Arial Unicode MS" w:eastAsia="Arial Unicode MS"/>
    </w:rPr>
  </w:style>
  <w:style w:type="character" w:customStyle="1" w:styleId="94">
    <w:name w:val="签名 Char"/>
    <w:basedOn w:val="54"/>
    <w:link w:val="34"/>
    <w:qFormat/>
    <w:uiPriority w:val="0"/>
    <w:rPr>
      <w:rFonts w:ascii="Arial" w:hAnsi="Arial"/>
      <w:spacing w:val="-5"/>
      <w:sz w:val="24"/>
    </w:rPr>
  </w:style>
  <w:style w:type="character" w:customStyle="1" w:styleId="95">
    <w:name w:val="jtz2 Char"/>
    <w:qFormat/>
    <w:uiPriority w:val="0"/>
    <w:rPr>
      <w:rFonts w:ascii="Arial" w:hAnsi="Arial" w:eastAsia="宋体"/>
      <w:b/>
      <w:bCs/>
      <w:kern w:val="2"/>
      <w:sz w:val="30"/>
      <w:szCs w:val="32"/>
      <w:lang w:val="en-US" w:eastAsia="zh-CN" w:bidi="ar-SA"/>
    </w:rPr>
  </w:style>
  <w:style w:type="character" w:customStyle="1" w:styleId="96">
    <w:name w:val="正文文本缩进 3 Char"/>
    <w:basedOn w:val="54"/>
    <w:link w:val="40"/>
    <w:qFormat/>
    <w:uiPriority w:val="0"/>
    <w:rPr>
      <w:szCs w:val="24"/>
    </w:rPr>
  </w:style>
  <w:style w:type="character" w:customStyle="1" w:styleId="97">
    <w:name w:val="纯文本 Char1"/>
    <w:basedOn w:val="54"/>
    <w:link w:val="25"/>
    <w:qFormat/>
    <w:uiPriority w:val="0"/>
    <w:rPr>
      <w:sz w:val="24"/>
    </w:rPr>
  </w:style>
  <w:style w:type="character" w:customStyle="1" w:styleId="98">
    <w:name w:val="01正文样式 Char"/>
    <w:link w:val="99"/>
    <w:qFormat/>
    <w:uiPriority w:val="0"/>
    <w:rPr>
      <w:rFonts w:ascii="Tahoma" w:hAnsi="Tahoma" w:eastAsia="仿宋_GB2312"/>
      <w:sz w:val="28"/>
    </w:rPr>
  </w:style>
  <w:style w:type="paragraph" w:customStyle="1" w:styleId="99">
    <w:name w:val="01正文样式"/>
    <w:basedOn w:val="1"/>
    <w:link w:val="98"/>
    <w:qFormat/>
    <w:uiPriority w:val="0"/>
    <w:pPr>
      <w:autoSpaceDE/>
      <w:autoSpaceDN/>
      <w:adjustRightInd/>
      <w:ind w:firstLine="480"/>
    </w:pPr>
    <w:rPr>
      <w:rFonts w:ascii="Tahoma" w:hAnsi="Tahoma" w:eastAsia="仿宋_GB2312" w:cstheme="minorBidi"/>
      <w:color w:val="auto"/>
      <w:kern w:val="2"/>
      <w:sz w:val="28"/>
      <w:szCs w:val="22"/>
    </w:rPr>
  </w:style>
  <w:style w:type="character" w:customStyle="1" w:styleId="100">
    <w:name w:val="日期 Char"/>
    <w:basedOn w:val="54"/>
    <w:link w:val="28"/>
    <w:qFormat/>
    <w:uiPriority w:val="0"/>
    <w:rPr>
      <w:color w:val="000000"/>
      <w:szCs w:val="21"/>
    </w:rPr>
  </w:style>
  <w:style w:type="character" w:customStyle="1" w:styleId="101">
    <w:name w:val="Char Char11"/>
    <w:basedOn w:val="54"/>
    <w:qFormat/>
    <w:uiPriority w:val="0"/>
    <w:rPr>
      <w:rFonts w:ascii="Arial" w:hAnsi="Arial" w:eastAsia="黑体"/>
      <w:b/>
      <w:kern w:val="2"/>
      <w:sz w:val="32"/>
      <w:szCs w:val="32"/>
      <w:lang w:val="en-US" w:eastAsia="zh-CN" w:bidi="ar-SA"/>
    </w:rPr>
  </w:style>
  <w:style w:type="character" w:customStyle="1" w:styleId="102">
    <w:name w:val="font01"/>
    <w:basedOn w:val="54"/>
    <w:qFormat/>
    <w:uiPriority w:val="0"/>
    <w:rPr>
      <w:rFonts w:hint="eastAsia" w:ascii="宋体" w:hAnsi="宋体" w:eastAsia="宋体" w:cs="宋体"/>
      <w:color w:val="000000"/>
      <w:sz w:val="24"/>
      <w:szCs w:val="24"/>
    </w:rPr>
  </w:style>
  <w:style w:type="character" w:customStyle="1" w:styleId="103">
    <w:name w:val="p0 Char"/>
    <w:link w:val="104"/>
    <w:qFormat/>
    <w:uiPriority w:val="0"/>
    <w:rPr>
      <w:szCs w:val="21"/>
    </w:rPr>
  </w:style>
  <w:style w:type="paragraph" w:customStyle="1" w:styleId="104">
    <w:name w:val="p0"/>
    <w:next w:val="26"/>
    <w:link w:val="103"/>
    <w:qFormat/>
    <w:uiPriority w:val="0"/>
    <w:pPr>
      <w:snapToGrid w:val="0"/>
    </w:pPr>
    <w:rPr>
      <w:rFonts w:asciiTheme="minorHAnsi" w:hAnsiTheme="minorHAnsi" w:eastAsiaTheme="minorEastAsia" w:cstheme="minorBidi"/>
      <w:kern w:val="2"/>
      <w:sz w:val="21"/>
      <w:szCs w:val="21"/>
      <w:lang w:val="en-US" w:eastAsia="zh-CN" w:bidi="ar-SA"/>
    </w:rPr>
  </w:style>
  <w:style w:type="character" w:customStyle="1" w:styleId="105">
    <w:name w:val="Font Style15"/>
    <w:qFormat/>
    <w:uiPriority w:val="0"/>
    <w:rPr>
      <w:rFonts w:ascii="MingLiU" w:eastAsia="MingLiU"/>
      <w:sz w:val="58"/>
    </w:rPr>
  </w:style>
  <w:style w:type="character" w:customStyle="1" w:styleId="106">
    <w:name w:val="正文 1.5 倍行距 Char"/>
    <w:link w:val="107"/>
    <w:qFormat/>
    <w:uiPriority w:val="0"/>
    <w:rPr>
      <w:sz w:val="24"/>
    </w:rPr>
  </w:style>
  <w:style w:type="paragraph" w:customStyle="1" w:styleId="107">
    <w:name w:val="正文 1.5 倍行距"/>
    <w:basedOn w:val="1"/>
    <w:link w:val="106"/>
    <w:qFormat/>
    <w:uiPriority w:val="0"/>
    <w:pPr>
      <w:spacing w:line="360" w:lineRule="auto"/>
      <w:ind w:firstLine="480" w:firstLineChars="200"/>
      <w:textAlignment w:val="baseline"/>
    </w:pPr>
    <w:rPr>
      <w:rFonts w:asciiTheme="minorHAnsi" w:hAnsiTheme="minorHAnsi" w:eastAsiaTheme="minorEastAsia" w:cstheme="minorBidi"/>
      <w:color w:val="auto"/>
      <w:kern w:val="2"/>
      <w:sz w:val="24"/>
      <w:szCs w:val="22"/>
    </w:rPr>
  </w:style>
  <w:style w:type="character" w:customStyle="1" w:styleId="108">
    <w:name w:val="批注文字 Char"/>
    <w:basedOn w:val="54"/>
    <w:link w:val="18"/>
    <w:qFormat/>
    <w:uiPriority w:val="0"/>
    <w:rPr>
      <w:rFonts w:ascii="Times New Roman" w:hAnsi="Times New Roman" w:eastAsia="宋体" w:cs="Times New Roman"/>
      <w:color w:val="000000"/>
      <w:kern w:val="0"/>
      <w:szCs w:val="21"/>
    </w:rPr>
  </w:style>
  <w:style w:type="character" w:customStyle="1" w:styleId="109">
    <w:name w:val="批注主题 Char"/>
    <w:basedOn w:val="108"/>
    <w:link w:val="48"/>
    <w:qFormat/>
    <w:uiPriority w:val="0"/>
    <w:rPr>
      <w:rFonts w:ascii="Times New Roman" w:hAnsi="Times New Roman" w:eastAsia="宋体" w:cs="Times New Roman"/>
      <w:b/>
      <w:bCs/>
      <w:color w:val="000000"/>
      <w:kern w:val="0"/>
      <w:szCs w:val="24"/>
    </w:rPr>
  </w:style>
  <w:style w:type="character" w:customStyle="1" w:styleId="110">
    <w:name w:val="正文文本缩进 3 字符1"/>
    <w:basedOn w:val="54"/>
    <w:semiHidden/>
    <w:qFormat/>
    <w:uiPriority w:val="99"/>
    <w:rPr>
      <w:rFonts w:ascii="Times New Roman" w:hAnsi="Times New Roman" w:eastAsia="宋体" w:cs="Times New Roman"/>
      <w:color w:val="000000"/>
      <w:kern w:val="0"/>
      <w:sz w:val="16"/>
      <w:szCs w:val="16"/>
    </w:rPr>
  </w:style>
  <w:style w:type="character" w:customStyle="1" w:styleId="111">
    <w:name w:val="纯文本 字符1"/>
    <w:basedOn w:val="54"/>
    <w:semiHidden/>
    <w:qFormat/>
    <w:uiPriority w:val="99"/>
    <w:rPr>
      <w:rFonts w:hAnsi="Courier New" w:cs="Courier New" w:asciiTheme="minorEastAsia"/>
      <w:color w:val="000000"/>
      <w:kern w:val="0"/>
      <w:szCs w:val="21"/>
    </w:rPr>
  </w:style>
  <w:style w:type="character" w:customStyle="1" w:styleId="112">
    <w:name w:val="批注框文本 Char"/>
    <w:basedOn w:val="54"/>
    <w:link w:val="30"/>
    <w:qFormat/>
    <w:uiPriority w:val="0"/>
    <w:rPr>
      <w:rFonts w:ascii="Times New Roman" w:hAnsi="Times New Roman" w:eastAsia="宋体" w:cs="Times New Roman"/>
      <w:sz w:val="18"/>
      <w:szCs w:val="18"/>
    </w:rPr>
  </w:style>
  <w:style w:type="character" w:customStyle="1" w:styleId="113">
    <w:name w:val="文档结构图 Char1"/>
    <w:basedOn w:val="54"/>
    <w:link w:val="17"/>
    <w:qFormat/>
    <w:uiPriority w:val="0"/>
    <w:rPr>
      <w:rFonts w:ascii="Times New Roman" w:hAnsi="Times New Roman" w:eastAsia="宋体" w:cs="Times New Roman"/>
      <w:szCs w:val="24"/>
      <w:shd w:val="clear" w:color="auto" w:fill="000080"/>
    </w:rPr>
  </w:style>
  <w:style w:type="character" w:customStyle="1" w:styleId="114">
    <w:name w:val="正文文本缩进 Char"/>
    <w:basedOn w:val="54"/>
    <w:link w:val="21"/>
    <w:qFormat/>
    <w:uiPriority w:val="0"/>
    <w:rPr>
      <w:rFonts w:ascii="Times New Roman" w:hAnsi="Times New Roman" w:eastAsia="宋体" w:cs="Times New Roman"/>
      <w:color w:val="000000"/>
      <w:kern w:val="0"/>
      <w:szCs w:val="21"/>
    </w:rPr>
  </w:style>
  <w:style w:type="character" w:customStyle="1" w:styleId="115">
    <w:name w:val="正文首行缩进 2 Char"/>
    <w:basedOn w:val="114"/>
    <w:link w:val="50"/>
    <w:qFormat/>
    <w:uiPriority w:val="0"/>
    <w:rPr>
      <w:rFonts w:ascii="Calibri" w:hAnsi="Calibri" w:eastAsia="宋体" w:cs="Times New Roman"/>
      <w:color w:val="000000"/>
      <w:kern w:val="0"/>
      <w:sz w:val="24"/>
      <w:szCs w:val="21"/>
    </w:rPr>
  </w:style>
  <w:style w:type="character" w:customStyle="1" w:styleId="116">
    <w:name w:val="HTML 预设格式 字符1"/>
    <w:basedOn w:val="54"/>
    <w:semiHidden/>
    <w:qFormat/>
    <w:uiPriority w:val="99"/>
    <w:rPr>
      <w:rFonts w:ascii="Courier New" w:hAnsi="Courier New" w:eastAsia="宋体" w:cs="Courier New"/>
      <w:color w:val="000000"/>
      <w:kern w:val="0"/>
      <w:sz w:val="20"/>
      <w:szCs w:val="20"/>
    </w:rPr>
  </w:style>
  <w:style w:type="character" w:customStyle="1" w:styleId="117">
    <w:name w:val="页脚 字符1"/>
    <w:basedOn w:val="54"/>
    <w:semiHidden/>
    <w:qFormat/>
    <w:uiPriority w:val="99"/>
    <w:rPr>
      <w:rFonts w:ascii="Times New Roman" w:hAnsi="Times New Roman" w:eastAsia="宋体" w:cs="Times New Roman"/>
      <w:color w:val="000000"/>
      <w:kern w:val="0"/>
      <w:sz w:val="18"/>
      <w:szCs w:val="18"/>
    </w:rPr>
  </w:style>
  <w:style w:type="character" w:customStyle="1" w:styleId="118">
    <w:name w:val="正文文本缩进 2 Char"/>
    <w:basedOn w:val="54"/>
    <w:link w:val="29"/>
    <w:qFormat/>
    <w:uiPriority w:val="0"/>
    <w:rPr>
      <w:rFonts w:ascii="仿宋_GB2312" w:hAnsi="Times New Roman" w:eastAsia="仿宋_GB2312" w:cs="Times New Roman"/>
      <w:sz w:val="28"/>
      <w:szCs w:val="28"/>
      <w:lang w:val="en-US" w:eastAsia="zh-CN"/>
    </w:rPr>
  </w:style>
  <w:style w:type="character" w:customStyle="1" w:styleId="119">
    <w:name w:val="签名 字符1"/>
    <w:basedOn w:val="54"/>
    <w:semiHidden/>
    <w:qFormat/>
    <w:uiPriority w:val="99"/>
    <w:rPr>
      <w:rFonts w:ascii="Times New Roman" w:hAnsi="Times New Roman" w:eastAsia="宋体" w:cs="Times New Roman"/>
      <w:color w:val="000000"/>
      <w:kern w:val="0"/>
      <w:szCs w:val="21"/>
    </w:rPr>
  </w:style>
  <w:style w:type="character" w:customStyle="1" w:styleId="120">
    <w:name w:val="日期 字符1"/>
    <w:basedOn w:val="54"/>
    <w:semiHidden/>
    <w:qFormat/>
    <w:uiPriority w:val="99"/>
    <w:rPr>
      <w:rFonts w:ascii="Times New Roman" w:hAnsi="Times New Roman" w:eastAsia="宋体" w:cs="Times New Roman"/>
      <w:color w:val="000000"/>
      <w:kern w:val="0"/>
      <w:szCs w:val="21"/>
    </w:rPr>
  </w:style>
  <w:style w:type="character" w:customStyle="1" w:styleId="121">
    <w:name w:val="正文文本 Char"/>
    <w:basedOn w:val="54"/>
    <w:link w:val="20"/>
    <w:qFormat/>
    <w:uiPriority w:val="0"/>
    <w:rPr>
      <w:rFonts w:ascii="Times New Roman" w:hAnsi="Times New Roman" w:eastAsia="宋体" w:cs="Times New Roman"/>
      <w:color w:val="000000"/>
      <w:kern w:val="0"/>
      <w:szCs w:val="21"/>
    </w:rPr>
  </w:style>
  <w:style w:type="character" w:customStyle="1" w:styleId="122">
    <w:name w:val="页眉 字符1"/>
    <w:basedOn w:val="54"/>
    <w:semiHidden/>
    <w:qFormat/>
    <w:uiPriority w:val="99"/>
    <w:rPr>
      <w:rFonts w:ascii="Times New Roman" w:hAnsi="Times New Roman" w:eastAsia="宋体" w:cs="Times New Roman"/>
      <w:color w:val="000000"/>
      <w:kern w:val="0"/>
      <w:sz w:val="18"/>
      <w:szCs w:val="18"/>
    </w:rPr>
  </w:style>
  <w:style w:type="paragraph" w:customStyle="1" w:styleId="123">
    <w:name w:val="正文段"/>
    <w:basedOn w:val="1"/>
    <w:next w:val="124"/>
    <w:qFormat/>
    <w:uiPriority w:val="0"/>
    <w:pPr>
      <w:widowControl/>
      <w:autoSpaceDE/>
      <w:autoSpaceDN/>
      <w:adjustRightInd/>
      <w:snapToGrid w:val="0"/>
      <w:spacing w:afterLines="50"/>
      <w:ind w:firstLine="200" w:firstLineChars="200"/>
    </w:pPr>
    <w:rPr>
      <w:color w:val="auto"/>
      <w:sz w:val="24"/>
      <w:szCs w:val="20"/>
    </w:rPr>
  </w:style>
  <w:style w:type="paragraph" w:customStyle="1" w:styleId="124">
    <w:name w:val="index 5"/>
    <w:basedOn w:val="1"/>
    <w:next w:val="1"/>
    <w:qFormat/>
    <w:uiPriority w:val="0"/>
    <w:pPr>
      <w:ind w:left="800" w:leftChars="800"/>
    </w:pPr>
  </w:style>
  <w:style w:type="paragraph" w:customStyle="1" w:styleId="125">
    <w:name w:val="Char Char Char Char Char Char Char Char Char Char Char Char Char Char Char Char Char Char Char Char Char Char Char Char Char Char Char Char"/>
    <w:basedOn w:val="1"/>
    <w:qFormat/>
    <w:uiPriority w:val="0"/>
    <w:pPr>
      <w:tabs>
        <w:tab w:val="left" w:pos="360"/>
      </w:tabs>
      <w:autoSpaceDE/>
      <w:autoSpaceDN/>
      <w:adjustRightInd/>
    </w:pPr>
    <w:rPr>
      <w:color w:val="auto"/>
      <w:kern w:val="2"/>
      <w:sz w:val="24"/>
      <w:szCs w:val="24"/>
    </w:rPr>
  </w:style>
  <w:style w:type="paragraph" w:customStyle="1" w:styleId="126">
    <w:name w:val="p20"/>
    <w:basedOn w:val="1"/>
    <w:qFormat/>
    <w:uiPriority w:val="0"/>
    <w:pPr>
      <w:widowControl/>
      <w:autoSpaceDE/>
      <w:autoSpaceDN/>
      <w:adjustRightInd/>
      <w:ind w:left="425" w:firstLine="420"/>
    </w:pPr>
    <w:rPr>
      <w:rFonts w:ascii="Calibri" w:hAnsi="Calibri" w:cs="宋体"/>
      <w:color w:val="auto"/>
    </w:rPr>
  </w:style>
  <w:style w:type="paragraph" w:customStyle="1" w:styleId="127">
    <w:name w:val="p22"/>
    <w:basedOn w:val="1"/>
    <w:qFormat/>
    <w:uiPriority w:val="0"/>
    <w:pPr>
      <w:widowControl/>
      <w:autoSpaceDE/>
      <w:autoSpaceDN/>
      <w:adjustRightInd/>
      <w:jc w:val="left"/>
    </w:pPr>
    <w:rPr>
      <w:color w:val="auto"/>
      <w:sz w:val="18"/>
      <w:szCs w:val="18"/>
    </w:rPr>
  </w:style>
  <w:style w:type="paragraph" w:customStyle="1" w:styleId="128">
    <w:name w:val="列出段落1"/>
    <w:basedOn w:val="1"/>
    <w:qFormat/>
    <w:uiPriority w:val="0"/>
    <w:pPr>
      <w:autoSpaceDE/>
      <w:autoSpaceDN/>
      <w:adjustRightInd/>
      <w:ind w:firstLine="420" w:firstLineChars="200"/>
    </w:pPr>
    <w:rPr>
      <w:color w:val="auto"/>
      <w:kern w:val="2"/>
      <w:szCs w:val="24"/>
    </w:rPr>
  </w:style>
  <w:style w:type="paragraph" w:customStyle="1" w:styleId="129">
    <w:name w:val="p15"/>
    <w:basedOn w:val="1"/>
    <w:qFormat/>
    <w:uiPriority w:val="0"/>
    <w:pPr>
      <w:widowControl/>
      <w:autoSpaceDE/>
      <w:autoSpaceDN/>
      <w:adjustRightInd/>
      <w:snapToGrid w:val="0"/>
    </w:pPr>
  </w:style>
  <w:style w:type="paragraph" w:customStyle="1" w:styleId="130">
    <w:name w:val="Char"/>
    <w:basedOn w:val="1"/>
    <w:qFormat/>
    <w:uiPriority w:val="0"/>
    <w:pPr>
      <w:widowControl/>
      <w:autoSpaceDE/>
      <w:autoSpaceDN/>
      <w:adjustRightInd/>
      <w:spacing w:after="160" w:line="240" w:lineRule="exact"/>
      <w:jc w:val="left"/>
    </w:pPr>
    <w:rPr>
      <w:rFonts w:ascii="Verdana" w:hAnsi="Verdana"/>
      <w:color w:val="auto"/>
      <w:szCs w:val="20"/>
      <w:lang w:eastAsia="en-US"/>
    </w:rPr>
  </w:style>
  <w:style w:type="paragraph" w:customStyle="1" w:styleId="131">
    <w:name w:val="列项"/>
    <w:basedOn w:val="1"/>
    <w:next w:val="1"/>
    <w:qFormat/>
    <w:uiPriority w:val="0"/>
    <w:pPr>
      <w:numPr>
        <w:ilvl w:val="0"/>
        <w:numId w:val="4"/>
      </w:numPr>
      <w:autoSpaceDE/>
      <w:autoSpaceDN/>
      <w:adjustRightInd/>
      <w:spacing w:line="360" w:lineRule="auto"/>
    </w:pPr>
    <w:rPr>
      <w:rFonts w:ascii="宋体" w:hAnsi="宋体"/>
      <w:color w:val="auto"/>
      <w:kern w:val="2"/>
      <w:sz w:val="24"/>
      <w:szCs w:val="22"/>
    </w:rPr>
  </w:style>
  <w:style w:type="paragraph" w:customStyle="1" w:styleId="132">
    <w:name w:val="p16"/>
    <w:basedOn w:val="1"/>
    <w:qFormat/>
    <w:uiPriority w:val="0"/>
    <w:pPr>
      <w:widowControl/>
      <w:autoSpaceDE/>
      <w:autoSpaceDN/>
      <w:adjustRightInd/>
    </w:pPr>
    <w:rPr>
      <w:color w:val="auto"/>
      <w:sz w:val="24"/>
      <w:szCs w:val="24"/>
    </w:rPr>
  </w:style>
  <w:style w:type="paragraph" w:customStyle="1" w:styleId="133">
    <w:name w:val="样式4"/>
    <w:basedOn w:val="2"/>
    <w:qFormat/>
    <w:uiPriority w:val="0"/>
    <w:pPr>
      <w:autoSpaceDE/>
      <w:autoSpaceDN/>
      <w:adjustRightInd/>
      <w:spacing w:line="480" w:lineRule="auto"/>
    </w:pPr>
    <w:rPr>
      <w:bCs/>
      <w:color w:val="auto"/>
      <w:sz w:val="32"/>
      <w:szCs w:val="44"/>
    </w:rPr>
  </w:style>
  <w:style w:type="paragraph" w:customStyle="1" w:styleId="134">
    <w:name w:val="正文文本首行缩进 21"/>
    <w:basedOn w:val="66"/>
    <w:qFormat/>
    <w:uiPriority w:val="0"/>
    <w:pPr>
      <w:ind w:firstLine="420"/>
    </w:pPr>
    <w:rPr>
      <w:rFonts w:cs="宋体"/>
    </w:rPr>
  </w:style>
  <w:style w:type="paragraph" w:customStyle="1" w:styleId="135">
    <w:name w:val="Char Char Char Char Char Char Char Char Char Char Char Char Char Char Char Char Char Char Char"/>
    <w:basedOn w:val="1"/>
    <w:qFormat/>
    <w:uiPriority w:val="0"/>
    <w:pPr>
      <w:autoSpaceDE/>
      <w:autoSpaceDN/>
      <w:adjustRightInd/>
    </w:pPr>
    <w:rPr>
      <w:color w:val="auto"/>
      <w:kern w:val="2"/>
      <w:szCs w:val="24"/>
    </w:rPr>
  </w:style>
  <w:style w:type="paragraph" w:customStyle="1" w:styleId="136">
    <w:name w:val="p23"/>
    <w:basedOn w:val="1"/>
    <w:qFormat/>
    <w:uiPriority w:val="0"/>
    <w:pPr>
      <w:widowControl/>
      <w:pBdr>
        <w:bottom w:val="single" w:color="000000" w:sz="6" w:space="1"/>
      </w:pBdr>
      <w:autoSpaceDE/>
      <w:autoSpaceDN/>
      <w:adjustRightInd/>
      <w:jc w:val="center"/>
    </w:pPr>
    <w:rPr>
      <w:color w:val="auto"/>
      <w:sz w:val="18"/>
      <w:szCs w:val="18"/>
    </w:rPr>
  </w:style>
  <w:style w:type="paragraph" w:customStyle="1" w:styleId="137">
    <w:name w:val="p21"/>
    <w:basedOn w:val="1"/>
    <w:qFormat/>
    <w:uiPriority w:val="0"/>
    <w:pPr>
      <w:widowControl/>
      <w:autoSpaceDE/>
      <w:autoSpaceDN/>
      <w:adjustRightInd/>
      <w:jc w:val="left"/>
    </w:pPr>
    <w:rPr>
      <w:color w:val="auto"/>
    </w:rPr>
  </w:style>
  <w:style w:type="paragraph" w:customStyle="1" w:styleId="1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9">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题注居中"/>
    <w:basedOn w:val="15"/>
    <w:next w:val="1"/>
    <w:qFormat/>
    <w:uiPriority w:val="0"/>
    <w:pPr>
      <w:spacing w:after="120" w:line="240" w:lineRule="exact"/>
      <w:ind w:firstLine="0" w:firstLineChars="0"/>
      <w:jc w:val="center"/>
    </w:pPr>
    <w:rPr>
      <w:rFonts w:ascii="宋体" w:hAnsi="宋体" w:eastAsia="宋体" w:cs="宋体"/>
      <w:b/>
      <w:sz w:val="21"/>
    </w:rPr>
  </w:style>
  <w:style w:type="paragraph" w:customStyle="1" w:styleId="141">
    <w:name w:val="Char Char Char Char Char Char"/>
    <w:basedOn w:val="1"/>
    <w:qFormat/>
    <w:uiPriority w:val="0"/>
    <w:pPr>
      <w:widowControl/>
      <w:autoSpaceDE/>
      <w:autoSpaceDN/>
      <w:adjustRightInd/>
      <w:spacing w:after="160" w:line="240" w:lineRule="exact"/>
      <w:jc w:val="left"/>
    </w:pPr>
    <w:rPr>
      <w:color w:val="auto"/>
      <w:kern w:val="2"/>
      <w:szCs w:val="24"/>
    </w:rPr>
  </w:style>
  <w:style w:type="paragraph" w:customStyle="1" w:styleId="142">
    <w:name w:val="Char Char Char Char1"/>
    <w:basedOn w:val="1"/>
    <w:qFormat/>
    <w:uiPriority w:val="0"/>
    <w:pPr>
      <w:autoSpaceDE/>
      <w:autoSpaceDN/>
      <w:adjustRightInd/>
    </w:pPr>
    <w:rPr>
      <w:rFonts w:ascii="Tahoma" w:hAnsi="Tahoma"/>
      <w:color w:val="auto"/>
      <w:kern w:val="2"/>
      <w:sz w:val="24"/>
      <w:szCs w:val="20"/>
    </w:rPr>
  </w:style>
  <w:style w:type="paragraph" w:customStyle="1" w:styleId="143">
    <w:name w:val="p17"/>
    <w:basedOn w:val="1"/>
    <w:qFormat/>
    <w:uiPriority w:val="0"/>
    <w:pPr>
      <w:widowControl/>
      <w:autoSpaceDE/>
      <w:autoSpaceDN/>
      <w:adjustRightInd/>
      <w:ind w:left="2520"/>
    </w:pPr>
    <w:rPr>
      <w:color w:val="auto"/>
    </w:rPr>
  </w:style>
  <w:style w:type="paragraph" w:customStyle="1" w:styleId="144">
    <w:name w:val="表格内"/>
    <w:basedOn w:val="1"/>
    <w:qFormat/>
    <w:uiPriority w:val="0"/>
    <w:rPr>
      <w:rFonts w:cs="宋体"/>
      <w:szCs w:val="20"/>
    </w:rPr>
  </w:style>
  <w:style w:type="paragraph" w:customStyle="1" w:styleId="145">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1"/>
      <w:szCs w:val="22"/>
      <w:lang w:val="en-US" w:eastAsia="zh-CN" w:bidi="ar-SA"/>
    </w:rPr>
  </w:style>
  <w:style w:type="paragraph" w:customStyle="1" w:styleId="146">
    <w:name w:val="p19"/>
    <w:basedOn w:val="1"/>
    <w:qFormat/>
    <w:uiPriority w:val="0"/>
    <w:pPr>
      <w:widowControl/>
      <w:autoSpaceDE/>
      <w:autoSpaceDN/>
      <w:adjustRightInd/>
      <w:spacing w:before="156" w:after="156" w:line="360" w:lineRule="auto"/>
      <w:ind w:firstLine="420"/>
    </w:pPr>
    <w:rPr>
      <w:color w:val="auto"/>
      <w:sz w:val="24"/>
      <w:szCs w:val="24"/>
    </w:rPr>
  </w:style>
  <w:style w:type="paragraph" w:customStyle="1" w:styleId="147">
    <w:name w:val="Char Char"/>
    <w:basedOn w:val="1"/>
    <w:qFormat/>
    <w:uiPriority w:val="0"/>
    <w:pPr>
      <w:autoSpaceDE/>
      <w:autoSpaceDN/>
      <w:adjustRightInd/>
    </w:pPr>
    <w:rPr>
      <w:rFonts w:ascii="仿宋_GB2312" w:eastAsia="仿宋_GB2312"/>
      <w:b/>
      <w:color w:val="auto"/>
      <w:kern w:val="2"/>
      <w:sz w:val="32"/>
      <w:szCs w:val="32"/>
    </w:rPr>
  </w:style>
  <w:style w:type="paragraph" w:customStyle="1" w:styleId="148">
    <w:name w:val="p18"/>
    <w:basedOn w:val="1"/>
    <w:qFormat/>
    <w:uiPriority w:val="0"/>
    <w:pPr>
      <w:widowControl/>
      <w:autoSpaceDE/>
      <w:autoSpaceDN/>
      <w:adjustRightInd/>
      <w:snapToGrid w:val="0"/>
      <w:jc w:val="left"/>
    </w:pPr>
    <w:rPr>
      <w:sz w:val="24"/>
      <w:szCs w:val="24"/>
    </w:rPr>
  </w:style>
  <w:style w:type="paragraph" w:customStyle="1" w:styleId="149">
    <w:name w:val="标题1"/>
    <w:basedOn w:val="1"/>
    <w:qFormat/>
    <w:uiPriority w:val="0"/>
    <w:pPr>
      <w:tabs>
        <w:tab w:val="left" w:pos="1442"/>
      </w:tabs>
      <w:autoSpaceDE/>
      <w:autoSpaceDN/>
      <w:adjustRightInd/>
      <w:spacing w:line="360" w:lineRule="auto"/>
      <w:jc w:val="center"/>
    </w:pPr>
    <w:rPr>
      <w:rFonts w:ascii="黑体" w:hAnsi="宋体" w:eastAsia="黑体"/>
      <w:b/>
      <w:color w:val="auto"/>
      <w:kern w:val="2"/>
      <w:sz w:val="32"/>
      <w:szCs w:val="24"/>
    </w:rPr>
  </w:style>
  <w:style w:type="paragraph" w:customStyle="1" w:styleId="150">
    <w:name w:val="文档正文"/>
    <w:basedOn w:val="1"/>
    <w:qFormat/>
    <w:uiPriority w:val="0"/>
    <w:pPr>
      <w:autoSpaceDE/>
      <w:autoSpaceDN/>
      <w:spacing w:line="440" w:lineRule="atLeast"/>
      <w:ind w:firstLine="200" w:firstLineChars="200"/>
      <w:textAlignment w:val="baseline"/>
    </w:pPr>
    <w:rPr>
      <w:rFonts w:ascii="宋体"/>
      <w:color w:val="auto"/>
      <w:spacing w:val="4"/>
      <w:sz w:val="24"/>
      <w:szCs w:val="20"/>
    </w:rPr>
  </w:style>
  <w:style w:type="paragraph" w:customStyle="1" w:styleId="151">
    <w:name w:val="样式 正文缩进首行缩进两字 + 小四 首行缩进:  2 字符"/>
    <w:basedOn w:val="8"/>
    <w:qFormat/>
    <w:uiPriority w:val="0"/>
    <w:pPr>
      <w:spacing w:line="360" w:lineRule="auto"/>
      <w:ind w:firstLine="200" w:firstLineChars="200"/>
    </w:pPr>
    <w:rPr>
      <w:rFonts w:cs="宋体"/>
      <w:sz w:val="24"/>
    </w:rPr>
  </w:style>
  <w:style w:type="character" w:customStyle="1" w:styleId="152">
    <w:name w:val="font91"/>
    <w:qFormat/>
    <w:uiPriority w:val="0"/>
    <w:rPr>
      <w:rFonts w:hint="eastAsia" w:ascii="宋体" w:hAnsi="宋体" w:eastAsia="宋体" w:cs="宋体"/>
      <w:color w:val="auto"/>
      <w:sz w:val="18"/>
      <w:szCs w:val="18"/>
      <w:u w:val="none"/>
    </w:rPr>
  </w:style>
  <w:style w:type="paragraph" w:styleId="153">
    <w:name w:val="No Spacing"/>
    <w:link w:val="189"/>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character" w:customStyle="1" w:styleId="154">
    <w:name w:val="正文文本 3 Char"/>
    <w:basedOn w:val="54"/>
    <w:link w:val="19"/>
    <w:qFormat/>
    <w:uiPriority w:val="0"/>
    <w:rPr>
      <w:rFonts w:ascii="Times New Roman" w:hAnsi="Times New Roman" w:eastAsia="宋体" w:cs="Times New Roman"/>
      <w:color w:val="000000"/>
      <w:kern w:val="0"/>
      <w:sz w:val="16"/>
      <w:szCs w:val="16"/>
    </w:rPr>
  </w:style>
  <w:style w:type="paragraph" w:customStyle="1" w:styleId="15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纯文本1"/>
    <w:basedOn w:val="1"/>
    <w:qFormat/>
    <w:uiPriority w:val="0"/>
    <w:pPr>
      <w:autoSpaceDE/>
      <w:autoSpaceDN/>
      <w:adjustRightInd/>
      <w:ind w:firstLine="280" w:firstLineChars="100"/>
    </w:pPr>
    <w:rPr>
      <w:rFonts w:hAnsi="宋体" w:cs="Courier New"/>
      <w:color w:val="auto"/>
      <w:kern w:val="2"/>
      <w:szCs w:val="20"/>
    </w:rPr>
  </w:style>
  <w:style w:type="character" w:customStyle="1" w:styleId="157">
    <w:name w:val="apple-converted-space"/>
    <w:basedOn w:val="54"/>
    <w:qFormat/>
    <w:uiPriority w:val="0"/>
  </w:style>
  <w:style w:type="character" w:customStyle="1" w:styleId="158">
    <w:name w:val="正文首行缩进 Char"/>
    <w:basedOn w:val="121"/>
    <w:link w:val="49"/>
    <w:qFormat/>
    <w:uiPriority w:val="0"/>
    <w:rPr>
      <w:rFonts w:ascii="Times New Roman" w:hAnsi="Times New Roman" w:eastAsia="宋体" w:cs="Times New Roman"/>
      <w:color w:val="000000"/>
      <w:kern w:val="0"/>
      <w:sz w:val="21"/>
      <w:szCs w:val="21"/>
    </w:rPr>
  </w:style>
  <w:style w:type="character" w:customStyle="1" w:styleId="159">
    <w:name w:val="标题 5 Char"/>
    <w:basedOn w:val="54"/>
    <w:link w:val="6"/>
    <w:qFormat/>
    <w:uiPriority w:val="0"/>
    <w:rPr>
      <w:rFonts w:ascii="Times New Roman" w:hAnsi="Times New Roman" w:eastAsia="宋体" w:cs="Times New Roman"/>
      <w:b/>
      <w:bCs/>
      <w:color w:val="000000"/>
      <w:kern w:val="2"/>
      <w:sz w:val="28"/>
      <w:szCs w:val="28"/>
    </w:rPr>
  </w:style>
  <w:style w:type="character" w:customStyle="1" w:styleId="160">
    <w:name w:val="标题 6 Char"/>
    <w:basedOn w:val="54"/>
    <w:link w:val="7"/>
    <w:qFormat/>
    <w:uiPriority w:val="0"/>
    <w:rPr>
      <w:rFonts w:ascii="Times New Roman" w:hAnsi="Times New Roman" w:eastAsia="宋体" w:cs="Times New Roman"/>
      <w:color w:val="000000"/>
      <w:kern w:val="24"/>
      <w:sz w:val="24"/>
      <w:szCs w:val="24"/>
    </w:rPr>
  </w:style>
  <w:style w:type="character" w:customStyle="1" w:styleId="161">
    <w:name w:val="标题 7 Char"/>
    <w:basedOn w:val="54"/>
    <w:link w:val="9"/>
    <w:qFormat/>
    <w:uiPriority w:val="0"/>
    <w:rPr>
      <w:rFonts w:ascii="Times New Roman" w:hAnsi="Times New Roman" w:eastAsia="宋体" w:cs="Times New Roman"/>
      <w:color w:val="000000"/>
      <w:spacing w:val="2"/>
      <w:kern w:val="24"/>
      <w:sz w:val="24"/>
      <w:szCs w:val="24"/>
    </w:rPr>
  </w:style>
  <w:style w:type="character" w:customStyle="1" w:styleId="162">
    <w:name w:val="标题 8 Char"/>
    <w:basedOn w:val="54"/>
    <w:link w:val="10"/>
    <w:qFormat/>
    <w:uiPriority w:val="0"/>
    <w:rPr>
      <w:rFonts w:ascii="Times New Roman" w:hAnsi="Times New Roman" w:eastAsia="宋体" w:cs="Times New Roman"/>
      <w:color w:val="000000"/>
      <w:kern w:val="24"/>
      <w:sz w:val="24"/>
      <w:szCs w:val="24"/>
    </w:rPr>
  </w:style>
  <w:style w:type="character" w:customStyle="1" w:styleId="163">
    <w:name w:val="标题 9 Char"/>
    <w:basedOn w:val="54"/>
    <w:link w:val="11"/>
    <w:qFormat/>
    <w:uiPriority w:val="0"/>
    <w:rPr>
      <w:rFonts w:ascii="Arial" w:hAnsi="Arial" w:eastAsia="黑体" w:cs="Times New Roman"/>
      <w:kern w:val="2"/>
      <w:sz w:val="21"/>
      <w:szCs w:val="24"/>
    </w:rPr>
  </w:style>
  <w:style w:type="character" w:customStyle="1" w:styleId="164">
    <w:name w:val="!我的正文 Ctr+Q Char"/>
    <w:link w:val="165"/>
    <w:qFormat/>
    <w:uiPriority w:val="0"/>
    <w:rPr>
      <w:rFonts w:ascii="Arial" w:hAnsi="Arial"/>
      <w:sz w:val="24"/>
      <w:szCs w:val="21"/>
    </w:rPr>
  </w:style>
  <w:style w:type="paragraph" w:customStyle="1" w:styleId="165">
    <w:name w:val="!我的正文 Ctr+Q"/>
    <w:basedOn w:val="1"/>
    <w:link w:val="164"/>
    <w:qFormat/>
    <w:uiPriority w:val="0"/>
    <w:pPr>
      <w:autoSpaceDE/>
      <w:autoSpaceDN/>
      <w:snapToGrid w:val="0"/>
      <w:spacing w:line="360" w:lineRule="auto"/>
      <w:ind w:firstLine="480" w:firstLineChars="200"/>
    </w:pPr>
    <w:rPr>
      <w:rFonts w:ascii="Arial" w:hAnsi="Arial" w:eastAsiaTheme="minorEastAsia" w:cstheme="minorBidi"/>
      <w:color w:val="auto"/>
      <w:sz w:val="24"/>
    </w:rPr>
  </w:style>
  <w:style w:type="character" w:customStyle="1" w:styleId="166">
    <w:name w:val="Char Char14"/>
    <w:qFormat/>
    <w:uiPriority w:val="0"/>
    <w:rPr>
      <w:rFonts w:eastAsia="宋体"/>
      <w:kern w:val="2"/>
      <w:sz w:val="24"/>
      <w:lang w:val="en-US" w:eastAsia="zh-CN" w:bidi="ar-SA"/>
    </w:rPr>
  </w:style>
  <w:style w:type="character" w:customStyle="1" w:styleId="167">
    <w:name w:val="小点说明 Char Char"/>
    <w:link w:val="168"/>
    <w:qFormat/>
    <w:uiPriority w:val="0"/>
    <w:rPr>
      <w:rFonts w:eastAsia="宋体"/>
      <w:kern w:val="2"/>
      <w:sz w:val="21"/>
      <w:szCs w:val="24"/>
    </w:rPr>
  </w:style>
  <w:style w:type="paragraph" w:customStyle="1" w:styleId="168">
    <w:name w:val="小点说明"/>
    <w:basedOn w:val="1"/>
    <w:link w:val="167"/>
    <w:qFormat/>
    <w:uiPriority w:val="0"/>
    <w:pPr>
      <w:autoSpaceDE/>
      <w:autoSpaceDN/>
      <w:snapToGrid w:val="0"/>
      <w:spacing w:line="360" w:lineRule="auto"/>
    </w:pPr>
    <w:rPr>
      <w:rFonts w:asciiTheme="minorHAnsi" w:hAnsiTheme="minorHAnsi" w:cstheme="minorBidi"/>
      <w:color w:val="auto"/>
      <w:kern w:val="2"/>
      <w:szCs w:val="24"/>
    </w:rPr>
  </w:style>
  <w:style w:type="character" w:customStyle="1" w:styleId="169">
    <w:name w:val="纯文本 Char"/>
    <w:qFormat/>
    <w:uiPriority w:val="0"/>
    <w:rPr>
      <w:rFonts w:ascii="宋体" w:hAnsi="Courier New" w:cs="Courier New"/>
      <w:kern w:val="2"/>
      <w:sz w:val="21"/>
      <w:szCs w:val="21"/>
    </w:rPr>
  </w:style>
  <w:style w:type="character" w:customStyle="1" w:styleId="170">
    <w:name w:val="Char Char9"/>
    <w:qFormat/>
    <w:uiPriority w:val="0"/>
    <w:rPr>
      <w:rFonts w:eastAsia="宋体"/>
      <w:color w:val="000000"/>
      <w:sz w:val="21"/>
      <w:szCs w:val="21"/>
      <w:lang w:val="en-US" w:eastAsia="zh-CN" w:bidi="ar-SA"/>
    </w:rPr>
  </w:style>
  <w:style w:type="character" w:customStyle="1" w:styleId="171">
    <w:name w:val="Char Char24"/>
    <w:qFormat/>
    <w:uiPriority w:val="0"/>
    <w:rPr>
      <w:rFonts w:eastAsia="宋体"/>
      <w:b/>
      <w:color w:val="000000"/>
      <w:sz w:val="32"/>
      <w:szCs w:val="21"/>
      <w:lang w:val="en-US" w:eastAsia="zh-CN" w:bidi="ar-SA"/>
    </w:rPr>
  </w:style>
  <w:style w:type="character" w:customStyle="1" w:styleId="172">
    <w:name w:val="文章样式1 Char Char"/>
    <w:link w:val="173"/>
    <w:qFormat/>
    <w:uiPriority w:val="0"/>
    <w:rPr>
      <w:rFonts w:ascii="宋体" w:hAnsi="宋体" w:eastAsia="Times New Roman" w:cs="宋体"/>
      <w:b/>
      <w:kern w:val="2"/>
      <w:sz w:val="21"/>
    </w:rPr>
  </w:style>
  <w:style w:type="paragraph" w:customStyle="1" w:styleId="173">
    <w:name w:val="文章样式1"/>
    <w:link w:val="172"/>
    <w:qFormat/>
    <w:uiPriority w:val="0"/>
    <w:pPr>
      <w:numPr>
        <w:ilvl w:val="0"/>
        <w:numId w:val="3"/>
      </w:numPr>
      <w:tabs>
        <w:tab w:val="left" w:pos="0"/>
      </w:tabs>
      <w:spacing w:line="360" w:lineRule="auto"/>
    </w:pPr>
    <w:rPr>
      <w:rFonts w:ascii="宋体" w:hAnsi="宋体" w:eastAsia="Times New Roman" w:cs="宋体"/>
      <w:b/>
      <w:kern w:val="2"/>
      <w:sz w:val="21"/>
      <w:lang w:val="en-US" w:eastAsia="zh-CN" w:bidi="ar-SA"/>
    </w:rPr>
  </w:style>
  <w:style w:type="character" w:customStyle="1" w:styleId="174">
    <w:name w:val="Char Char10"/>
    <w:qFormat/>
    <w:uiPriority w:val="0"/>
    <w:rPr>
      <w:rFonts w:eastAsia="宋体"/>
      <w:color w:val="000000"/>
      <w:sz w:val="18"/>
      <w:szCs w:val="18"/>
      <w:lang w:val="en-US" w:eastAsia="zh-CN" w:bidi="ar-SA"/>
    </w:rPr>
  </w:style>
  <w:style w:type="character" w:customStyle="1" w:styleId="175">
    <w:name w:val="样式 正文首行缩进 2 + 左侧:  2 字符 首行缩进:  2 字符1 Char Char"/>
    <w:link w:val="176"/>
    <w:qFormat/>
    <w:uiPriority w:val="0"/>
    <w:rPr>
      <w:rFonts w:ascii="宋体" w:hAnsi="宋体" w:eastAsia="Times New Roman" w:cs="宋体"/>
      <w:color w:val="000000"/>
      <w:kern w:val="2"/>
      <w:sz w:val="21"/>
      <w:szCs w:val="21"/>
    </w:rPr>
  </w:style>
  <w:style w:type="paragraph" w:customStyle="1" w:styleId="176">
    <w:name w:val="样式 正文首行缩进 2 + 左侧:  2 字符 首行缩进:  2 字符1"/>
    <w:next w:val="1"/>
    <w:link w:val="175"/>
    <w:qFormat/>
    <w:uiPriority w:val="0"/>
    <w:pPr>
      <w:adjustRightInd w:val="0"/>
      <w:snapToGrid w:val="0"/>
      <w:spacing w:before="60" w:after="60" w:line="360" w:lineRule="auto"/>
      <w:ind w:firstLine="420"/>
      <w:jc w:val="both"/>
    </w:pPr>
    <w:rPr>
      <w:rFonts w:ascii="宋体" w:hAnsi="宋体" w:eastAsia="Times New Roman" w:cs="宋体"/>
      <w:color w:val="000000"/>
      <w:kern w:val="2"/>
      <w:sz w:val="21"/>
      <w:szCs w:val="21"/>
      <w:lang w:val="en-US" w:eastAsia="zh-CN" w:bidi="ar-SA"/>
    </w:rPr>
  </w:style>
  <w:style w:type="character" w:customStyle="1" w:styleId="177">
    <w:name w:val="Char Char15"/>
    <w:qFormat/>
    <w:uiPriority w:val="0"/>
    <w:rPr>
      <w:rFonts w:eastAsia="宋体"/>
      <w:kern w:val="2"/>
      <w:sz w:val="21"/>
      <w:lang w:val="en-US" w:eastAsia="zh-CN" w:bidi="ar-SA"/>
    </w:rPr>
  </w:style>
  <w:style w:type="character" w:customStyle="1" w:styleId="178">
    <w:name w:val="style21"/>
    <w:qFormat/>
    <w:uiPriority w:val="0"/>
    <w:rPr>
      <w:color w:val="FFFFFF"/>
    </w:rPr>
  </w:style>
  <w:style w:type="character" w:customStyle="1" w:styleId="179">
    <w:name w:val="文章标题3级 Char Char"/>
    <w:link w:val="180"/>
    <w:qFormat/>
    <w:uiPriority w:val="0"/>
    <w:rPr>
      <w:rFonts w:eastAsia="宋体"/>
      <w:b/>
      <w:bCs/>
      <w:caps/>
      <w:color w:val="000000"/>
      <w:kern w:val="2"/>
      <w:sz w:val="24"/>
      <w:szCs w:val="18"/>
    </w:rPr>
  </w:style>
  <w:style w:type="paragraph" w:customStyle="1" w:styleId="180">
    <w:name w:val="文章标题3级"/>
    <w:basedOn w:val="181"/>
    <w:next w:val="1"/>
    <w:link w:val="179"/>
    <w:qFormat/>
    <w:uiPriority w:val="0"/>
    <w:pPr>
      <w:tabs>
        <w:tab w:val="left" w:pos="360"/>
        <w:tab w:val="left" w:pos="780"/>
        <w:tab w:val="left" w:pos="1320"/>
        <w:tab w:val="left" w:pos="1560"/>
      </w:tabs>
      <w:outlineLvl w:val="2"/>
    </w:pPr>
    <w:rPr>
      <w:rFonts w:asciiTheme="minorHAnsi" w:hAnsiTheme="minorHAnsi" w:cstheme="minorBidi"/>
      <w:color w:val="000000"/>
      <w:sz w:val="24"/>
      <w:szCs w:val="18"/>
    </w:rPr>
  </w:style>
  <w:style w:type="paragraph" w:customStyle="1" w:styleId="181">
    <w:name w:val="文章标题2级"/>
    <w:basedOn w:val="182"/>
    <w:next w:val="1"/>
    <w:qFormat/>
    <w:uiPriority w:val="0"/>
    <w:pPr>
      <w:pageBreakBefore w:val="0"/>
      <w:tabs>
        <w:tab w:val="left" w:pos="360"/>
        <w:tab w:val="left" w:pos="780"/>
        <w:tab w:val="left" w:pos="1320"/>
      </w:tabs>
      <w:ind w:left="200" w:hanging="200" w:hangingChars="200"/>
      <w:jc w:val="left"/>
      <w:outlineLvl w:val="1"/>
    </w:pPr>
    <w:rPr>
      <w:sz w:val="30"/>
    </w:rPr>
  </w:style>
  <w:style w:type="paragraph" w:customStyle="1" w:styleId="182">
    <w:name w:val="文章标题1级"/>
    <w:next w:val="1"/>
    <w:qFormat/>
    <w:uiPriority w:val="0"/>
    <w:pPr>
      <w:pageBreakBefore/>
      <w:tabs>
        <w:tab w:val="left" w:pos="360"/>
      </w:tabs>
      <w:spacing w:beforeLines="50" w:afterLines="50"/>
      <w:ind w:left="840" w:hanging="420"/>
      <w:jc w:val="center"/>
      <w:outlineLvl w:val="0"/>
    </w:pPr>
    <w:rPr>
      <w:rFonts w:ascii="Times New Roman" w:hAnsi="Times New Roman" w:eastAsia="宋体" w:cs="Times New Roman"/>
      <w:b/>
      <w:bCs/>
      <w:caps/>
      <w:kern w:val="2"/>
      <w:sz w:val="32"/>
      <w:szCs w:val="24"/>
      <w:lang w:val="en-US" w:eastAsia="zh-CN" w:bidi="ar-SA"/>
    </w:rPr>
  </w:style>
  <w:style w:type="character" w:customStyle="1" w:styleId="183">
    <w:name w:val="Char Char131"/>
    <w:qFormat/>
    <w:uiPriority w:val="0"/>
    <w:rPr>
      <w:rFonts w:eastAsia="宋体"/>
      <w:color w:val="000000"/>
      <w:sz w:val="21"/>
      <w:szCs w:val="21"/>
      <w:lang w:val="en-US" w:eastAsia="zh-CN" w:bidi="ar-SA"/>
    </w:rPr>
  </w:style>
  <w:style w:type="character" w:customStyle="1" w:styleId="184">
    <w:name w:val="正文文本 Char Char"/>
    <w:qFormat/>
    <w:uiPriority w:val="0"/>
    <w:rPr>
      <w:rFonts w:ascii="Calibri" w:hAnsi="Calibri" w:eastAsia="宋体"/>
      <w:kern w:val="2"/>
      <w:sz w:val="21"/>
      <w:szCs w:val="22"/>
      <w:lang w:val="en-US" w:eastAsia="zh-CN" w:bidi="ar-SA"/>
    </w:rPr>
  </w:style>
  <w:style w:type="character" w:customStyle="1" w:styleId="185">
    <w:name w:val="正文缩进 Char"/>
    <w:qFormat/>
    <w:uiPriority w:val="0"/>
    <w:rPr>
      <w:rFonts w:eastAsia="宋体"/>
      <w:kern w:val="2"/>
      <w:sz w:val="21"/>
      <w:lang w:val="en-US" w:eastAsia="zh-CN" w:bidi="ar-SA"/>
    </w:rPr>
  </w:style>
  <w:style w:type="character" w:customStyle="1" w:styleId="186">
    <w:name w:val="页脚 Char"/>
    <w:qFormat/>
    <w:uiPriority w:val="99"/>
    <w:rPr>
      <w:sz w:val="18"/>
      <w:szCs w:val="18"/>
    </w:rPr>
  </w:style>
  <w:style w:type="character" w:customStyle="1" w:styleId="187">
    <w:name w:val="页眉 Char"/>
    <w:qFormat/>
    <w:uiPriority w:val="0"/>
    <w:rPr>
      <w:rFonts w:ascii="Times New Roman" w:hAnsi="Times New Roman"/>
      <w:kern w:val="2"/>
      <w:sz w:val="18"/>
      <w:szCs w:val="18"/>
    </w:rPr>
  </w:style>
  <w:style w:type="character" w:customStyle="1" w:styleId="188">
    <w:name w:val="Char Char18"/>
    <w:qFormat/>
    <w:uiPriority w:val="0"/>
    <w:rPr>
      <w:rFonts w:eastAsia="宋体"/>
      <w:kern w:val="2"/>
      <w:sz w:val="21"/>
      <w:szCs w:val="24"/>
      <w:lang w:val="en-US" w:eastAsia="zh-CN" w:bidi="ar-SA"/>
    </w:rPr>
  </w:style>
  <w:style w:type="character" w:customStyle="1" w:styleId="189">
    <w:name w:val="无间隔 Char"/>
    <w:link w:val="153"/>
    <w:qFormat/>
    <w:uiPriority w:val="0"/>
    <w:rPr>
      <w:rFonts w:ascii="Times New Roman" w:hAnsi="Times New Roman" w:eastAsia="宋体" w:cs="Times New Roman"/>
      <w:color w:val="000000"/>
      <w:sz w:val="21"/>
      <w:szCs w:val="21"/>
    </w:rPr>
  </w:style>
  <w:style w:type="character" w:customStyle="1" w:styleId="190">
    <w:name w:val="正文文字2 Char Char"/>
    <w:qFormat/>
    <w:uiPriority w:val="0"/>
    <w:rPr>
      <w:rFonts w:ascii="Arial" w:eastAsia="黑体"/>
      <w:sz w:val="21"/>
      <w:lang w:val="en-US" w:eastAsia="zh-CN" w:bidi="ar-SA"/>
    </w:rPr>
  </w:style>
  <w:style w:type="character" w:customStyle="1" w:styleId="191">
    <w:name w:val="Char Char27"/>
    <w:qFormat/>
    <w:uiPriority w:val="0"/>
    <w:rPr>
      <w:rFonts w:eastAsia="宋体"/>
      <w:b/>
      <w:color w:val="000000"/>
      <w:kern w:val="44"/>
      <w:sz w:val="44"/>
      <w:szCs w:val="21"/>
      <w:lang w:val="en-US" w:eastAsia="zh-CN" w:bidi="ar-SA"/>
    </w:rPr>
  </w:style>
  <w:style w:type="character" w:customStyle="1" w:styleId="192">
    <w:name w:val="style31"/>
    <w:qFormat/>
    <w:uiPriority w:val="0"/>
    <w:rPr>
      <w:b/>
      <w:bCs/>
      <w:color w:val="0033CC"/>
    </w:rPr>
  </w:style>
  <w:style w:type="character" w:customStyle="1" w:styleId="193">
    <w:name w:val="Char Char111"/>
    <w:qFormat/>
    <w:uiPriority w:val="0"/>
    <w:rPr>
      <w:rFonts w:eastAsia="宋体"/>
      <w:color w:val="000000"/>
      <w:sz w:val="21"/>
      <w:szCs w:val="21"/>
      <w:lang w:val="en-US" w:eastAsia="zh-CN" w:bidi="ar-SA"/>
    </w:rPr>
  </w:style>
  <w:style w:type="character" w:customStyle="1" w:styleId="194">
    <w:name w:val="Char Char26"/>
    <w:qFormat/>
    <w:uiPriority w:val="0"/>
    <w:rPr>
      <w:b/>
      <w:color w:val="000000"/>
      <w:kern w:val="44"/>
      <w:sz w:val="44"/>
      <w:szCs w:val="21"/>
      <w:lang w:val="en-US" w:eastAsia="zh-CN" w:bidi="ar-SA"/>
    </w:rPr>
  </w:style>
  <w:style w:type="character" w:customStyle="1" w:styleId="195">
    <w:name w:val="小标题 Char Char"/>
    <w:link w:val="196"/>
    <w:qFormat/>
    <w:uiPriority w:val="0"/>
    <w:rPr>
      <w:rFonts w:ascii="宋体" w:hAnsi="宋体" w:eastAsia="宋体"/>
      <w:b/>
      <w:sz w:val="24"/>
      <w:szCs w:val="24"/>
    </w:rPr>
  </w:style>
  <w:style w:type="paragraph" w:customStyle="1" w:styleId="196">
    <w:name w:val="小标题"/>
    <w:basedOn w:val="1"/>
    <w:next w:val="1"/>
    <w:link w:val="195"/>
    <w:qFormat/>
    <w:uiPriority w:val="0"/>
    <w:pPr>
      <w:widowControl/>
      <w:numPr>
        <w:ilvl w:val="0"/>
        <w:numId w:val="5"/>
      </w:numPr>
      <w:tabs>
        <w:tab w:val="left" w:pos="360"/>
      </w:tabs>
      <w:autoSpaceDE/>
      <w:autoSpaceDN/>
      <w:adjustRightInd/>
      <w:jc w:val="left"/>
    </w:pPr>
    <w:rPr>
      <w:rFonts w:ascii="宋体" w:hAnsi="宋体" w:cstheme="minorBidi"/>
      <w:b/>
      <w:color w:val="auto"/>
      <w:sz w:val="24"/>
      <w:szCs w:val="24"/>
    </w:rPr>
  </w:style>
  <w:style w:type="character" w:customStyle="1" w:styleId="197">
    <w:name w:val="正文首缩两字 Char Char"/>
    <w:link w:val="198"/>
    <w:qFormat/>
    <w:uiPriority w:val="0"/>
    <w:rPr>
      <w:rFonts w:ascii="Verdana" w:hAnsi="Verdana" w:eastAsia="宋体"/>
      <w:kern w:val="2"/>
      <w:sz w:val="24"/>
      <w:szCs w:val="24"/>
    </w:rPr>
  </w:style>
  <w:style w:type="paragraph" w:customStyle="1" w:styleId="198">
    <w:name w:val="正文首缩两字"/>
    <w:basedOn w:val="1"/>
    <w:link w:val="197"/>
    <w:qFormat/>
    <w:uiPriority w:val="0"/>
    <w:pPr>
      <w:autoSpaceDE/>
      <w:autoSpaceDN/>
      <w:adjustRightInd/>
      <w:spacing w:line="360" w:lineRule="auto"/>
      <w:ind w:firstLine="200" w:firstLineChars="200"/>
    </w:pPr>
    <w:rPr>
      <w:rFonts w:ascii="Verdana" w:hAnsi="Verdana" w:cstheme="minorBidi"/>
      <w:color w:val="auto"/>
      <w:kern w:val="2"/>
      <w:sz w:val="24"/>
      <w:szCs w:val="24"/>
    </w:rPr>
  </w:style>
  <w:style w:type="character" w:customStyle="1" w:styleId="199">
    <w:name w:val="正文2 Char Char"/>
    <w:link w:val="200"/>
    <w:qFormat/>
    <w:locked/>
    <w:uiPriority w:val="0"/>
    <w:rPr>
      <w:rFonts w:ascii="楷体" w:hAnsi="Verdana" w:eastAsia="楷体"/>
      <w:kern w:val="2"/>
      <w:sz w:val="24"/>
      <w:szCs w:val="24"/>
    </w:rPr>
  </w:style>
  <w:style w:type="paragraph" w:customStyle="1" w:styleId="200">
    <w:name w:val="正文2"/>
    <w:basedOn w:val="1"/>
    <w:link w:val="199"/>
    <w:qFormat/>
    <w:uiPriority w:val="0"/>
    <w:pPr>
      <w:tabs>
        <w:tab w:val="left" w:pos="360"/>
      </w:tabs>
      <w:autoSpaceDE/>
      <w:autoSpaceDN/>
      <w:adjustRightInd/>
      <w:spacing w:beforeLines="50" w:line="360" w:lineRule="auto"/>
      <w:jc w:val="left"/>
    </w:pPr>
    <w:rPr>
      <w:rFonts w:ascii="楷体" w:hAnsi="Verdana" w:eastAsia="楷体" w:cstheme="minorBidi"/>
      <w:color w:val="auto"/>
      <w:kern w:val="2"/>
      <w:sz w:val="24"/>
      <w:szCs w:val="24"/>
    </w:rPr>
  </w:style>
  <w:style w:type="character" w:customStyle="1" w:styleId="201">
    <w:name w:val="文字 Char Char"/>
    <w:link w:val="202"/>
    <w:qFormat/>
    <w:uiPriority w:val="0"/>
    <w:rPr>
      <w:rFonts w:ascii="宋体" w:hAnsi="宋体"/>
      <w:kern w:val="2"/>
      <w:sz w:val="28"/>
    </w:rPr>
  </w:style>
  <w:style w:type="paragraph" w:customStyle="1" w:styleId="202">
    <w:name w:val="文字"/>
    <w:basedOn w:val="1"/>
    <w:link w:val="201"/>
    <w:qFormat/>
    <w:uiPriority w:val="0"/>
    <w:pPr>
      <w:tabs>
        <w:tab w:val="left" w:pos="8520"/>
      </w:tabs>
      <w:autoSpaceDE/>
      <w:autoSpaceDN/>
      <w:adjustRightInd/>
      <w:spacing w:line="312" w:lineRule="auto"/>
      <w:ind w:right="-210" w:firstLine="556"/>
    </w:pPr>
    <w:rPr>
      <w:rFonts w:ascii="宋体" w:hAnsi="宋体" w:eastAsiaTheme="minorEastAsia" w:cstheme="minorBidi"/>
      <w:color w:val="auto"/>
      <w:kern w:val="2"/>
      <w:sz w:val="28"/>
      <w:szCs w:val="20"/>
    </w:rPr>
  </w:style>
  <w:style w:type="character" w:customStyle="1" w:styleId="203">
    <w:name w:val="Char Char25"/>
    <w:qFormat/>
    <w:uiPriority w:val="0"/>
    <w:rPr>
      <w:rFonts w:ascii="Arial" w:hAnsi="Arial" w:eastAsia="黑体"/>
      <w:b/>
      <w:bCs/>
      <w:kern w:val="2"/>
      <w:sz w:val="32"/>
      <w:szCs w:val="32"/>
      <w:lang w:val="en-US" w:eastAsia="zh-CN" w:bidi="ar-SA"/>
    </w:rPr>
  </w:style>
  <w:style w:type="character" w:customStyle="1" w:styleId="204">
    <w:name w:val="强调1"/>
    <w:qFormat/>
    <w:uiPriority w:val="0"/>
    <w:rPr>
      <w:rFonts w:ascii="Arial Black" w:hAnsi="Arial Black" w:eastAsia="黑体"/>
      <w:b/>
      <w:spacing w:val="0"/>
      <w:sz w:val="21"/>
    </w:rPr>
  </w:style>
  <w:style w:type="character" w:customStyle="1" w:styleId="205">
    <w:name w:val="文档结构图 Char"/>
    <w:qFormat/>
    <w:uiPriority w:val="0"/>
    <w:rPr>
      <w:rFonts w:ascii="Times New Roman" w:hAnsi="Times New Roman" w:eastAsia="??" w:cs="Times New Roman"/>
      <w:sz w:val="28"/>
      <w:szCs w:val="28"/>
      <w:shd w:val="clear" w:color="auto" w:fill="000080"/>
    </w:rPr>
  </w:style>
  <w:style w:type="character" w:customStyle="1" w:styleId="206">
    <w:name w:val="标题 Char"/>
    <w:basedOn w:val="54"/>
    <w:link w:val="47"/>
    <w:qFormat/>
    <w:uiPriority w:val="0"/>
    <w:rPr>
      <w:rFonts w:ascii="Arial" w:hAnsi="Arial" w:eastAsia="宋体" w:cs="Times New Roman"/>
      <w:b/>
      <w:bCs/>
      <w:color w:val="000000"/>
      <w:kern w:val="2"/>
      <w:sz w:val="32"/>
      <w:szCs w:val="32"/>
    </w:rPr>
  </w:style>
  <w:style w:type="character" w:customStyle="1" w:styleId="207">
    <w:name w:val="正文文本 2 Char"/>
    <w:basedOn w:val="54"/>
    <w:link w:val="43"/>
    <w:qFormat/>
    <w:uiPriority w:val="0"/>
    <w:rPr>
      <w:rFonts w:ascii="Times New Roman" w:hAnsi="Times New Roman" w:eastAsia="宋体" w:cs="Times New Roman"/>
      <w:color w:val="000000"/>
      <w:kern w:val="2"/>
      <w:sz w:val="21"/>
      <w:szCs w:val="22"/>
    </w:rPr>
  </w:style>
  <w:style w:type="paragraph" w:customStyle="1" w:styleId="208">
    <w:name w:val="正文缩进1"/>
    <w:basedOn w:val="1"/>
    <w:qFormat/>
    <w:uiPriority w:val="0"/>
    <w:pPr>
      <w:autoSpaceDE/>
      <w:autoSpaceDN/>
      <w:adjustRightInd/>
      <w:ind w:firstLine="420"/>
    </w:pPr>
    <w:rPr>
      <w:color w:val="auto"/>
      <w:kern w:val="2"/>
      <w:szCs w:val="20"/>
    </w:rPr>
  </w:style>
  <w:style w:type="paragraph" w:customStyle="1" w:styleId="209">
    <w:name w:val="Char Char Char Char"/>
    <w:basedOn w:val="1"/>
    <w:qFormat/>
    <w:uiPriority w:val="0"/>
    <w:pPr>
      <w:autoSpaceDE/>
      <w:autoSpaceDN/>
      <w:adjustRightInd/>
    </w:pPr>
    <w:rPr>
      <w:color w:val="auto"/>
      <w:kern w:val="2"/>
      <w:szCs w:val="20"/>
    </w:rPr>
  </w:style>
  <w:style w:type="paragraph" w:customStyle="1" w:styleId="210">
    <w:name w:val="文章标题4级"/>
    <w:basedOn w:val="180"/>
    <w:next w:val="1"/>
    <w:qFormat/>
    <w:uiPriority w:val="0"/>
    <w:pPr>
      <w:tabs>
        <w:tab w:val="left" w:pos="1034"/>
        <w:tab w:val="left" w:pos="2760"/>
        <w:tab w:val="clear" w:pos="1560"/>
      </w:tabs>
      <w:outlineLvl w:val="3"/>
    </w:pPr>
    <w:rPr>
      <w:color w:val="auto"/>
    </w:rPr>
  </w:style>
  <w:style w:type="paragraph" w:customStyle="1" w:styleId="211">
    <w:name w:val="封面正文"/>
    <w:qFormat/>
    <w:uiPriority w:val="0"/>
    <w:pPr>
      <w:jc w:val="both"/>
    </w:pPr>
    <w:rPr>
      <w:rFonts w:ascii="Times New Roman" w:hAnsi="Times New Roman" w:eastAsia="宋体" w:cs="Times New Roman"/>
      <w:lang w:val="en-US" w:eastAsia="zh-CN" w:bidi="ar-SA"/>
    </w:rPr>
  </w:style>
  <w:style w:type="paragraph" w:customStyle="1" w:styleId="212">
    <w:name w:val="Char Char Char"/>
    <w:basedOn w:val="1"/>
    <w:qFormat/>
    <w:uiPriority w:val="0"/>
    <w:pPr>
      <w:autoSpaceDE/>
      <w:autoSpaceDN/>
      <w:adjustRightInd/>
    </w:pPr>
    <w:rPr>
      <w:color w:val="auto"/>
      <w:kern w:val="2"/>
      <w:szCs w:val="24"/>
    </w:rPr>
  </w:style>
  <w:style w:type="paragraph" w:customStyle="1" w:styleId="213">
    <w:name w:val="1级标题"/>
    <w:basedOn w:val="1"/>
    <w:qFormat/>
    <w:uiPriority w:val="0"/>
    <w:pPr>
      <w:keepLines/>
      <w:pageBreakBefore/>
      <w:numPr>
        <w:ilvl w:val="0"/>
        <w:numId w:val="6"/>
      </w:numPr>
      <w:autoSpaceDE/>
      <w:autoSpaceDN/>
      <w:adjustRightInd/>
      <w:spacing w:before="240" w:after="240" w:line="360" w:lineRule="auto"/>
      <w:ind w:firstLine="0"/>
      <w:contextualSpacing/>
      <w:jc w:val="center"/>
      <w:outlineLvl w:val="0"/>
    </w:pPr>
    <w:rPr>
      <w:rFonts w:ascii="黑体" w:hAnsi="黑体" w:eastAsia="黑体"/>
      <w:color w:val="auto"/>
      <w:sz w:val="36"/>
      <w:szCs w:val="36"/>
      <w:lang w:val="zh-CN" w:eastAsia="en-US" w:bidi="en-US"/>
    </w:rPr>
  </w:style>
  <w:style w:type="paragraph" w:customStyle="1" w:styleId="214">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5">
    <w:name w:val="3级标题"/>
    <w:basedOn w:val="1"/>
    <w:qFormat/>
    <w:uiPriority w:val="0"/>
    <w:pPr>
      <w:keepLines/>
      <w:numPr>
        <w:ilvl w:val="2"/>
        <w:numId w:val="6"/>
      </w:numPr>
      <w:autoSpaceDE/>
      <w:autoSpaceDN/>
      <w:adjustRightInd/>
      <w:spacing w:before="120" w:after="120" w:line="360" w:lineRule="auto"/>
      <w:contextualSpacing/>
      <w:jc w:val="left"/>
      <w:outlineLvl w:val="2"/>
    </w:pPr>
    <w:rPr>
      <w:rFonts w:ascii="黑体" w:hAnsi="黑体" w:eastAsia="黑体"/>
      <w:color w:val="auto"/>
      <w:sz w:val="28"/>
      <w:szCs w:val="36"/>
      <w:lang w:val="zh-CN" w:eastAsia="en-US" w:bidi="en-US"/>
    </w:rPr>
  </w:style>
  <w:style w:type="paragraph" w:customStyle="1" w:styleId="216">
    <w:name w:val="标题 6（有编号）（绿盟科技）"/>
    <w:basedOn w:val="1"/>
    <w:next w:val="1"/>
    <w:qFormat/>
    <w:uiPriority w:val="0"/>
    <w:pPr>
      <w:keepNext/>
      <w:keepLines/>
      <w:numPr>
        <w:ilvl w:val="0"/>
        <w:numId w:val="7"/>
      </w:numPr>
      <w:tabs>
        <w:tab w:val="left" w:pos="885"/>
      </w:tabs>
      <w:autoSpaceDE/>
      <w:autoSpaceDN/>
      <w:adjustRightInd/>
      <w:spacing w:before="240" w:after="64" w:line="317" w:lineRule="auto"/>
      <w:ind w:left="2098" w:hanging="1247"/>
      <w:jc w:val="left"/>
      <w:outlineLvl w:val="5"/>
    </w:pPr>
    <w:rPr>
      <w:rFonts w:ascii="Arial" w:hAnsi="Arial" w:eastAsia="黑体"/>
      <w:b/>
      <w:color w:val="auto"/>
      <w:szCs w:val="24"/>
    </w:rPr>
  </w:style>
  <w:style w:type="paragraph" w:customStyle="1" w:styleId="217">
    <w:name w:val="次小点说明"/>
    <w:basedOn w:val="1"/>
    <w:qFormat/>
    <w:uiPriority w:val="0"/>
    <w:pPr>
      <w:numPr>
        <w:ilvl w:val="0"/>
        <w:numId w:val="8"/>
      </w:numPr>
      <w:tabs>
        <w:tab w:val="left" w:pos="1680"/>
      </w:tabs>
      <w:autoSpaceDE/>
      <w:autoSpaceDN/>
      <w:snapToGrid w:val="0"/>
      <w:spacing w:line="360" w:lineRule="auto"/>
    </w:pPr>
    <w:rPr>
      <w:color w:val="auto"/>
      <w:kern w:val="2"/>
      <w:szCs w:val="24"/>
    </w:rPr>
  </w:style>
  <w:style w:type="paragraph" w:customStyle="1" w:styleId="218">
    <w:name w:val="段落正文 Char"/>
    <w:basedOn w:val="1"/>
    <w:qFormat/>
    <w:uiPriority w:val="0"/>
    <w:pPr>
      <w:autoSpaceDE/>
      <w:autoSpaceDN/>
      <w:adjustRightInd/>
      <w:spacing w:line="360" w:lineRule="auto"/>
      <w:ind w:firstLine="461" w:firstLineChars="192"/>
    </w:pPr>
    <w:rPr>
      <w:rFonts w:ascii="宋体" w:hAnsi="宋体"/>
      <w:color w:val="auto"/>
      <w:kern w:val="2"/>
      <w:sz w:val="24"/>
      <w:szCs w:val="24"/>
    </w:rPr>
  </w:style>
  <w:style w:type="paragraph" w:customStyle="1" w:styleId="219">
    <w:name w:val="Table Paragraph"/>
    <w:basedOn w:val="1"/>
    <w:qFormat/>
    <w:uiPriority w:val="1"/>
    <w:pPr>
      <w:autoSpaceDE/>
      <w:autoSpaceDN/>
      <w:adjustRightInd/>
    </w:pPr>
    <w:rPr>
      <w:rFonts w:ascii="Arial Unicode MS" w:hAnsi="Arial Unicode MS" w:eastAsia="Arial Unicode MS" w:cs="Arial Unicode MS"/>
      <w:color w:val="auto"/>
      <w:kern w:val="2"/>
      <w:szCs w:val="24"/>
      <w:lang w:val="zh-CN" w:bidi="zh-CN"/>
    </w:rPr>
  </w:style>
  <w:style w:type="paragraph" w:customStyle="1" w:styleId="220">
    <w:name w:val="样式 列表编号 + 段后: 0.5 行"/>
    <w:basedOn w:val="14"/>
    <w:qFormat/>
    <w:uiPriority w:val="0"/>
    <w:pPr>
      <w:widowControl w:val="0"/>
      <w:tabs>
        <w:tab w:val="left" w:pos="360"/>
        <w:tab w:val="clear" w:pos="720"/>
      </w:tabs>
      <w:spacing w:afterLines="0"/>
      <w:jc w:val="both"/>
    </w:pPr>
    <w:rPr>
      <w:rFonts w:cs="宋体"/>
      <w:kern w:val="2"/>
      <w:sz w:val="21"/>
      <w:szCs w:val="24"/>
    </w:rPr>
  </w:style>
  <w:style w:type="paragraph" w:customStyle="1" w:styleId="221">
    <w:name w:val="Char3"/>
    <w:basedOn w:val="1"/>
    <w:qFormat/>
    <w:uiPriority w:val="0"/>
    <w:pPr>
      <w:autoSpaceDE/>
      <w:autoSpaceDN/>
      <w:adjustRightInd/>
    </w:pPr>
    <w:rPr>
      <w:rFonts w:ascii="Tahoma" w:hAnsi="Tahoma"/>
      <w:color w:val="auto"/>
      <w:kern w:val="2"/>
      <w:sz w:val="24"/>
      <w:szCs w:val="20"/>
    </w:rPr>
  </w:style>
  <w:style w:type="paragraph" w:customStyle="1" w:styleId="222">
    <w:name w:val="列表段落2"/>
    <w:basedOn w:val="1"/>
    <w:qFormat/>
    <w:uiPriority w:val="0"/>
    <w:pPr>
      <w:autoSpaceDE/>
      <w:autoSpaceDN/>
      <w:adjustRightInd/>
      <w:ind w:firstLine="420" w:firstLineChars="200"/>
    </w:pPr>
    <w:rPr>
      <w:color w:val="auto"/>
      <w:kern w:val="2"/>
      <w:szCs w:val="22"/>
    </w:rPr>
  </w:style>
  <w:style w:type="paragraph" w:customStyle="1" w:styleId="223">
    <w:name w:val="Char Char Char Char Char Char1"/>
    <w:basedOn w:val="1"/>
    <w:qFormat/>
    <w:uiPriority w:val="0"/>
    <w:pPr>
      <w:widowControl/>
      <w:autoSpaceDE/>
      <w:autoSpaceDN/>
      <w:adjustRightInd/>
      <w:spacing w:after="160" w:line="240" w:lineRule="exact"/>
      <w:jc w:val="left"/>
    </w:pPr>
    <w:rPr>
      <w:color w:val="auto"/>
      <w:kern w:val="2"/>
      <w:szCs w:val="24"/>
    </w:rPr>
  </w:style>
  <w:style w:type="paragraph" w:customStyle="1" w:styleId="224">
    <w:name w:val="默认段落字体 Para Char Char Char Char"/>
    <w:basedOn w:val="1"/>
    <w:qFormat/>
    <w:uiPriority w:val="0"/>
    <w:pPr>
      <w:autoSpaceDE/>
      <w:autoSpaceDN/>
      <w:adjustRightInd/>
    </w:pPr>
    <w:rPr>
      <w:color w:val="auto"/>
      <w:kern w:val="2"/>
      <w:szCs w:val="24"/>
    </w:rPr>
  </w:style>
  <w:style w:type="paragraph" w:customStyle="1" w:styleId="225">
    <w:name w:val="Char Char Char Char Char Char Char Char Char Char Char Char Char"/>
    <w:basedOn w:val="1"/>
    <w:qFormat/>
    <w:uiPriority w:val="0"/>
    <w:pPr>
      <w:widowControl/>
      <w:numPr>
        <w:ilvl w:val="0"/>
        <w:numId w:val="9"/>
      </w:numPr>
      <w:tabs>
        <w:tab w:val="left" w:pos="1200"/>
      </w:tabs>
      <w:autoSpaceDE/>
      <w:autoSpaceDN/>
      <w:adjustRightInd/>
      <w:spacing w:after="160" w:line="240" w:lineRule="exact"/>
      <w:ind w:left="0" w:firstLine="0"/>
      <w:jc w:val="left"/>
    </w:pPr>
    <w:rPr>
      <w:rFonts w:ascii="Verdana" w:hAnsi="Verdana"/>
      <w:color w:val="auto"/>
      <w:sz w:val="20"/>
      <w:szCs w:val="20"/>
      <w:lang w:eastAsia="en-US"/>
    </w:rPr>
  </w:style>
  <w:style w:type="paragraph" w:customStyle="1" w:styleId="226">
    <w:name w:val="插图标注（绿盟科技）"/>
    <w:next w:val="1"/>
    <w:qFormat/>
    <w:uiPriority w:val="0"/>
    <w:pPr>
      <w:numPr>
        <w:ilvl w:val="6"/>
        <w:numId w:val="10"/>
      </w:numPr>
      <w:tabs>
        <w:tab w:val="left" w:pos="3420"/>
      </w:tabs>
      <w:spacing w:after="156"/>
      <w:jc w:val="center"/>
    </w:pPr>
    <w:rPr>
      <w:rFonts w:ascii="Arial" w:hAnsi="Arial" w:eastAsia="宋体" w:cs="Arial"/>
      <w:sz w:val="21"/>
      <w:szCs w:val="21"/>
      <w:lang w:val="en-US" w:eastAsia="zh-CN" w:bidi="ar-SA"/>
    </w:rPr>
  </w:style>
  <w:style w:type="paragraph" w:customStyle="1" w:styleId="227">
    <w:name w:val="标题 3（绿盟科技）"/>
    <w:basedOn w:val="4"/>
    <w:next w:val="1"/>
    <w:qFormat/>
    <w:uiPriority w:val="0"/>
    <w:pPr>
      <w:numPr>
        <w:ilvl w:val="2"/>
        <w:numId w:val="10"/>
      </w:numPr>
      <w:tabs>
        <w:tab w:val="left" w:pos="960"/>
      </w:tabs>
      <w:autoSpaceDE/>
      <w:autoSpaceDN/>
      <w:adjustRightInd/>
      <w:jc w:val="left"/>
    </w:pPr>
    <w:rPr>
      <w:rFonts w:ascii="Arial" w:hAnsi="Arial" w:eastAsia="黑体"/>
      <w:bCs w:val="0"/>
      <w:color w:val="auto"/>
      <w:sz w:val="30"/>
      <w:szCs w:val="30"/>
    </w:rPr>
  </w:style>
  <w:style w:type="paragraph" w:customStyle="1" w:styleId="228">
    <w:name w:val="陈泽滨"/>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Char1"/>
    <w:basedOn w:val="1"/>
    <w:qFormat/>
    <w:uiPriority w:val="0"/>
    <w:pPr>
      <w:autoSpaceDE/>
      <w:autoSpaceDN/>
      <w:adjustRightInd/>
    </w:pPr>
    <w:rPr>
      <w:rFonts w:ascii="仿宋_GB2312" w:eastAsia="仿宋_GB2312"/>
      <w:b/>
      <w:color w:val="auto"/>
      <w:kern w:val="2"/>
      <w:sz w:val="32"/>
      <w:szCs w:val="32"/>
    </w:rPr>
  </w:style>
  <w:style w:type="paragraph" w:customStyle="1" w:styleId="230">
    <w:name w:val="font7"/>
    <w:basedOn w:val="1"/>
    <w:qFormat/>
    <w:uiPriority w:val="0"/>
    <w:pPr>
      <w:widowControl/>
      <w:autoSpaceDE/>
      <w:autoSpaceDN/>
      <w:adjustRightInd/>
      <w:spacing w:before="100" w:beforeAutospacing="1" w:after="100" w:afterAutospacing="1"/>
      <w:jc w:val="left"/>
    </w:pPr>
    <w:rPr>
      <w:rFonts w:ascii="宋体" w:hAnsi="宋体" w:cs="宋体"/>
      <w:color w:val="auto"/>
      <w:sz w:val="20"/>
      <w:szCs w:val="20"/>
    </w:rPr>
  </w:style>
  <w:style w:type="paragraph" w:customStyle="1" w:styleId="231">
    <w:name w:val="纯文本2"/>
    <w:basedOn w:val="1"/>
    <w:qFormat/>
    <w:uiPriority w:val="0"/>
    <w:pPr>
      <w:autoSpaceDE/>
      <w:autoSpaceDN/>
      <w:adjustRightInd/>
    </w:pPr>
    <w:rPr>
      <w:rFonts w:ascii="宋体" w:hAnsi="Courier New"/>
      <w:color w:val="auto"/>
    </w:rPr>
  </w:style>
  <w:style w:type="paragraph" w:customStyle="1" w:styleId="232">
    <w:name w:val="样式1"/>
    <w:basedOn w:val="123"/>
    <w:qFormat/>
    <w:uiPriority w:val="0"/>
    <w:pPr>
      <w:widowControl w:val="0"/>
      <w:spacing w:afterLines="0"/>
      <w:ind w:firstLine="0" w:firstLineChars="0"/>
    </w:pPr>
    <w:rPr>
      <w:rFonts w:ascii="仿宋_GB2312" w:hAnsi="宋体" w:eastAsia="仿宋_GB2312"/>
      <w:bCs/>
      <w:color w:val="FF0000"/>
      <w:kern w:val="2"/>
      <w:sz w:val="21"/>
      <w:szCs w:val="21"/>
    </w:rPr>
  </w:style>
  <w:style w:type="paragraph" w:customStyle="1" w:styleId="233">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left"/>
    </w:pPr>
    <w:rPr>
      <w:rFonts w:ascii="宋体" w:hAnsi="宋体" w:cs="宋体"/>
      <w:color w:val="auto"/>
      <w:sz w:val="20"/>
      <w:szCs w:val="20"/>
    </w:rPr>
  </w:style>
  <w:style w:type="paragraph" w:customStyle="1" w:styleId="234">
    <w:name w:val="标题 1（绿盟科技）"/>
    <w:basedOn w:val="2"/>
    <w:next w:val="1"/>
    <w:qFormat/>
    <w:uiPriority w:val="0"/>
    <w:pPr>
      <w:numPr>
        <w:ilvl w:val="0"/>
        <w:numId w:val="10"/>
      </w:numPr>
      <w:pBdr>
        <w:bottom w:val="single" w:color="auto" w:sz="48" w:space="1"/>
      </w:pBdr>
      <w:tabs>
        <w:tab w:val="left" w:pos="840"/>
      </w:tabs>
      <w:autoSpaceDE/>
      <w:autoSpaceDN/>
      <w:adjustRightInd/>
      <w:spacing w:before="600"/>
      <w:jc w:val="left"/>
    </w:pPr>
    <w:rPr>
      <w:rFonts w:ascii="Arial" w:hAnsi="Arial" w:eastAsia="黑体"/>
      <w:bCs/>
      <w:color w:val="auto"/>
      <w:szCs w:val="44"/>
    </w:rPr>
  </w:style>
  <w:style w:type="paragraph" w:customStyle="1" w:styleId="235">
    <w:name w:val="List Paragraph1"/>
    <w:basedOn w:val="1"/>
    <w:qFormat/>
    <w:uiPriority w:val="0"/>
    <w:pPr>
      <w:autoSpaceDE/>
      <w:autoSpaceDN/>
      <w:adjustRightInd/>
      <w:ind w:firstLine="420" w:firstLineChars="200"/>
    </w:pPr>
    <w:rPr>
      <w:color w:val="auto"/>
      <w:kern w:val="2"/>
      <w:szCs w:val="24"/>
    </w:rPr>
  </w:style>
  <w:style w:type="paragraph" w:customStyle="1" w:styleId="236">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4级标题"/>
    <w:basedOn w:val="1"/>
    <w:qFormat/>
    <w:uiPriority w:val="0"/>
    <w:pPr>
      <w:keepLines/>
      <w:numPr>
        <w:ilvl w:val="3"/>
        <w:numId w:val="6"/>
      </w:numPr>
      <w:autoSpaceDE/>
      <w:autoSpaceDN/>
      <w:adjustRightInd/>
      <w:spacing w:line="360" w:lineRule="auto"/>
      <w:contextualSpacing/>
      <w:jc w:val="left"/>
      <w:outlineLvl w:val="3"/>
    </w:pPr>
    <w:rPr>
      <w:rFonts w:ascii="黑体" w:hAnsi="黑体" w:eastAsia="黑体"/>
      <w:color w:val="auto"/>
      <w:sz w:val="24"/>
      <w:szCs w:val="24"/>
      <w:lang w:val="zh-CN" w:eastAsia="en-US" w:bidi="en-US"/>
    </w:rPr>
  </w:style>
  <w:style w:type="paragraph" w:customStyle="1" w:styleId="238">
    <w:name w:val="标题 5（有编号）（绿盟科技）"/>
    <w:basedOn w:val="1"/>
    <w:next w:val="1"/>
    <w:qFormat/>
    <w:uiPriority w:val="0"/>
    <w:pPr>
      <w:keepNext/>
      <w:keepLines/>
      <w:numPr>
        <w:ilvl w:val="4"/>
        <w:numId w:val="10"/>
      </w:numPr>
      <w:tabs>
        <w:tab w:val="left" w:pos="2580"/>
      </w:tabs>
      <w:autoSpaceDE/>
      <w:autoSpaceDN/>
      <w:adjustRightInd/>
      <w:spacing w:before="280" w:after="156" w:line="377" w:lineRule="auto"/>
      <w:jc w:val="left"/>
      <w:outlineLvl w:val="4"/>
    </w:pPr>
    <w:rPr>
      <w:rFonts w:ascii="Arial" w:hAnsi="Arial" w:eastAsia="黑体"/>
      <w:b/>
      <w:color w:val="auto"/>
      <w:sz w:val="24"/>
      <w:szCs w:val="28"/>
    </w:rPr>
  </w:style>
  <w:style w:type="paragraph" w:customStyle="1" w:styleId="239">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表格标注（绿盟科技）"/>
    <w:basedOn w:val="226"/>
    <w:next w:val="1"/>
    <w:qFormat/>
    <w:uiPriority w:val="0"/>
    <w:pPr>
      <w:numPr>
        <w:ilvl w:val="7"/>
      </w:numPr>
      <w:tabs>
        <w:tab w:val="left" w:pos="3840"/>
        <w:tab w:val="clear" w:pos="3420"/>
      </w:tabs>
    </w:pPr>
  </w:style>
  <w:style w:type="paragraph" w:customStyle="1" w:styleId="241">
    <w:name w:val="列出段落2"/>
    <w:basedOn w:val="1"/>
    <w:qFormat/>
    <w:uiPriority w:val="34"/>
    <w:pPr>
      <w:ind w:firstLine="420" w:firstLineChars="200"/>
    </w:pPr>
  </w:style>
  <w:style w:type="paragraph" w:customStyle="1" w:styleId="242">
    <w:name w:val="称呼1"/>
    <w:basedOn w:val="1"/>
    <w:next w:val="1"/>
    <w:qFormat/>
    <w:uiPriority w:val="0"/>
    <w:pPr>
      <w:widowControl/>
      <w:autoSpaceDE/>
      <w:autoSpaceDN/>
      <w:jc w:val="left"/>
      <w:textAlignment w:val="baseline"/>
    </w:pPr>
    <w:rPr>
      <w:rFonts w:ascii="Arial" w:hAnsi="Arial"/>
      <w:color w:val="auto"/>
      <w:spacing w:val="-5"/>
      <w:sz w:val="24"/>
      <w:szCs w:val="20"/>
    </w:rPr>
  </w:style>
  <w:style w:type="paragraph" w:customStyle="1" w:styleId="243">
    <w:name w:val="Body Text(ch)"/>
    <w:basedOn w:val="1"/>
    <w:next w:val="20"/>
    <w:qFormat/>
    <w:uiPriority w:val="0"/>
    <w:pPr>
      <w:autoSpaceDE/>
      <w:autoSpaceDN/>
      <w:adjustRightInd/>
      <w:spacing w:line="360" w:lineRule="auto"/>
    </w:pPr>
    <w:rPr>
      <w:rFonts w:ascii="宋体" w:hAnsi="宋体"/>
      <w:color w:val="auto"/>
      <w:kern w:val="2"/>
      <w:sz w:val="24"/>
      <w:szCs w:val="24"/>
    </w:rPr>
  </w:style>
  <w:style w:type="paragraph" w:customStyle="1" w:styleId="244">
    <w:name w:val="2级标题"/>
    <w:basedOn w:val="1"/>
    <w:qFormat/>
    <w:uiPriority w:val="0"/>
    <w:pPr>
      <w:keepLines/>
      <w:numPr>
        <w:ilvl w:val="1"/>
        <w:numId w:val="6"/>
      </w:numPr>
      <w:autoSpaceDE/>
      <w:autoSpaceDN/>
      <w:adjustRightInd/>
      <w:spacing w:before="240" w:after="120" w:line="360" w:lineRule="auto"/>
      <w:contextualSpacing/>
      <w:jc w:val="left"/>
      <w:outlineLvl w:val="1"/>
    </w:pPr>
    <w:rPr>
      <w:rFonts w:ascii="黑体" w:hAnsi="黑体" w:eastAsia="黑体"/>
      <w:color w:val="auto"/>
      <w:sz w:val="32"/>
      <w:szCs w:val="36"/>
      <w:lang w:val="zh-CN" w:eastAsia="en-US" w:bidi="en-US"/>
    </w:rPr>
  </w:style>
  <w:style w:type="paragraph" w:customStyle="1" w:styleId="245">
    <w:name w:val="标题 2（绿盟科技）"/>
    <w:basedOn w:val="3"/>
    <w:next w:val="1"/>
    <w:qFormat/>
    <w:uiPriority w:val="0"/>
    <w:pPr>
      <w:numPr>
        <w:ilvl w:val="1"/>
        <w:numId w:val="10"/>
      </w:numPr>
      <w:tabs>
        <w:tab w:val="left" w:pos="1320"/>
      </w:tabs>
      <w:jc w:val="left"/>
    </w:pPr>
    <w:rPr>
      <w:bCs w:val="0"/>
    </w:rPr>
  </w:style>
  <w:style w:type="paragraph" w:customStyle="1" w:styleId="246">
    <w:name w:val="回信地址"/>
    <w:basedOn w:val="1"/>
    <w:qFormat/>
    <w:uiPriority w:val="0"/>
    <w:pPr>
      <w:keepLines/>
      <w:widowControl/>
      <w:tabs>
        <w:tab w:val="left" w:pos="-18551"/>
      </w:tabs>
      <w:autoSpaceDE/>
      <w:autoSpaceDN/>
      <w:spacing w:line="160" w:lineRule="atLeast"/>
      <w:jc w:val="left"/>
      <w:textAlignment w:val="baseline"/>
    </w:pPr>
    <w:rPr>
      <w:rFonts w:ascii="Arial" w:hAnsi="Arial"/>
      <w:color w:val="auto"/>
      <w:sz w:val="18"/>
      <w:szCs w:val="20"/>
    </w:rPr>
  </w:style>
  <w:style w:type="paragraph" w:customStyle="1" w:styleId="247">
    <w:name w:val="1"/>
    <w:basedOn w:val="1"/>
    <w:qFormat/>
    <w:uiPriority w:val="0"/>
    <w:pPr>
      <w:widowControl/>
      <w:autoSpaceDE/>
      <w:autoSpaceDN/>
      <w:adjustRightInd/>
      <w:spacing w:after="160" w:line="240" w:lineRule="exact"/>
      <w:jc w:val="left"/>
    </w:pPr>
    <w:rPr>
      <w:color w:val="auto"/>
      <w:kern w:val="2"/>
      <w:szCs w:val="24"/>
    </w:rPr>
  </w:style>
  <w:style w:type="paragraph" w:customStyle="1" w:styleId="248">
    <w:name w:val="标准正文"/>
    <w:basedOn w:val="1"/>
    <w:qFormat/>
    <w:uiPriority w:val="0"/>
    <w:pPr>
      <w:autoSpaceDE/>
      <w:autoSpaceDN/>
      <w:adjustRightInd/>
      <w:spacing w:afterLines="50"/>
      <w:ind w:firstLine="200" w:firstLineChars="200"/>
    </w:pPr>
    <w:rPr>
      <w:color w:val="auto"/>
      <w:kern w:val="2"/>
      <w:sz w:val="24"/>
    </w:rPr>
  </w:style>
  <w:style w:type="paragraph" w:customStyle="1" w:styleId="249">
    <w:name w:val="table text"/>
    <w:basedOn w:val="1"/>
    <w:qFormat/>
    <w:uiPriority w:val="0"/>
    <w:pPr>
      <w:widowControl/>
      <w:autoSpaceDE/>
      <w:autoSpaceDN/>
      <w:adjustRightInd/>
    </w:pPr>
    <w:rPr>
      <w:rFonts w:ascii="Arial" w:hAnsi="Arial"/>
      <w:bCs/>
      <w:color w:val="auto"/>
      <w:sz w:val="20"/>
      <w:szCs w:val="20"/>
    </w:rPr>
  </w:style>
  <w:style w:type="paragraph" w:customStyle="1" w:styleId="250">
    <w:name w:val="Char2"/>
    <w:basedOn w:val="1"/>
    <w:qFormat/>
    <w:uiPriority w:val="0"/>
    <w:pPr>
      <w:autoSpaceDE/>
      <w:autoSpaceDN/>
      <w:adjustRightInd/>
    </w:pPr>
    <w:rPr>
      <w:color w:val="auto"/>
      <w:kern w:val="2"/>
      <w:szCs w:val="20"/>
    </w:rPr>
  </w:style>
  <w:style w:type="paragraph" w:customStyle="1" w:styleId="251">
    <w:name w:val="WPS Plain"/>
    <w:qFormat/>
    <w:uiPriority w:val="0"/>
    <w:rPr>
      <w:rFonts w:ascii="Times New Roman" w:hAnsi="Times New Roman" w:eastAsia="宋体" w:cs="Times New Roman"/>
      <w:sz w:val="21"/>
      <w:szCs w:val="22"/>
      <w:lang w:val="en-US" w:eastAsia="zh-CN" w:bidi="ar-SA"/>
    </w:rPr>
  </w:style>
  <w:style w:type="paragraph" w:customStyle="1" w:styleId="252">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253">
    <w:name w:val="Char3 Char Char Char"/>
    <w:basedOn w:val="1"/>
    <w:qFormat/>
    <w:uiPriority w:val="0"/>
    <w:pPr>
      <w:autoSpaceDE/>
      <w:autoSpaceDN/>
      <w:adjustRightInd/>
    </w:pPr>
    <w:rPr>
      <w:rFonts w:ascii="仿宋_GB2312" w:hAnsi="宋体" w:eastAsia="仿宋_GB2312" w:cs="宋体"/>
      <w:b/>
      <w:bCs/>
    </w:rPr>
  </w:style>
  <w:style w:type="paragraph" w:customStyle="1" w:styleId="254">
    <w:name w:val="普通(网站)1"/>
    <w:basedOn w:val="1"/>
    <w:qFormat/>
    <w:uiPriority w:val="0"/>
    <w:pPr>
      <w:widowControl/>
      <w:autoSpaceDE/>
      <w:autoSpaceDN/>
      <w:adjustRightInd/>
      <w:spacing w:before="100" w:beforeAutospacing="1" w:after="100" w:afterAutospacing="1"/>
      <w:jc w:val="left"/>
    </w:pPr>
    <w:rPr>
      <w:rFonts w:ascii="宋体" w:hAnsi="宋体" w:cs="宋体"/>
      <w:color w:val="auto"/>
      <w:sz w:val="24"/>
      <w:szCs w:val="24"/>
    </w:rPr>
  </w:style>
  <w:style w:type="paragraph" w:customStyle="1" w:styleId="255">
    <w:name w:val="Body Text First Indent 21"/>
    <w:basedOn w:val="256"/>
    <w:qFormat/>
    <w:uiPriority w:val="0"/>
    <w:pPr>
      <w:ind w:firstLine="420"/>
    </w:pPr>
    <w:rPr>
      <w:rFonts w:cs="宋体"/>
    </w:rPr>
  </w:style>
  <w:style w:type="paragraph" w:customStyle="1" w:styleId="256">
    <w:name w:val="Body Text Indent1"/>
    <w:basedOn w:val="1"/>
    <w:next w:val="1"/>
    <w:qFormat/>
    <w:uiPriority w:val="0"/>
    <w:pPr>
      <w:spacing w:after="120"/>
      <w:ind w:left="420" w:leftChars="200"/>
    </w:pPr>
  </w:style>
  <w:style w:type="character" w:customStyle="1" w:styleId="257">
    <w:name w:val="Unresolved Mention"/>
    <w:basedOn w:val="54"/>
    <w:semiHidden/>
    <w:unhideWhenUsed/>
    <w:qFormat/>
    <w:uiPriority w:val="99"/>
    <w:rPr>
      <w:color w:val="605E5C"/>
      <w:shd w:val="clear" w:color="auto" w:fill="E1DFDD"/>
    </w:rPr>
  </w:style>
  <w:style w:type="paragraph" w:customStyle="1" w:styleId="258">
    <w:name w:val="Table Text"/>
    <w:semiHidden/>
    <w:qFormat/>
    <w:uiPriority w:val="0"/>
    <w:pPr>
      <w:widowControl w:val="0"/>
      <w:autoSpaceDE w:val="0"/>
      <w:autoSpaceDN w:val="0"/>
      <w:adjustRightInd w:val="0"/>
      <w:jc w:val="both"/>
    </w:pPr>
    <w:rPr>
      <w:rFonts w:ascii="仿宋" w:hAnsi="仿宋" w:eastAsia="仿宋" w:cs="仿宋"/>
      <w:color w:val="000000"/>
      <w:sz w:val="24"/>
      <w:szCs w:val="24"/>
      <w:lang w:val="en-US" w:eastAsia="en-US" w:bidi="ar-SA"/>
    </w:rPr>
  </w:style>
  <w:style w:type="paragraph" w:customStyle="1" w:styleId="259">
    <w:name w:val="Body Text 31"/>
    <w:basedOn w:val="1"/>
    <w:qFormat/>
    <w:uiPriority w:val="0"/>
    <w:pPr>
      <w:spacing w:after="120" w:afterLines="0"/>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0988-9DAE-4D1E-80BA-31B1A43B9D0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37</Pages>
  <Words>21578</Words>
  <Characters>23111</Characters>
  <Lines>531</Lines>
  <Paragraphs>743</Paragraphs>
  <TotalTime>0</TotalTime>
  <ScaleCrop>false</ScaleCrop>
  <LinksUpToDate>false</LinksUpToDate>
  <CharactersWithSpaces>24119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2022-01-17T06:56:00Z</dcterms:created>
  <dc:creator>小蛮 吴</dc:creator>
  <cp:lastModifiedBy>楼翔</cp:lastModifiedBy>
  <cp:lastPrinted>2026-03-25T01:28:00Z</cp:lastPrinted>
  <dcterms:modified xsi:type="dcterms:W3CDTF">2026-04-03T08:16:34Z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A2234B6424624FF9A02146E5BE47438A_13</vt:lpwstr>
  </property>
  <property fmtid="{D5CDD505-2E9C-101B-9397-08002B2CF9AE}" pid="4" name="KSOTemplateDocerSaveRecord">
    <vt:lpwstr>eyJoZGlkIjoiYTQ4ZDNmYmUzMDcwNTUzZmM0N2UwMzk0ODUzNTlkOWYiLCJ1c2VySWQiOiI3ODgxMzU5MTkifQ==</vt:lpwstr>
  </property>
</Properties>
</file>