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6DFDF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4"/>
      <w:bookmarkStart w:id="1" w:name="OLE_LINK3"/>
      <w:bookmarkStart w:id="2" w:name="_Toc24088"/>
      <w:bookmarkStart w:id="3" w:name="_Toc29367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浬浦镇</w:t>
      </w:r>
      <w:bookmarkEnd w:id="0"/>
      <w:bookmarkEnd w:id="1"/>
      <w:bookmarkStart w:id="4" w:name="OLE_LINK1"/>
      <w:bookmarkStart w:id="5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外浦村外庄柏江岭地块、小馒头山产权交易发包</w:t>
      </w:r>
      <w:bookmarkEnd w:id="4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项目</w:t>
      </w:r>
    </w:p>
    <w:bookmarkEnd w:id="5"/>
    <w:p w14:paraId="2801E8F3"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 w14:paraId="55AD48CD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诸暨市浬浦镇外浦村集体经济组织</w:t>
      </w:r>
    </w:p>
    <w:p w14:paraId="4E3EAB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浬浦镇外浦村外庄柏江岭地块、小馒头山产权交易发包项目</w:t>
      </w:r>
    </w:p>
    <w:p w14:paraId="6D95BFDB"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"/>
        <w:gridCol w:w="2263"/>
        <w:gridCol w:w="1292"/>
        <w:gridCol w:w="1899"/>
        <w:gridCol w:w="2286"/>
      </w:tblGrid>
      <w:tr w14:paraId="4B161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0BB5A3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412E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6B673B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19D2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E543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 w14:paraId="2F19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55B8FB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0DF83C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外庄柏江岭地块发包</w:t>
            </w:r>
          </w:p>
        </w:tc>
        <w:tc>
          <w:tcPr>
            <w:tcW w:w="1292" w:type="dxa"/>
            <w:noWrap w:val="0"/>
            <w:tcMar>
              <w:left w:w="108" w:type="dxa"/>
              <w:right w:w="108" w:type="dxa"/>
            </w:tcMar>
            <w:vAlign w:val="center"/>
          </w:tcPr>
          <w:p w14:paraId="16E23D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1899" w:type="dxa"/>
            <w:noWrap w:val="0"/>
            <w:tcMar>
              <w:left w:w="108" w:type="dxa"/>
              <w:right w:w="108" w:type="dxa"/>
            </w:tcMar>
            <w:vAlign w:val="center"/>
          </w:tcPr>
          <w:p w14:paraId="6B78C3F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6500元/年</w:t>
            </w:r>
          </w:p>
        </w:tc>
        <w:tc>
          <w:tcPr>
            <w:tcW w:w="228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4CA24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合同签订之日起5年</w:t>
            </w:r>
          </w:p>
        </w:tc>
      </w:tr>
      <w:tr w14:paraId="3B194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46F1A79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2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470319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外庄小馒头山发包</w:t>
            </w:r>
          </w:p>
        </w:tc>
        <w:tc>
          <w:tcPr>
            <w:tcW w:w="1292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B4484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/</w:t>
            </w:r>
          </w:p>
        </w:tc>
        <w:tc>
          <w:tcPr>
            <w:tcW w:w="1899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C28D3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2500元/年</w:t>
            </w:r>
          </w:p>
        </w:tc>
        <w:tc>
          <w:tcPr>
            <w:tcW w:w="2286" w:type="dxa"/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6D4083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合同签订之日起10年</w:t>
            </w:r>
          </w:p>
        </w:tc>
      </w:tr>
      <w:tr w14:paraId="72ED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01" w:type="dxa"/>
            <w:noWrap w:val="0"/>
            <w:tcMar>
              <w:left w:w="108" w:type="dxa"/>
              <w:right w:w="108" w:type="dxa"/>
            </w:tcMar>
            <w:vAlign w:val="center"/>
          </w:tcPr>
          <w:p w14:paraId="20EAAA4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740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 w14:paraId="67B176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1.外庄柏江岭地块发包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项目报名费200元，面积3亩左右。</w:t>
            </w:r>
          </w:p>
          <w:p w14:paraId="296D61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  <w:t>外庄小馒头山发包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0"/>
                <w:lang w:val="en-US" w:eastAsia="zh-CN" w:bidi="ar-SA"/>
              </w:rPr>
              <w:t>项目报名费200元，面积10亩左右。</w:t>
            </w:r>
          </w:p>
          <w:p w14:paraId="40B827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DDAD946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 w14:paraId="36F1205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吴鸣君 18367591633</w:t>
      </w:r>
    </w:p>
    <w:p w14:paraId="2A8D9B3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 w14:paraId="619F743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 w14:paraId="5ECC725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 w14:paraId="1FE8A6BF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 w14:paraId="2158A2F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</w:t>
      </w:r>
      <w:r>
        <w:rPr>
          <w:rFonts w:hint="eastAsia" w:ascii="宋体" w:hAnsi="宋体" w:cs="宋体"/>
          <w:color w:val="0000FF"/>
          <w:sz w:val="32"/>
          <w:szCs w:val="32"/>
          <w:lang w:eastAsia="zh-CN"/>
        </w:rPr>
        <w:t>保证</w:t>
      </w: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/元，现金带招标现场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</w:t>
      </w:r>
    </w:p>
    <w:p w14:paraId="322CA0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 w14:paraId="40CB9A7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16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 w14:paraId="031C7E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 w14:paraId="079E8A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 w14:paraId="0F76417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镇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外浦村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村部</w:t>
      </w:r>
    </w:p>
    <w:p w14:paraId="45AF8EE4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本次竞价不接受电话、邮寄、口头等方式报名或竞价。</w:t>
      </w:r>
    </w:p>
    <w:p w14:paraId="785EB8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 w14:paraId="1B0184F0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</w:p>
    <w:p w14:paraId="766AAE4B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（1）外庄柏江岭地块发包项目：2026年4月17日下午14时30分（逾时视为弃权）；</w:t>
      </w:r>
    </w:p>
    <w:p w14:paraId="19B0CB7C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（2）外庄小馒头山发包项目：2026年4月17日下午15时00分（逾时视为弃权）。</w:t>
      </w:r>
    </w:p>
    <w:p w14:paraId="1839675F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浬浦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镇政府二楼中型会议室。</w:t>
      </w:r>
    </w:p>
    <w:p w14:paraId="2EB918C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 w14:paraId="3DBC09B3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 w14:paraId="386023BE"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 w14:paraId="747AC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 w14:paraId="5BB6EE9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 w14:paraId="6E2066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 w14:paraId="33DD17C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 w14:paraId="590611F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21DB62D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 w14:paraId="018A1E6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诸暨市浬浦镇外浦村集体经济组织</w:t>
      </w:r>
    </w:p>
    <w:p w14:paraId="4BE73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p w14:paraId="534A7D26">
      <w:pPr>
        <w:rPr>
          <w:rFonts w:hint="eastAsia"/>
        </w:rPr>
      </w:pPr>
      <w:r>
        <w:rPr>
          <w:rFonts w:hint="eastAsia"/>
        </w:rPr>
        <w:br w:type="page"/>
      </w:r>
    </w:p>
    <w:p w14:paraId="5058439F"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 w14:paraId="003B249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浬浦镇外浦村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浬浦镇外浦村外庄柏江岭地块、小馒头山产权交易发包项目，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 w14:paraId="0E022722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 w14:paraId="4EF6B29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浬浦镇外浦村外庄柏江岭地块、小馒头山产权交易发包项目</w:t>
      </w:r>
    </w:p>
    <w:p w14:paraId="15680008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 w14:paraId="09EDCB4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 w14:paraId="372A8F6A"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 w14:paraId="61CD6D3A"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 w14:paraId="3B98D73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 w14:paraId="73FD4B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4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16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浬浦镇外浦村村部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 w14:paraId="452CDF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 w14:paraId="35A82A23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1FA4C1E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 w14:paraId="78A567C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 w14:paraId="085E5A2E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 w14:paraId="1B3B6429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517C3352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 w14:paraId="41DECDAD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 w14:paraId="49FF3F31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 w14:paraId="690A2D85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 w14:paraId="0D3A076B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 w14:paraId="70D97F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 w14:paraId="48D731E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4586628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 w14:paraId="3287BF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 w14:paraId="598662E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 w14:paraId="0979922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19BE6E8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 w14:paraId="136A60D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 w14:paraId="7DF343C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 w14:paraId="60844A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 w14:paraId="52F7A4B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 w14:paraId="6AEE332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 w14:paraId="5434B0C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 w14:paraId="4B1F022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 w14:paraId="47ED9C8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 w14:paraId="67048AD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 w14:paraId="404C4B7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 w14:paraId="68B43BA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 w14:paraId="0A7912CD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 w14:paraId="2691B18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 w14:paraId="40BE569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 w14:paraId="73E2F6B4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 w14:paraId="26C437E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 w14:paraId="0AD949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 w14:paraId="487787A0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 w14:paraId="4F35D37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 w14:paraId="7AD2A8F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诸暨市浬浦镇外浦村产权发包项目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4月17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14：30分、15：00分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 w14:paraId="7E1BCEC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 w14:paraId="6615F5D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 w14:paraId="73EF460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 w14:paraId="2B904C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 w14:paraId="02E843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 w14:paraId="7862A3F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 w14:paraId="0B709CE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 w14:paraId="00A626A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 w14:paraId="28FF4DB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 w14:paraId="2176EE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 w14:paraId="6DA7FED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 w14:paraId="03AFB93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 w14:paraId="7C0392F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 w14:paraId="7E0D124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 w14:paraId="066DDB7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 w14:paraId="3823DD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 w14:paraId="320C082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 w14:paraId="3E38EAE4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 w14:paraId="00173C5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 w14:paraId="2E0E485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 w14:paraId="0F8C8FD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 w14:paraId="6AA33BAF"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 w14:paraId="22E422B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02BDCCF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 w14:paraId="028A8DAB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 w14:paraId="721E51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 w14:paraId="7DEF466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 w14:paraId="24A5D277"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分别</w:t>
      </w:r>
      <w:r>
        <w:rPr>
          <w:rFonts w:hint="eastAsia" w:ascii="仿宋_GB2312" w:hAnsi="仿宋_GB2312" w:eastAsia="仿宋_GB2312"/>
          <w:color w:val="0000FF"/>
          <w:sz w:val="24"/>
        </w:rPr>
        <w:t>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6年4月17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14</w:t>
      </w:r>
      <w:r>
        <w:rPr>
          <w:rFonts w:hint="eastAsia" w:ascii="仿宋_GB2312" w:hAnsi="仿宋_GB2312" w:eastAsia="仿宋_GB2312"/>
          <w:color w:val="0000FF"/>
          <w:sz w:val="24"/>
        </w:rPr>
        <w:t>时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30分、15时00分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 w14:paraId="4A1C5B5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 w14:paraId="2192C69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 w14:paraId="3EF1892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 w14:paraId="4737720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 w14:paraId="5325C7B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 w14:paraId="1204782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 w14:paraId="3B26036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 w14:paraId="5121A36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 w14:paraId="52C87FD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 w14:paraId="75900F36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 w14:paraId="0C70B48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 w14:paraId="683EB349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 w14:paraId="39174C35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 w14:paraId="5F293142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 w14:paraId="7C1F8FB1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 w14:paraId="46B6D528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 w14:paraId="3050497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 w14:paraId="439B1FF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 w14:paraId="76E4912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 w14:paraId="15AC01A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 w14:paraId="665A793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 w14:paraId="44490E1E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 w14:paraId="165BC69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 w14:paraId="4B22B6D9"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 w14:paraId="38C080C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 w14:paraId="6394CC7F"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 w14:paraId="7DA06D7F"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 w14:paraId="22A995B0"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 w14:paraId="5766D3EF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 w14:paraId="38B36F54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 w14:paraId="3B65B800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 w14:paraId="5280F8EC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 w14:paraId="7608E9CB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 w14:paraId="3F83E113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6A05A117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88F4AC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1C3E6C4A"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 w14:paraId="212D042A"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诸暨市浬浦镇外浦村集体经济组织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27日</w:t>
      </w:r>
    </w:p>
    <w:p w14:paraId="4820CA97">
      <w:pPr>
        <w:jc w:val="center"/>
        <w:rPr>
          <w:rFonts w:hint="eastAsia"/>
          <w:sz w:val="44"/>
        </w:rPr>
      </w:pPr>
    </w:p>
    <w:p w14:paraId="7AC71EA6">
      <w:pPr>
        <w:jc w:val="center"/>
        <w:rPr>
          <w:rFonts w:hint="eastAsia"/>
          <w:sz w:val="44"/>
        </w:rPr>
      </w:pPr>
    </w:p>
    <w:p w14:paraId="0EA88026">
      <w:pPr>
        <w:jc w:val="center"/>
        <w:rPr>
          <w:rFonts w:hint="eastAsia"/>
          <w:sz w:val="44"/>
        </w:rPr>
      </w:pPr>
    </w:p>
    <w:p w14:paraId="3271FC11">
      <w:pPr>
        <w:jc w:val="both"/>
        <w:rPr>
          <w:rFonts w:hint="eastAsia"/>
          <w:sz w:val="44"/>
        </w:rPr>
      </w:pPr>
    </w:p>
    <w:p w14:paraId="59ADB44D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 w14:paraId="709A3AA4">
      <w:pPr>
        <w:spacing w:line="460" w:lineRule="exact"/>
        <w:rPr>
          <w:rFonts w:hint="eastAsia" w:ascii="仿宋_GB2312" w:eastAsia="仿宋_GB2312"/>
          <w:sz w:val="28"/>
        </w:rPr>
      </w:pPr>
    </w:p>
    <w:p w14:paraId="6423B2DE"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 w14:paraId="2EF2884C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color w:val="0000FF"/>
          <w:sz w:val="28"/>
          <w:lang w:eastAsia="zh-CN"/>
        </w:rPr>
        <w:t>外庄柏江岭地块、小馒头山产权交易发包项目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6</w:t>
      </w:r>
      <w:r>
        <w:rPr>
          <w:rFonts w:hint="eastAsia" w:ascii="仿宋_GB2312" w:eastAsia="仿宋_GB2312"/>
          <w:color w:val="0000FF"/>
          <w:sz w:val="28"/>
          <w:lang w:eastAsia="zh-CN"/>
        </w:rPr>
        <w:t>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4月17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14时30分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/>
          <w:color w:val="0000FF"/>
          <w:sz w:val="28"/>
          <w:lang w:eastAsia="zh-CN"/>
        </w:rPr>
        <w:t>外庄柏江岭地块、小馒头山产权交易发包项目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>/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/ </w:t>
      </w:r>
      <w:r>
        <w:rPr>
          <w:rFonts w:hint="eastAsia" w:ascii="仿宋_GB2312" w:eastAsia="仿宋_GB2312"/>
          <w:sz w:val="28"/>
          <w:u w:val="single"/>
        </w:rPr>
        <w:t xml:space="preserve">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 w14:paraId="29F3987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 w14:paraId="44A42072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 w14:paraId="5B89A247">
      <w:pPr>
        <w:spacing w:line="460" w:lineRule="exact"/>
        <w:rPr>
          <w:rFonts w:hint="eastAsia" w:ascii="仿宋_GB2312" w:eastAsia="仿宋_GB2312"/>
          <w:sz w:val="28"/>
        </w:rPr>
      </w:pPr>
    </w:p>
    <w:p w14:paraId="0236D599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253A4D07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40AC0233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 w14:paraId="5F9D01E2"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 w14:paraId="38B3AD9C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 w14:paraId="67B878CF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BE8A02B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78963350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5D179615"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 w14:paraId="2BDAF58F"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 w14:paraId="7F7B4791">
      <w:pPr>
        <w:jc w:val="center"/>
        <w:rPr>
          <w:rFonts w:hint="eastAsia"/>
          <w:sz w:val="44"/>
        </w:rPr>
      </w:pPr>
    </w:p>
    <w:p w14:paraId="36A0CE85">
      <w:pPr>
        <w:jc w:val="center"/>
        <w:rPr>
          <w:rFonts w:hint="eastAsia"/>
          <w:sz w:val="44"/>
        </w:rPr>
      </w:pPr>
    </w:p>
    <w:p w14:paraId="7CEE4787">
      <w:pPr>
        <w:jc w:val="both"/>
        <w:rPr>
          <w:rFonts w:hint="eastAsia"/>
          <w:sz w:val="44"/>
        </w:rPr>
      </w:pPr>
    </w:p>
    <w:p w14:paraId="1D639B0D">
      <w:pPr>
        <w:jc w:val="center"/>
        <w:rPr>
          <w:rFonts w:hint="eastAsia"/>
          <w:sz w:val="44"/>
        </w:rPr>
      </w:pPr>
    </w:p>
    <w:p w14:paraId="0194A457">
      <w:pPr>
        <w:jc w:val="center"/>
        <w:rPr>
          <w:rFonts w:hint="eastAsia"/>
          <w:sz w:val="44"/>
        </w:rPr>
      </w:pPr>
    </w:p>
    <w:p w14:paraId="17DC8E03">
      <w:pPr>
        <w:jc w:val="center"/>
        <w:rPr>
          <w:rFonts w:hint="eastAsia"/>
          <w:sz w:val="44"/>
        </w:rPr>
      </w:pPr>
    </w:p>
    <w:p w14:paraId="32767AD5">
      <w:pPr>
        <w:jc w:val="both"/>
        <w:rPr>
          <w:rFonts w:hint="eastAsia"/>
          <w:sz w:val="44"/>
        </w:rPr>
      </w:pPr>
    </w:p>
    <w:p w14:paraId="4B72E103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 w14:paraId="777B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 w14:paraId="78C2FE63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 w14:paraId="77BFB188"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 w14:paraId="0891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6A7C464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 w14:paraId="00765BCE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19D4E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 w14:paraId="119B7CA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0F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78E825DB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 w14:paraId="68FFB18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679857B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 w14:paraId="70C285F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2036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04AA030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 w14:paraId="30163E3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00B1875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 w14:paraId="52729FF1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5F67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135C762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 w14:paraId="5809DCB0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1F0CFB4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 w14:paraId="3EBE104C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4C10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 w14:paraId="5ABB19BD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 w14:paraId="374F13A6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 w14:paraId="3B27AAB2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 w14:paraId="10B3219A"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11DA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 w14:paraId="1963DA0B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 w14:paraId="45E70F15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 w14:paraId="388B71F4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 w14:paraId="65EA0992"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 w14:paraId="740B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 w14:paraId="53A16589"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 w14:paraId="649FC8EA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 w14:paraId="744D401F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 w14:paraId="6A8FD198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 w14:paraId="310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 w14:paraId="55E4CCF0"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</w:t>
            </w:r>
            <w:r>
              <w:rPr>
                <w:rFonts w:hint="eastAsia" w:ascii="宋体" w:cs="Times New Roman"/>
                <w:sz w:val="24"/>
                <w:lang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镇招投标办公室举办的“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color w:val="0000FF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外庄柏江岭地块、小馒头山产权交易发包项目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 w14:paraId="1589FD7E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浬浦</w:t>
            </w:r>
            <w:r>
              <w:rPr>
                <w:rFonts w:hint="eastAsia" w:ascii="宋体" w:hAnsi="Times New Roman" w:eastAsia="宋体" w:cs="Times New Roman"/>
                <w:color w:val="0000FF"/>
                <w:sz w:val="24"/>
                <w:lang w:val="en-US" w:eastAsia="zh-CN"/>
              </w:rPr>
              <w:t>镇</w:t>
            </w:r>
            <w:r>
              <w:rPr>
                <w:rFonts w:hint="eastAsia" w:ascii="宋体" w:cs="Times New Roman"/>
                <w:color w:val="0000FF"/>
                <w:sz w:val="24"/>
                <w:lang w:val="en-US" w:eastAsia="zh-CN"/>
              </w:rPr>
              <w:t>外庄柏江岭地块、小馒头山产权交易发包项目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 w14:paraId="3898A5EC"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 w14:paraId="76FEEE33"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 w14:paraId="2A51898A"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 w14:paraId="0CAF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 w14:paraId="796120F4"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 w14:paraId="3293720C"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 w14:paraId="199B174D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 w14:paraId="507144F5"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 w14:paraId="1E796193"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 w14:paraId="6CCB066D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  <w:r>
        <w:rPr>
          <w:rFonts w:hint="eastAsia"/>
          <w:sz w:val="38"/>
          <w:szCs w:val="44"/>
          <w:lang w:val="en-US" w:eastAsia="zh-CN"/>
        </w:rPr>
        <w:t>浬浦镇外庄柏江岭地块、小馒头山产权交易</w:t>
      </w:r>
    </w:p>
    <w:p w14:paraId="00D09C36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发包项目</w:t>
      </w:r>
      <w:r>
        <w:rPr>
          <w:rFonts w:hint="eastAsia"/>
          <w:sz w:val="38"/>
          <w:szCs w:val="44"/>
        </w:rPr>
        <w:t>竞价报价单</w:t>
      </w:r>
    </w:p>
    <w:p w14:paraId="456BA39D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4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17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0367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583D5482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5FC9AFA2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外庄柏江岭地块产权交易发包</w:t>
            </w:r>
            <w:r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  <w:t>项目</w:t>
            </w:r>
          </w:p>
        </w:tc>
      </w:tr>
      <w:tr w14:paraId="3B41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511471F3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36F7AAB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255FD47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2931A908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7858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7A98FF60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0653B3DC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0BEB939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3817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5FAF3E0B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27E3025B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043A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3709846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2FCEEB0E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18C88F5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35E031B0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25A7AEE0">
      <w:pPr>
        <w:spacing w:line="240" w:lineRule="exact"/>
        <w:rPr>
          <w:rFonts w:hint="eastAsia" w:ascii="宋体"/>
        </w:rPr>
      </w:pPr>
    </w:p>
    <w:p w14:paraId="1808553E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44B64BD1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1005C15D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3034F1C9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71698AEB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1697F3D6">
      <w:r>
        <w:br w:type="page"/>
      </w:r>
    </w:p>
    <w:p w14:paraId="19D309A4"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  <w:r>
        <w:rPr>
          <w:rFonts w:hint="eastAsia"/>
          <w:sz w:val="38"/>
          <w:szCs w:val="44"/>
          <w:lang w:val="en-US" w:eastAsia="zh-CN"/>
        </w:rPr>
        <w:t>浬浦镇外庄柏江岭地块、小馒头山产权交易</w:t>
      </w:r>
    </w:p>
    <w:p w14:paraId="713AF45A">
      <w:pPr>
        <w:spacing w:line="500" w:lineRule="exact"/>
        <w:jc w:val="center"/>
        <w:rPr>
          <w:rFonts w:hint="eastAsia" w:eastAsia="宋体"/>
          <w:sz w:val="38"/>
          <w:szCs w:val="44"/>
          <w:lang w:eastAsia="zh-CN"/>
        </w:rPr>
      </w:pPr>
      <w:r>
        <w:rPr>
          <w:rFonts w:hint="eastAsia"/>
          <w:sz w:val="38"/>
          <w:szCs w:val="44"/>
          <w:lang w:val="en-US" w:eastAsia="zh-CN"/>
        </w:rPr>
        <w:t>发包项目</w:t>
      </w:r>
      <w:r>
        <w:rPr>
          <w:rFonts w:hint="eastAsia"/>
          <w:sz w:val="38"/>
          <w:szCs w:val="44"/>
        </w:rPr>
        <w:t>竞价报价单</w:t>
      </w:r>
    </w:p>
    <w:p w14:paraId="12E5682F"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</w:t>
      </w:r>
      <w:r>
        <w:rPr>
          <w:rFonts w:hint="eastAsia" w:ascii="宋体"/>
          <w:sz w:val="28"/>
          <w:lang w:val="en-US" w:eastAsia="zh-CN"/>
        </w:rPr>
        <w:t>6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4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  <w:lang w:val="en-US" w:eastAsia="zh-CN"/>
        </w:rPr>
        <w:t>17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 w14:paraId="25D5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 w14:paraId="1698421D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 w14:paraId="49355B03"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小馒头山产权交易</w:t>
            </w:r>
            <w:bookmarkStart w:id="6" w:name="_GoBack"/>
            <w:bookmarkEnd w:id="6"/>
            <w:r>
              <w:rPr>
                <w:rFonts w:hint="eastAsia" w:ascii="宋体" w:cs="Times New Roman"/>
                <w:sz w:val="24"/>
                <w:lang w:val="en-US" w:eastAsia="zh-CN"/>
              </w:rPr>
              <w:t>发包项目</w:t>
            </w:r>
          </w:p>
        </w:tc>
      </w:tr>
      <w:tr w14:paraId="0A87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 w14:paraId="4441C88F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 w14:paraId="75A9F31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3652429B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 w14:paraId="109446C9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 w14:paraId="2C38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 w14:paraId="22B23340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 w14:paraId="7C0D5D6C"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 w14:paraId="671B1E96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 w14:paraId="4F3B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 w14:paraId="08F54E11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 w14:paraId="175D73BC"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 w14:paraId="7778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 w14:paraId="05D9E5E2"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 w14:paraId="57C7A1D4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03370017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 w14:paraId="16937786"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 w14:paraId="763F6F8F">
      <w:pPr>
        <w:spacing w:line="240" w:lineRule="exact"/>
        <w:rPr>
          <w:rFonts w:hint="eastAsia" w:ascii="宋体"/>
        </w:rPr>
      </w:pPr>
    </w:p>
    <w:p w14:paraId="41C1C0D7"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 w14:paraId="30D7D6B8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 w14:paraId="19B9129E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 w14:paraId="48D61CE8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 w14:paraId="59A7966E"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 w14:paraId="6B0DEE90"/>
    <w:p w14:paraId="03BA4FD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41DB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1D07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1D07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DA9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1C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0719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DC45E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03FB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3950E33"/>
    <w:rsid w:val="0654639C"/>
    <w:rsid w:val="0DD82F9F"/>
    <w:rsid w:val="168022C4"/>
    <w:rsid w:val="19BC781C"/>
    <w:rsid w:val="1D77BA22"/>
    <w:rsid w:val="1F001CA6"/>
    <w:rsid w:val="25DD3F6C"/>
    <w:rsid w:val="26C34A5F"/>
    <w:rsid w:val="274565DC"/>
    <w:rsid w:val="2DF03153"/>
    <w:rsid w:val="31700D70"/>
    <w:rsid w:val="32147EFA"/>
    <w:rsid w:val="3364345F"/>
    <w:rsid w:val="34142806"/>
    <w:rsid w:val="357C92D6"/>
    <w:rsid w:val="362D66A7"/>
    <w:rsid w:val="3CB420B5"/>
    <w:rsid w:val="42586BED"/>
    <w:rsid w:val="44AC2B15"/>
    <w:rsid w:val="485F398F"/>
    <w:rsid w:val="4DBDCA50"/>
    <w:rsid w:val="4EF1C818"/>
    <w:rsid w:val="552A59D6"/>
    <w:rsid w:val="5C753FBD"/>
    <w:rsid w:val="5E2D1110"/>
    <w:rsid w:val="5EFEF7BA"/>
    <w:rsid w:val="64322C54"/>
    <w:rsid w:val="64C8368F"/>
    <w:rsid w:val="65A83AAE"/>
    <w:rsid w:val="6B965D8F"/>
    <w:rsid w:val="6CB22E34"/>
    <w:rsid w:val="6EBB73D3"/>
    <w:rsid w:val="6ECAADB9"/>
    <w:rsid w:val="96E40349"/>
    <w:rsid w:val="99BE8620"/>
    <w:rsid w:val="BDFD9F5C"/>
    <w:rsid w:val="EDBD1060"/>
    <w:rsid w:val="FE3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599</Words>
  <Characters>681</Characters>
  <Lines>0</Lines>
  <Paragraphs>0</Paragraphs>
  <TotalTime>17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2024-05-31T16:42:00Z</dcterms:created>
  <dc:creator>Administrator</dc:creator>
  <cp:lastModifiedBy>占媛</cp:lastModifiedBy>
  <cp:lastPrinted>2026-02-04T17:33:00Z</cp:lastPrinted>
  <dcterms:modified xsi:type="dcterms:W3CDTF">2026-04-09T07:12:13Z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9E1B1E0383061016CF2E7769ED11FB74_43</vt:lpwstr>
  </property>
  <property fmtid="{D5CDD505-2E9C-101B-9397-08002B2CF9AE}" pid="4" name="KSOTemplateDocerSaveRecord">
    <vt:lpwstr>eyJoZGlkIjoiMWU1ODIzYWYxY2FjZDY2MTY3MzdhMjJmY2I0OWYyYzIiLCJ1c2VySWQiOiIyNTg0MDA1MDIifQ==</vt:lpwstr>
  </property>
</Properties>
</file>